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arp9cdcloo" w:id="0"/>
      <w:bookmarkEnd w:id="0"/>
      <w:r w:rsidDel="00000000" w:rsidR="00000000" w:rsidRPr="00000000">
        <w:rPr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that the instructor who is familiar with MPI and OpenMP study the following preparation materials about Hybrid computing: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36"/>
          <w:szCs w:val="36"/>
          <w:rtl w:val="0"/>
        </w:rPr>
        <w:t xml:space="preserve">Best Practice Guide to Hybrid MPI + OpenMP Programming</w:t>
      </w: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ce93d8"/>
            <w:sz w:val="36"/>
            <w:szCs w:val="36"/>
            <w:u w:val="single"/>
            <w:rtl w:val="0"/>
          </w:rPr>
          <w:t xml:space="preserve">http://www.intertwine-project.eu/sites/default/files/images/INTERTWinE_Best_Practice_Guide_MPI%2BOpenMP_1.1.pdf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36"/>
          <w:szCs w:val="36"/>
          <w:rtl w:val="0"/>
        </w:rPr>
        <w:t xml:space="preserve">Hybrid MPI and OpenMP Parallel Programming</w:t>
      </w: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ce93d8"/>
            <w:sz w:val="36"/>
            <w:szCs w:val="36"/>
            <w:u w:val="single"/>
            <w:rtl w:val="0"/>
          </w:rPr>
          <w:t xml:space="preserve">https://www.youtube.com/watch?v=vvMB3nmr608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36"/>
          <w:szCs w:val="36"/>
          <w:rtl w:val="0"/>
        </w:rPr>
        <w:t xml:space="preserve">Hybrid Programming with MPI and OpenMP | Deepak Eachempati, University of Houston</w:t>
      </w: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https://www.youtube.com/watch?v=sgrIUHml7hU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gxgp4vf8r6s4" w:id="1"/>
      <w:bookmarkEnd w:id="1"/>
      <w:r w:rsidDel="00000000" w:rsidR="00000000" w:rsidRPr="00000000">
        <w:rPr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background in MPI and/or OpenMP is a serious pitfall for this lesson.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tertwine-project.eu/sites/default/files/images/INTERTWinE_Best_Practice_Guide_MPI%2BOpenMP_1.1.pdf" TargetMode="External"/><Relationship Id="rId7" Type="http://schemas.openxmlformats.org/officeDocument/2006/relationships/hyperlink" Target="https://www.youtube.com/watch?v=vvMB3nmr608" TargetMode="External"/><Relationship Id="rId8" Type="http://schemas.openxmlformats.org/officeDocument/2006/relationships/hyperlink" Target="https://www.youtube.com/watch?v=sgrIUHml7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