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o51kdbiibh1" w:id="0"/>
      <w:bookmarkEnd w:id="0"/>
      <w:r w:rsidDel="00000000" w:rsidR="00000000" w:rsidRPr="00000000">
        <w:rPr>
          <w:rtl w:val="0"/>
        </w:rPr>
        <w:t xml:space="preserve">References / Further Reading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Parallel Programming in C with MPI and OpenMP, Michael J. Quinn, McGraw-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Hill, 2003.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Performance Computing, 2nd Edition (Risc Architectures, Optimization &amp;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Benchmarks), Charles Severance and Kevin Dowd, O’Reilly &amp; Associates, Inc.,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Sebastopol, CA, 1998.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http://www.openmp.org/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Parallel Programming in OpenMP, Rohit Chandra, Leo Dagum, Dave Kohr, Dror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Maydan, Jeff McDonald, Ramesh Menon, Academic Press Morgan Kaufmann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Publishers, San Diego, CA, 2001.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Parallel Programming with MPI, Peter Pacheco, Morgan Kaufmann Publishers,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San Diego, CA, 1996.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MPI: Portable Parallel Programming with the Message-Passing Interface,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William Gropp, Ewing Lusk, Anthony Skjellum, The MIT Press, Cambridge,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Massachusetts, 1994.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MPI: Advanced Features of the Message-Passing Interface, William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Gropp, Ewing Lusk, Rajeev Thankur, The MIT Press, Cambridge, Massachusetts,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1999.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