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sz w:val="28"/>
        </w:rPr>
        <w:t xml:space="preserve">Mouse IL-6 ELISA Kit</w:t>
      </w:r>
    </w:p>
    <w:p>
      <w:pPr>
        <w:jc w:val="center"/>
      </w:pPr>
      <w:r>
        <w:rPr>
          <w:b/>
        </w:rPr>
        <w:t xml:space="preserve">CATALOG NO: </w:t>
      </w:r>
      <w:r>
        <w:t xml:space="preserve">IMSIL6KT</w:t>
      </w:r>
      <w:r>
        <w:rPr>
          <w:b/>
        </w:rPr>
        <w:t xml:space="preserve"> LOT NO: </w:t>
      </w:r>
      <w:r>
        <w:t xml:space="preserve">20250101</w:t>
      </w:r>
    </w:p>
    <w:p>
      <w:pPr>
        <w:pStyle w:val="HeaderStyle"/>
      </w:pPr>
      <w:r>
        <w:t>INTENDED USE</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Pr>
        <w:pStyle w:val="HeaderStyle"/>
      </w:pPr>
      <w:r>
        <w:t>Background</w:t>
      </w:r>
    </w:p>
    <w:p>
      <w: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90 µl of Color Developing Reagent to each well. Cover with the plate sealer provided and incubate in the dark for 30 minutes at RT (or</w:t>
        <w:br/>
        <w:t xml:space="preserve"/>
        <w:br/>
        <w:t xml:space="preserve">15-25 minutes at 37°C). (The optimal incubation time must be empirically determined. A guideline to look for is blue shading the top four standard wells, while the remaining standards remain clear.)</w:t>
        <w:br/>
        <w:t xml:space="preserve"/>
        <w:br/>
        <w:t xml:space="preserve">Add 100 µl of Stop Solution to each well. The color should immediately change to yellow.</w:t>
        <w:br/>
        <w:t xml:space="preserve"/>
        <w:br/>
        <w:t xml:space="preserve">Within 30 minutes of stopping the reaction, the O.D. absorbance should be read with a microplate reader at 450nm.</w:t>
        <w:br/>
        <w:t xml:space="preserve"/>
        <w:br/>
        <w:t xml:space="preserve">Assay Protocol Notes</w:t>
        <w:br/>
        <w:t xml:space="preserve"/>
        <w:br/>
        <w:t xml:space="preserve">Solutions: To avoid cross-contamination, change pipette tips between additions of each standard, between sample additions, and between reagent additions. Also, use separate reservoirs for each reagent.</w:t>
        <w:br/>
        <w:t xml:space="preserve"/>
        <w:br/>
        <w:t xml:space="preserve">Applying Solutions: All solutions should be added to the bottom of the ELISA plate well. Avoid touching the inside wall of the well. Avoid foaming when possible.</w:t>
      </w:r>
    </w:p>
    <w:p>
      <w:pPr>
        <w:pStyle w:val="HeaderStyle"/>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br/>
        <w:t xml:space="preserve"/>
        <w:br/>
        <w:t xml:space="preserve">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 For more information on assay principle, protocols, and troubleshooting tips, see Innovative Research's ELISA Resource Center at https://www.bosterbio.com/elisa-technical-resource-center.</w:t>
        <w:br/>
        <w:t xml:space="preserve"/>
        <w:br/>
        <w:t xml:space="preserve">Overview</w:t>
        <w:br/>
        <w:t xml:space="preserve"/>
        <w:b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br/>
        <w:t xml:space="preserve"/>
        <w:br/>
        <w:t xml:space="preserve">Technical Details</w:t>
        <w:br/>
        <w:t xml:space="preserve"/>
        <w:br/>
        <w:t xml:space="preserve">Preparations Before Assay</w:t>
        <w:br/>
        <w:t xml:space="preserve"/>
        <w:b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r>
    </w:p>
    <w:p>
      <w:pPr>
        <w:pStyle w:val="HeaderStyle"/>
      </w:pPr>
      <w:r>
        <w:t>specification</w:t>
      </w:r>
    </w:p>
    <w:p>
      <w:pPr>
        <w:pStyle w:val="HeaderStyle"/>
      </w:pPr>
      <w:r>
        <w:t>Reagents</w:t>
      </w:r>
    </w:p>
    <w:p>
      <w:pPr>
        <w:pStyle w:val="HeaderStyle"/>
      </w:pPr>
      <w:r>
        <w:t>Materials Required But Not Provided</w:t>
      </w:r>
    </w:p>
    <w:p>
      <w: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r>
    </w:p>
    <w:p>
      <w:pPr>
        <w:pStyle w:val="HeaderStyle"/>
      </w:pPr>
      <w:r>
        <w:t>Typical Data</w:t>
      </w:r>
    </w:p>
    <w:p>
      <w:pPr>
        <w:pStyle w:val="HeaderStyle"/>
      </w:pPr>
      <w:r>
        <w:t>Typical Standard Curve</w:t>
      </w:r>
    </w:p>
    <w:p>
      <w:r>
        <w:t>This standard curve was generated for demonstration purpose only. A standard curve must be run with each assay.</w:t>
      </w:r>
    </w:p>
    <w:tbl>
      <w:tblPr>
        <w:tblStyle w:val="TableGrid"/>
        <w:tblW w:type="auto" w:w="0"/>
        <w:tblLook w:firstColumn="1" w:firstRow="1" w:lastColumn="0" w:lastRow="0" w:noHBand="0" w:noVBand="1" w:val="04A0"/>
      </w:tblPr>
      <w:tblGrid>
        <w:gridCol w:w="4320"/>
        <w:gridCol w:w="4320"/>
      </w:tblGrid>
      <w:tr>
        <w:tc>
          <w:tcPr>
            <w:tcW w:type="dxa" w:w="4320"/>
          </w:tcPr>
          <w:p>
            <w:r>
              <w:rPr>
                <w:b/>
              </w:rPr>
              <w:t>Concentration</w:t>
            </w:r>
          </w:p>
        </w:tc>
        <w:tc>
          <w:tcPr>
            <w:tcW w:type="dxa" w:w="4320"/>
          </w:tcPr>
          <w:p>
            <w:r>
              <w:rPr>
                <w:b/>
              </w:rPr>
              <w:t>OD Value</w:t>
            </w:r>
          </w:p>
        </w:tc>
      </w:tr>
      <w:tr>
        <w:tc>
          <w:tcPr>
            <w:tcW w:type="dxa" w:w="4320"/>
          </w:tcPr>
          <w:p>
            <w:r>
              <w:t xml:space="preserve">0.0</w:t>
            </w:r>
          </w:p>
        </w:tc>
        <w:tc>
          <w:tcPr>
            <w:tcW w:type="dxa" w:w="4320"/>
          </w:tcPr>
          <w:p>
            <w:r>
              <w:t xml:space="preserve">0.061</w:t>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bl>
    <w:p>
      <w:pPr>
        <w:pStyle w:val="HeaderStyle"/>
      </w:pPr>
      <w:r>
        <w:t>INTRA/INTER ASSAY VARIABILITY</w:t>
      </w:r>
    </w:p>
    <w:p>
      <w:r>
        <w:t>Intra-Assay Precision (Precision within an assay): Three samples of known concentration were tested on one plate to assess intra-assay precision.</w:t>
      </w:r>
    </w:p>
    <w:p>
      <w:r>
        <w:t>Inter-Assay Precision (Precision across assays): Three samples of known concentration were tested in separate assays to assess inter- assay precision.</w:t>
      </w:r>
    </w:p>
    <w:p>
      <w:pPr>
        <w:pStyle w:val="HeaderStyle"/>
      </w:pPr>
      <w:r>
        <w:t>Reproducibility</w:t>
      </w:r>
    </w:p>
    <w:p>
      <w:r>
        <w:t>*number of samples for each test n=16.</w:t>
      </w:r>
    </w:p>
    <w:p>
      <w:pPr>
        <w:pStyle w:val="HeaderStyle"/>
      </w:pPr>
      <w:r>
        <w:t>Procedural Notes</w:t>
      </w:r>
    </w:p>
    <w:p>
      <w:r>
        <w:t xml:space="preserve"/>
      </w:r>
    </w:p>
    <w:p>
      <w:pPr>
        <w:pStyle w:val="HeaderStyle"/>
      </w:pPr>
      <w:r>
        <w:t>Reagent Preparation and Storage</w:t>
      </w:r>
    </w:p>
    <w:p>
      <w:pPr>
        <w:pStyle w:val="HeaderStyle"/>
      </w:pPr>
      <w:r>
        <w:t>Dilution of standard</w:t>
      </w:r>
    </w:p>
    <w:p>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pPr>
        <w:pStyle w:val="HeaderStyle"/>
      </w:pPr>
      <w:r>
        <w:t>Sample Collection &amp; Storage</w:t>
      </w:r>
    </w:p>
    <w:p>
      <w: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pPr>
        <w:pStyle w:val="HeaderStyle"/>
      </w:pPr>
      <w:r>
        <w:t>Assay Procedure</w:t>
      </w:r>
    </w:p>
    <w:p>
      <w:r>
        <w:t xml:space="preserve">{% for step in assay_protocol %}</w:t>
      </w:r>
    </w:p>
    <w:p>
      <w:r>
        <w:t xml:space="preserve">{{ step }}</w:t>
      </w:r>
    </w:p>
    <w:p>
      <w:r>
        <w:t xml:space="preserve">{% endfor %}</w:t>
      </w:r>
    </w:p>
    <w:p>
      <w:pPr>
        <w:pStyle w:val="HeaderStyle"/>
      </w:pPr>
      <w:r>
        <w:t>data analysis</w:t>
      </w:r>
    </w:p>
    <w:p>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Submit a Product Review to Biocompare.com</w:t>
        <w:br/>
        <w:t xml:space="preserve"/>
        <w:br/>
        <w:t xml:space="preserve">Submit a review of this product to Biocompare.com to receive a $20 Amazon.com gift card! Your reviews help your fellow scientists make the right decisions. Thank you for your contribution. Mouse KLK1/Kallikrein 1 ELISA Kit ®</w:t>
      </w:r>
    </w:p>
    <w:p>
      <w:pPr>
        <w:pStyle w:val="HeaderStyle"/>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erStyle">
    <w:name w:val="Header Style"/>
    <w:rPr>
      <w:rFonts w:ascii="Calibri" w:hAnsi="Calibri"/>
      <w:b/>
      <w:color w:val="00008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