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32"/>
        </w:rPr>
        <w:t xml:space="preserve">Mouse IL-6 ELISA Kit</w:t>
      </w:r>
    </w:p>
    <w:p>
      <w:pPr>
        <w:jc w:val="center"/>
      </w:pPr>
      <w:r>
        <w:rPr>
          <w:b/>
        </w:rPr>
        <w:t xml:space="preserve">Catalog Number: </w:t>
      </w:r>
      <w:r>
        <w:t xml:space="preserve">IMSIL6KT</w:t>
      </w:r>
      <w:r>
        <w:rPr>
          <w:b/>
        </w:rPr>
        <w:t xml:space="preserve">          Lot Number: </w:t>
      </w:r>
      <w:r>
        <w:t xml:space="preserve">20250101</w:t>
      </w:r>
    </w:p>
    <w:p/>
    <w:p>
      <w:pPr>
        <w:pStyle w:val="HeaderStyle"/>
      </w:pPr>
      <w:r>
        <w:t>Intended Use:</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
      <w:pPr>
        <w:pStyle w:val="HeaderStyle"/>
      </w:pPr>
      <w:r>
        <w:t>Background:</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p>
      <w:pPr>
        <w:pStyle w:val="HeaderStyle"/>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p>
      <w:pPr>
        <w:pStyle w:val="HeaderStyle"/>
      </w:pPr>
      <w:r>
        <w:t>Kit Components:</w:t>
      </w:r>
    </w:p>
    <w:p>
      <w:r>
        <w:rPr>
          <w:b/>
        </w:rPr>
        <w:t>The following reagents are included:</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Component</w:t>
            </w:r>
          </w:p>
        </w:tc>
        <w:tc>
          <w:tcPr>
            <w:tcW w:type="dxa" w:w="2880"/>
          </w:tcPr>
          <w:p>
            <w:r>
              <w:rPr>
                <w:b/>
              </w:rPr>
              <w:t>Volume</w:t>
            </w:r>
          </w:p>
        </w:tc>
        <w:tc>
          <w:tcPr>
            <w:tcW w:type="dxa" w:w="2880"/>
          </w:tcPr>
          <w:p>
            <w:r>
              <w:rPr>
                <w:b/>
              </w:rPr>
              <w:t>Storage</w:t>
            </w:r>
          </w:p>
        </w:tc>
      </w:tr>
      <w:tr>
        <w:tc>
          <w:tcPr>
            <w:tcW w:type="dxa" w:w="2880"/>
          </w:tcPr>
          <w:p>
            <w:r>
              <w:t xml:space="preserve">Specificity</w:t>
            </w:r>
          </w:p>
        </w:tc>
        <w:tc>
          <w:tcPr>
            <w:tcW w:type="dxa" w:w="2880"/>
          </w:tcPr>
          <w:p>
            <w:r>
              <w:t xml:space="preserve"/>
            </w:r>
          </w:p>
        </w:tc>
        <w:tc>
          <w:tcPr>
            <w:tcW w:type="dxa" w:w="2880"/>
          </w:tcPr>
          <w:p>
            <w:r>
              <w:t xml:space="preserve"/>
            </w:r>
          </w:p>
        </w:tc>
      </w:tr>
      <w:tr>
        <w:tc>
          <w:tcPr>
            <w:tcW w:type="dxa" w:w="2880"/>
          </w:tcPr>
          <w:p>
            <w:r>
              <w:t xml:space="preserve">Standard Protein</w:t>
            </w:r>
          </w:p>
        </w:tc>
        <w:tc>
          <w:tcPr>
            <w:tcW w:type="dxa" w:w="2880"/>
          </w:tcPr>
          <w:p>
            <w:r>
              <w:t xml:space="preserve"/>
            </w:r>
          </w:p>
        </w:tc>
        <w:tc>
          <w:tcPr>
            <w:tcW w:type="dxa" w:w="2880"/>
          </w:tcPr>
          <w:p>
            <w:r>
              <w:t xml:space="preserve"/>
            </w:r>
          </w:p>
        </w:tc>
      </w:tr>
      <w:tr>
        <w:tc>
          <w:tcPr>
            <w:tcW w:type="dxa" w:w="2880"/>
          </w:tcPr>
          <w:p>
            <w:r>
              <w:t xml:space="preserve">Cross-reactivity</w:t>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bl>
    <w:p/>
    <w:p>
      <w:pPr>
        <w:pStyle w:val="HeaderStyle"/>
      </w:pPr>
      <w:r>
        <w:t>Materials Required But Not Supplied:</w:t>
      </w:r>
    </w:p>
    <w:p>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p>
      <w:pPr>
        <w:pStyle w:val="HeaderStyle"/>
      </w:pPr>
      <w:r>
        <w:t>Reagent Preparation:</w:t>
      </w:r>
    </w:p>
    <w:p>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p>
      <w:pPr>
        <w:pStyle w:val="HeaderStyle"/>
      </w:pPr>
      <w:r>
        <w:t>Sample Collection and Storage:</w:t>
      </w:r>
    </w:p>
    <w:p>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p>
      <w:pPr>
        <w:pStyle w:val="HeaderStyle"/>
      </w:pPr>
      <w:r>
        <w:t>Assay Procedure:</w:t>
      </w:r>
    </w:p>
    <w:p>
      <w:pPr>
        <w:pStyle w:val="ListNumber"/>
      </w:pPr>
      <w: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ListNumber"/>
      </w:pPr>
      <w:r>
        <w:t xml:space="preserve"/>
      </w:r>
    </w:p>
    <w:p>
      <w:pPr>
        <w:pStyle w:val="ListNumber"/>
      </w:pPr>
      <w:r>
        <w:t xml:space="preserve"/>
      </w:r>
    </w:p>
    <w:p>
      <w:pPr>
        <w:pStyle w:val="ListNumber"/>
      </w:pPr>
      <w:r>
        <w:t xml:space="preserve"/>
      </w:r>
    </w:p>
    <w:p>
      <w:pPr>
        <w:pStyle w:val="ListNumber"/>
      </w:pPr>
      <w:r>
        <w:t xml:space="preserve"/>
      </w:r>
    </w:p>
    <w:p>
      <w:pPr>
        <w:pStyle w:val="ListNumber"/>
      </w:pPr>
      <w:r>
        <w:t xml:space="preserve"/>
      </w:r>
    </w:p>
    <w:p>
      <w:pPr>
        <w:pStyle w:val="ListNumber"/>
      </w:pPr>
      <w:r>
        <w:t xml:space="preserve"/>
      </w:r>
    </w:p>
    <w:p>
      <w:pPr>
        <w:pStyle w:val="ListNumber"/>
      </w:pPr>
      <w:r>
        <w:t xml:space="preserve"/>
      </w:r>
    </w:p>
    <w:p>
      <w:pPr>
        <w:pStyle w:val="ListNumber"/>
      </w:pPr>
      <w:r>
        <w:t xml:space="preserve"/>
      </w:r>
    </w:p>
    <w:p>
      <w:pPr>
        <w:pStyle w:val="ListNumber"/>
      </w:pPr>
      <w:r>
        <w:t xml:space="preserve"/>
      </w:r>
    </w:p>
    <w:p/>
    <w:p>
      <w:pPr>
        <w:pStyle w:val="HeaderStyle"/>
      </w:pPr>
      <w:r>
        <w:t>Calculation of Results: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w:t>
      </w:r>
    </w:p>
    <w:p/>
    <w:p>
      <w:pPr>
        <w:pStyle w:val="HeaderStyle"/>
      </w:pPr>
      <w:r>
        <w:t>Standard Curve:</w:t>
      </w:r>
    </w:p>
    <w:p>
      <w:r>
        <w:t xml:space="preserve">Mouse IL ELISA Standard Curve Example</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xml:space="preserve">0.0</w:t>
            </w:r>
          </w:p>
        </w:tc>
        <w:tc>
          <w:tcPr>
            <w:tcW w:type="dxa" w:w="4320"/>
          </w:tcPr>
          <w:p>
            <w:r>
              <w:t xml:space="preserve">0.061</w:t>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bl>
    <w:p/>
    <w:p>
      <w:pPr>
        <w:pStyle w:val="HeaderStyle"/>
      </w:pPr>
      <w:r>
        <w:t>Sensitivity:</w:t>
      </w:r>
    </w:p>
    <w:p>
      <w:r>
        <w:t xml:space="preserve">12 pg/ml</w:t>
      </w:r>
    </w:p>
    <w:p/>
    <w:p>
      <w:pPr>
        <w:pStyle w:val="HeaderStyle"/>
      </w:pPr>
      <w:r>
        <w:t>Precision:</w:t>
      </w:r>
    </w:p>
    <w:p>
      <w:r>
        <w:t>Intra-Assay Precision (Precision within an assay)</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Sample</w:t>
            </w:r>
          </w:p>
        </w:tc>
        <w:tc>
          <w:tcPr>
            <w:tcW w:type="dxa" w:w="2880"/>
          </w:tcPr>
          <w:p>
            <w:r>
              <w:rPr>
                <w:b/>
              </w:rPr>
              <w:t>n</w:t>
            </w:r>
          </w:p>
        </w:tc>
        <w:tc>
          <w:tcPr>
            <w:tcW w:type="dxa" w:w="2880"/>
          </w:tcPr>
          <w:p>
            <w:r>
              <w:rPr>
                <w:b/>
              </w:rPr>
              <w:t>CV%</w:t>
            </w:r>
          </w:p>
        </w:tc>
      </w:tr>
      <w:tr>
        <w:tc>
          <w:tcPr>
            <w:tcW w:type="dxa" w:w="2880"/>
          </w:tcPr>
          <w:p>
            <w:r>
              <w:t xml:space="preserve"/>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bl>
    <w:p/>
    <w:p>
      <w:r>
        <w:t>Inter-Assay Precision (Precision between assays)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Sample</w:t>
            </w:r>
          </w:p>
        </w:tc>
        <w:tc>
          <w:tcPr>
            <w:tcW w:type="dxa" w:w="2880"/>
          </w:tcPr>
          <w:p>
            <w:r>
              <w:rPr>
                <w:b/>
              </w:rPr>
              <w:t>n</w:t>
            </w:r>
          </w:p>
        </w:tc>
        <w:tc>
          <w:tcPr>
            <w:tcW w:type="dxa" w:w="2880"/>
          </w:tcPr>
          <w:p>
            <w:r>
              <w:rPr>
                <w:b/>
              </w:rPr>
              <w:t>CV%</w:t>
            </w:r>
          </w:p>
        </w:tc>
      </w:tr>
      <w:tr>
        <w:tc>
          <w:tcPr>
            <w:tcW w:type="dxa" w:w="2880"/>
          </w:tcPr>
          <w:p>
            <w:r>
              <w:t xml:space="preserve"/>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r>
        <w:tc>
          <w:tcPr>
            <w:tcW w:type="dxa" w:w="2880"/>
          </w:tcPr>
          <w:p>
            <w:r>
              <w:t xml:space="preserve"/>
            </w:r>
          </w:p>
        </w:tc>
        <w:tc>
          <w:tcPr>
            <w:tcW w:type="dxa" w:w="2880"/>
          </w:tcPr>
          <w:p>
            <w:r>
              <w:t xml:space="preserve"/>
            </w:r>
          </w:p>
        </w:tc>
        <w:tc>
          <w:tcPr>
            <w:tcW w:type="dxa" w:w="2880"/>
          </w:tcPr>
          <w:p>
            <w:r>
              <w:t xml:space="preserve"/>
            </w:r>
          </w:p>
        </w:tc>
      </w:tr>
    </w:tbl>
    <w:p/>
    <w:p>
      <w:pPr>
        <w:pStyle w:val="HeaderStyle"/>
      </w:pPr>
      <w:r>
        <w:t>Specificity:</w:t>
      </w:r>
    </w:p>
    <w:p>
      <w:r>
        <w:t xml:space="preserve">Natural and recombinant Mouse Klk1</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