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Calibri" w:hAnsi="Calibri"/>
          <w:b/>
          <w:sz w:val="72"/>
        </w:rPr>
        <w:t>Mouse KLK1 ELISA Kit</w:t>
      </w:r>
    </w:p>
    <w:p>
      <w:pPr>
        <w:jc w:val="center"/>
      </w:pPr>
      <w:r>
        <w:rPr>
          <w:rFonts w:ascii="Calibri" w:hAnsi="Calibri"/>
          <w:b/>
          <w:sz w:val="32"/>
        </w:rPr>
        <w:t>Catalog #: IMSKLK1KT</w:t>
      </w:r>
      <w:r>
        <w:t xml:space="preserve"> | </w:t>
      </w:r>
      <w:r>
        <w:rPr>
          <w:rFonts w:ascii="Calibri" w:hAnsi="Calibri"/>
          <w:b/>
          <w:sz w:val="32"/>
        </w:rPr>
        <w:t>Lot #: 20250424</w:t>
      </w:r>
    </w:p>
    <w:p>
      <w:pPr>
        <w:pStyle w:val="Heading1"/>
      </w:pPr>
      <w:r>
        <w:rPr>
          <w:rFonts w:ascii="Calibri" w:hAnsi="Calibri"/>
          <w:b/>
          <w:color w:val="0046B4"/>
        </w:rPr>
        <w:t>INTENDED USE</w:t>
      </w:r>
    </w:p>
    <w:p>
      <w:pPr>
        <w:spacing w:after="240"/>
      </w:pPr>
      <w:r>
        <w:rPr>
          <w:rFonts w:ascii="Calibri" w:hAnsi="Calibri"/>
        </w:rPr>
        <w:t>For the quantitation of Mouse Klk1 concentrations in cell culture supernatants, cell lysates, serum and plasma (heparin, EDTA).</w:t>
      </w:r>
    </w:p>
    <w:p>
      <w:pPr>
        <w:pStyle w:val="Heading1"/>
      </w:pPr>
      <w:r>
        <w:rPr>
          <w:rFonts w:ascii="Calibri" w:hAnsi="Calibri"/>
          <w:b/>
          <w:color w:val="0046B4"/>
        </w:rPr>
        <w:t>BACKGROUND</w:t>
      </w:r>
    </w:p>
    <w:p>
      <w:pPr>
        <w:spacing w:after="240"/>
      </w:pPr>
    </w:p>
    <w:p>
      <w:pPr>
        <w:pStyle w:val="Heading1"/>
      </w:pPr>
      <w:r>
        <w:rPr>
          <w:rFonts w:ascii="Calibri" w:hAnsi="Calibri"/>
          <w:b/>
          <w:color w:val="0046B4"/>
        </w:rPr>
        <w:t>PRINCIPLE OF THE ASSAY</w:t>
      </w:r>
    </w:p>
    <w:p>
      <w:pPr>
        <w:spacing w:after="240"/>
      </w:pPr>
    </w:p>
    <w:p>
      <w:pPr>
        <w:pStyle w:val="Heading1"/>
      </w:pPr>
      <w:r>
        <w:rPr>
          <w:rFonts w:ascii="Calibri" w:hAnsi="Calibri"/>
          <w:b/>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rFonts w:ascii="Calibri" w:hAnsi="Calibri"/>
                <w:b/>
              </w:rPr>
              <w:t>Sensitivity</w:t>
            </w:r>
          </w:p>
        </w:tc>
        <w:tc>
          <w:tcPr>
            <w:tcW w:type="dxa" w:w="5400"/>
          </w:tcPr>
          <w:p>
            <w:r>
              <w:rPr>
                <w:rFonts w:ascii="Calibri" w:hAnsi="Calibri"/>
              </w:rPr>
              <w:t>or the minimum detectable dose (mdd) is the lower limit of the target protein that can be detected by the kit. it is determined by adding two standard deviations to the mean o.d. value of twenty (20) blank wells and calculating the corresponding concentration.</w:t>
            </w:r>
          </w:p>
        </w:tc>
      </w:tr>
      <w:tr>
        <w:tc>
          <w:tcPr>
            <w:tcW w:type="dxa" w:w="5400"/>
          </w:tcPr>
          <w:p>
            <w:r>
              <w:rPr>
                <w:rFonts w:ascii="Calibri" w:hAnsi="Calibri"/>
                <w:b/>
              </w:rPr>
              <w:t>Detection Range</w:t>
            </w:r>
          </w:p>
        </w:tc>
        <w:tc>
          <w:tcPr>
            <w:tcW w:type="dxa" w:w="5400"/>
          </w:tcPr>
          <w:p>
            <w:r>
              <w:rPr>
                <w:rFonts w:ascii="Calibri" w:hAnsi="Calibri"/>
              </w:rPr>
              <w:t>62.5 pg/ml - 4,000 pg/ml</w:t>
            </w:r>
          </w:p>
        </w:tc>
      </w:tr>
      <w:tr>
        <w:tc>
          <w:tcPr>
            <w:tcW w:type="dxa" w:w="5400"/>
          </w:tcPr>
          <w:p>
            <w:r>
              <w:rPr>
                <w:rFonts w:ascii="Calibri" w:hAnsi="Calibri"/>
                <w:b/>
              </w:rPr>
              <w:t>Specificity</w:t>
            </w:r>
          </w:p>
        </w:tc>
        <w:tc>
          <w:tcPr>
            <w:tcW w:type="dxa" w:w="5400"/>
          </w:tcPr>
          <w:p>
            <w:r>
              <w:rPr>
                <w:rFonts w:ascii="Calibri" w:hAnsi="Calibri"/>
              </w:rPr>
              <w:t>Natural and recombinant Mouse Klk1</w:t>
            </w:r>
          </w:p>
        </w:tc>
      </w:tr>
      <w:tr>
        <w:tc>
          <w:tcPr>
            <w:tcW w:type="dxa" w:w="5400"/>
          </w:tcPr>
          <w:p>
            <w:r>
              <w:rPr>
                <w:rFonts w:ascii="Calibri" w:hAnsi="Calibri"/>
                <w:b/>
              </w:rPr>
              <w:t>Cross-reactivity</w:t>
            </w:r>
          </w:p>
        </w:tc>
        <w:tc>
          <w:tcPr>
            <w:tcW w:type="dxa" w:w="5400"/>
          </w:tcPr>
          <w:p>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p>
      <w:pPr>
        <w:spacing w:after="240"/>
      </w:pPr>
    </w:p>
    <w:p>
      <w:pPr>
        <w:pStyle w:val="Heading1"/>
      </w:pPr>
      <w:r>
        <w:rPr>
          <w:rFonts w:ascii="Calibri" w:hAnsi="Calibri"/>
          <w:b/>
          <w:color w:val="0046B4"/>
        </w:rPr>
        <w:t>KIT COMPONENTS</w:t>
      </w:r>
    </w:p>
    <w:p>
      <w:r>
        <w:t>Kit components information not available.</w:t>
      </w:r>
    </w:p>
    <w:p>
      <w:pPr>
        <w:spacing w:after="240"/>
      </w:pPr>
    </w:p>
    <w:p>
      <w:pPr>
        <w:pStyle w:val="Heading1"/>
      </w:pPr>
      <w:r>
        <w:rPr>
          <w:rFonts w:ascii="Calibri" w:hAnsi="Calibri"/>
          <w:b/>
          <w:color w:val="0046B4"/>
        </w:rPr>
        <w:t>MATERIALS REQUIRED BUT NOT PROVIDED</w:t>
      </w:r>
    </w:p>
    <w:p>
      <w:r>
        <w:t>Materials information not available.</w:t>
      </w:r>
    </w:p>
    <w:p>
      <w:pPr>
        <w:spacing w:after="240"/>
      </w:pPr>
    </w:p>
    <w:p>
      <w:pPr>
        <w:pStyle w:val="Heading1"/>
      </w:pPr>
      <w:r>
        <w:rPr>
          <w:rFonts w:ascii="Calibri" w:hAnsi="Calibri"/>
          <w:b/>
          <w:color w:val="0046B4"/>
        </w:rPr>
        <w:t>ASSAY PROTOCOL</w:t>
      </w:r>
    </w:p>
    <w:p>
      <w:pPr>
        <w:pStyle w:val="ListNumber"/>
      </w:pPr>
      <w:r>
        <w:rPr>
          <w:rFonts w:ascii="Calibri" w:hAnsi="Calibri"/>
        </w:rPr>
        <w:t>Add 100 µl of the standard, samples, or control per well. Add 100 µl of the Sample Diluent into the zero well. At least two replicates of each standard, sample, or control is recommended.</w:t>
      </w:r>
    </w:p>
    <w:p>
      <w:pPr>
        <w:pStyle w:val="ListNumber"/>
      </w:pPr>
      <w:r>
        <w:rPr>
          <w:rFonts w:ascii="Calibri" w:hAnsi="Calibri"/>
        </w:rPr>
        <w:t>Cover with the plate sealer provided and incubate for 120 minutes at room temperature (or 90 min. at 37 °C).</w:t>
      </w:r>
    </w:p>
    <w:p>
      <w:pPr>
        <w:pStyle w:val="ListNumber"/>
      </w:pPr>
      <w:r>
        <w:rPr>
          <w:rFonts w:ascii="Calibri" w:hAnsi="Calibri"/>
        </w:rPr>
        <w:t>Add 100 µl of the prepared 1x Biotinylated Anti-Mouse Klk1 antibody to each well.</w:t>
      </w:r>
    </w:p>
    <w:p>
      <w:pPr>
        <w:pStyle w:val="ListNumber"/>
      </w:pPr>
      <w:r>
        <w:rPr>
          <w:rFonts w:ascii="Calibri" w:hAnsi="Calibri"/>
        </w:rPr>
        <w:t>Cover with a plate sealer and incubate for 90 minutes at room temperature (or 60 minutes at 37°C).</w:t>
      </w:r>
    </w:p>
    <w:p>
      <w:pPr>
        <w:pStyle w:val="ListNumber"/>
      </w:pPr>
      <w:r>
        <w:rPr>
          <w:rFonts w:ascii="Calibri" w:hAnsi="Calibri"/>
        </w:rPr>
        <w:t>Wash the plate 3 times with the 1x wash buffer:</w:t>
      </w:r>
    </w:p>
    <w:p>
      <w:pPr>
        <w:pStyle w:val="ListNumber"/>
      </w:pPr>
      <w:r>
        <w:rPr>
          <w:rFonts w:ascii="Calibri" w:hAnsi="Calibri"/>
        </w:rPr>
        <w:t>Add 300 µl of the 1x wash buffer to each assay well. (For cleaner background incubate for 60 seconds between each wash).</w:t>
      </w:r>
    </w:p>
    <w:p>
      <w:pPr>
        <w:pStyle w:val="ListNumber"/>
      </w:pPr>
      <w:r>
        <w:rPr>
          <w:rFonts w:ascii="Calibri" w:hAnsi="Calibri"/>
        </w:rPr>
        <w:t>Repeat steps a-b 2 additional times.</w:t>
      </w:r>
    </w:p>
    <w:p>
      <w:pPr>
        <w:pStyle w:val="ListNumber"/>
      </w:pPr>
      <w:r>
        <w:rPr>
          <w:rFonts w:ascii="Calibri" w:hAnsi="Calibri"/>
        </w:rPr>
        <w:t>Discard the wash buffer in the wells into an appropriate waste receptacle. Then, invert the plate on the benchtop onto a paper towel and tap the plate to gently blot any remaining liquid.</w:t>
      </w:r>
    </w:p>
    <w:p>
      <w:pPr>
        <w:pStyle w:val="ListNumber"/>
      </w:pPr>
      <w:r>
        <w:rPr>
          <w:rFonts w:ascii="Calibri" w:hAnsi="Calibri"/>
        </w:rPr>
        <w:t>Add 100 µl of the prepared 1x Avidin-Biotin-Peroxidase Complex into each well. Cover with the plate sealer provided and incubate for 40 minutes at RT (or 30 minutes at 37°C).</w:t>
      </w:r>
    </w:p>
    <w:p>
      <w:pPr>
        <w:pStyle w:val="ListNumber"/>
      </w:pPr>
      <w:r>
        <w:rPr>
          <w:rFonts w:ascii="Calibri" w:hAnsi="Calibri"/>
        </w:rPr>
        <w:t>Wash the plate 5 times with the 1x wash buffer:</w:t>
      </w:r>
    </w:p>
    <w:p>
      <w:pPr>
        <w:pStyle w:val="ListNumber"/>
      </w:pPr>
      <w:r>
        <w:rPr>
          <w:rFonts w:ascii="Calibri" w:hAnsi="Calibri"/>
        </w:rPr>
        <w:t>Add 300 µl of the 1x wash buffer to each assay well. (For cleaner background incubate for 60 seconds between each wash).</w:t>
      </w:r>
    </w:p>
    <w:p>
      <w:pPr>
        <w:pStyle w:val="ListNumber"/>
      </w:pPr>
      <w:r>
        <w:rPr>
          <w:rFonts w:ascii="Calibri" w:hAnsi="Calibri"/>
        </w:rPr>
        <w:t>Repeat steps a-b 4 additional times.</w:t>
      </w:r>
    </w:p>
    <w:p>
      <w:pPr>
        <w:pStyle w:val="ListNumber"/>
      </w:pPr>
      <w:r>
        <w:rPr>
          <w:rFonts w:ascii="Calibri" w:hAnsi="Calibri"/>
        </w:rPr>
        <w:t>Discard the wash buffer in the wells into an appropriate waste receptacle. Then, invert the plate on the benchtop onto a paper towel and tap the plate to gently blot any remaining liquid.</w:t>
      </w:r>
    </w:p>
    <w:p>
      <w:pPr>
        <w:pStyle w:val="ListNumber"/>
      </w:pPr>
      <w:r>
        <w:rPr>
          <w:rFonts w:ascii="Calibri" w:hAnsi="Calibri"/>
        </w:rPr>
        <w:t>Add 90 µl of Color Developing Reagent to each well. Cover with the plate sealer provided and incubate in the dark for 30 minutes at RT (or</w:t>
      </w:r>
    </w:p>
    <w:p>
      <w:pPr>
        <w:pStyle w:val="ListNumber"/>
      </w:pPr>
      <w:r>
        <w:rPr>
          <w:rFonts w:ascii="Calibri" w:hAnsi="Calibri"/>
        </w:rPr>
        <w:t>Add 100 µl of Stop Solution to each well. The color should immediately change to yellow.</w:t>
      </w:r>
    </w:p>
    <w:p>
      <w:pPr>
        <w:pStyle w:val="ListNumber"/>
      </w:pPr>
      <w:r>
        <w:rPr>
          <w:rFonts w:ascii="Calibri" w:hAnsi="Calibri"/>
        </w:rPr>
        <w:t>Solutions: To avoid cross-contamination, change pipette tips between additions of each standard, between sample additions, and between reagent additions. Also, use separate reservoirs for each reagent.</w:t>
      </w:r>
    </w:p>
    <w:p>
      <w:pPr>
        <w:pStyle w:val="ListNumber"/>
      </w:pPr>
      <w:r>
        <w:rPr>
          <w:rFonts w:ascii="Calibri" w:hAnsi="Calibri"/>
        </w:rPr>
        <w:t>Applying Solutions: All solutions should be added to the bottom of the ELISA plate well. Avoid touching the inside wall of the well. Avoid foaming when possible.</w:t>
      </w:r>
    </w:p>
    <w:p>
      <w:pPr>
        <w:pStyle w:val="ListNumber"/>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ListNumber"/>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pStyle w:val="ListNumber"/>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pStyle w:val="ListNumber"/>
      </w:pPr>
      <w:r>
        <w:rPr>
          <w:rFonts w:ascii="Calibri" w:hAnsi="Calibri"/>
        </w:rPr>
        <w:t>Publications Citing This Product</w:t>
      </w:r>
    </w:p>
    <w:p>
      <w:pPr>
        <w:pStyle w:val="ListNumber"/>
      </w:pPr>
      <w:r>
        <w:rPr>
          <w:rFonts w:ascii="Calibri" w:hAnsi="Calibri"/>
        </w:rPr>
        <w:t>Solutions: To avoid cross-contamination, change pipette tips between additions of each standard, between sample additions, and between reagent additions. Also, use separate reservoirs for each reagent.</w:t>
      </w:r>
    </w:p>
    <w:p>
      <w:pPr>
        <w:pStyle w:val="ListNumber"/>
      </w:pPr>
      <w:r>
        <w:rPr>
          <w:rFonts w:ascii="Calibri" w:hAnsi="Calibri"/>
        </w:rPr>
        <w:t>Applying Solutions: All solutions should be added to the bottom of the ELISA plate well. Avoid touching the inside wall of the well. Avoid foaming when possible.</w:t>
      </w:r>
    </w:p>
    <w:p>
      <w:pPr>
        <w:pStyle w:val="ListNumber"/>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ListNumber"/>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pStyle w:val="ListNumber"/>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pStyle w:val="ListNumber"/>
      </w:pPr>
      <w:r>
        <w:rPr>
          <w:rFonts w:ascii="Calibri" w:hAnsi="Calibri"/>
        </w:rPr>
        <w:t>Publications Citing This Product</w:t>
      </w:r>
    </w:p>
    <w:p>
      <w:pPr>
        <w:spacing w:after="240"/>
      </w:pP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b/>
        <w:sz w:val="48"/>
      </w:rPr>
      <w:t>INNOVATIVE RESEARCH</w:t>
    </w:r>
    <w:r>
      <w:br/>
    </w:r>
    <w:r>
      <w:rPr>
        <w:rFonts w:ascii="Calibri Light" w:hAnsi="Calibri Light"/>
        <w:sz w:val="24"/>
      </w:rPr>
      <w:t>35200 Schoolcraft Rd, Livonia, MI 48150 | Phone: (248) 896-0142 | Fax: (248) 896-0148</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 KLK1 ELISA Kit</dc:title>
  <dc:subject/>
  <dc:creator>Innovative Research</dc:creator>
  <cp:keywords/>
  <dc:description>generated by python-docx</dc:description>
  <cp:lastModifiedBy/>
  <cp:revision>1</cp:revision>
  <dcterms:created xsi:type="dcterms:W3CDTF">2013-12-23T23:15:00Z</dcterms:created>
  <dcterms:modified xsi:type="dcterms:W3CDTF">2013-12-23T23:15:00Z</dcterms:modified>
  <cp:category/>
</cp:coreProperties>
</file>