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Calibri" w:hAnsi="Calibri"/>
          <w:b/>
          <w:sz w:val="32"/>
        </w:rPr>
        <w:t xml:space="preserve">Mouse KLK1 ELISA Kit</w:t>
      </w:r>
    </w:p>
    <w:p>
      <w:pPr>
        <w:jc w:val="center"/>
      </w:pPr>
      <w:r>
        <w:rPr>
          <w:b/>
        </w:rPr>
        <w:t xml:space="preserve">Catalog Number: </w:t>
      </w:r>
      <w:r>
        <w:t xml:space="preserve">IMSKLK1KT</w:t>
      </w:r>
      <w:r>
        <w:rPr>
          <w:b/>
        </w:rPr>
        <w:t xml:space="preserve">          Lot Number: </w:t>
      </w:r>
      <w:r>
        <w:t xml:space="preserve">Sample</w:t>
      </w:r>
    </w:p>
    <w:p/>
    <w:p>
      <w:pPr>
        <w:pStyle w:val="HeaderStyle"/>
      </w:pPr>
      <w:r>
        <w:t>Intended Use:</w:t>
      </w:r>
    </w:p>
    <w:p>
      <w: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w:t>
      </w:r>
    </w:p>
    <w:p/>
    <w:p>
      <w:pPr>
        <w:pStyle w:val="HeaderStyle"/>
      </w:pPr>
      <w:r>
        <w:t>Background:</w:t>
      </w:r>
    </w:p>
    <w:p>
      <w:r>
        <w:t xml:space="preserve">Repeat steps a-b 2 additional times.</w:t>
        <w:br/>
        <w:t xml:space="preserve"/>
        <w:br/>
        <w:t xml:space="preserve">Discard the wash buffer in the wells into an appropriate waste receptacle. Then, invert the plate on the benchtop onto a paper towel and tap the plate to gently blot any remaining liquid.</w:t>
        <w:br/>
        <w:t xml:space="preserve"/>
        <w:br/>
        <w:t xml:space="preserve">Add 100 µl of the prepared 1x Avidin-Biotin-Peroxidase Complex into each well. Cover with the plate sealer provided and incubate for 40 minutes at RT (or 30 minutes at 37°C).</w:t>
        <w:br/>
        <w:t xml:space="preserve"/>
        <w:br/>
        <w:t xml:space="preserve">Wash the plate 5 times with the 1x wash buffer:</w:t>
        <w:br/>
        <w:t xml:space="preserve"/>
        <w:br/>
        <w:t xml:space="preserve">Discard the liquid in the wells into an appropriate waste receptacle. Then, invert the plate on the benchtop onto a paper towel and tap the plate to gently blot any remaining liquid. It is recommended that the wells are not allowed to completely dry at any time.</w:t>
        <w:br/>
        <w:t xml:space="preserve"/>
        <w:br/>
        <w:t xml:space="preserve">Add 300 µl of the 1x wash buffer to each assay well. (For cleaner background incubate for 60 seconds between each wash).</w:t>
        <w:br/>
        <w:t xml:space="preserve"/>
        <w:br/>
        <w:t xml:space="preserve">Repeat steps a-b 4 additional times.</w:t>
        <w:br/>
        <w:t xml:space="preserve"/>
        <w:br/>
        <w:t xml:space="preserve">Discard the wash buffer in the wells into an appropriate waste receptacle. Then, invert the plate on the benchtop onto a paper towel and tap the plate to gently blot any remaining liquid.</w:t>
        <w:br/>
        <w:t xml:space="preserve"/>
        <w:br/>
        <w:t xml:space="preserve">Add 90 µl of Color Developing Reagent to each well. Cover with the plate sealer provided and incubate in the dark for 30 minutes at RT (or</w:t>
        <w:br/>
        <w:t xml:space="preserve"/>
        <w:br/>
        <w:t xml:space="preserve">15-25 minutes at 37°C). (The optimal incubation time must be empirically determined. A guideline to look for is blue shading the top four standard wells, while the remaining standards remain clear.)</w:t>
        <w:br/>
        <w:t xml:space="preserve"/>
        <w:br/>
        <w:t xml:space="preserve">Add 100 µl of Stop Solution to each well. The color should immediately change to yellow.</w:t>
        <w:br/>
        <w:t xml:space="preserve"/>
        <w:br/>
        <w:t xml:space="preserve">Within 30 minutes of stopping the reaction, the O.D. absorbance should be read with a microplate reader at 450nm.</w:t>
        <w:br/>
        <w:t xml:space="preserve"/>
        <w:br/>
        <w:t xml:space="preserve">Assay Protocol Notes</w:t>
        <w:br/>
        <w:t xml:space="preserve"/>
        <w:br/>
        <w:t xml:space="preserve">Solutions: To avoid cross-contamination, change pipette tips between additions of each standard, between sample additions, and between reagent additions. Also, use separate reservoirs for each reagent.</w:t>
        <w:br/>
        <w:t xml:space="preserve"/>
        <w:br/>
        <w:t xml:space="preserve">Applying Solutions: All solutions should be added to the bottom of the ELISA plate well. Avoid touching the inside wall of the well. Avoid foaming when possible.</w:t>
      </w:r>
    </w:p>
    <w:p/>
    <w:p>
      <w:pPr>
        <w:pStyle w:val="HeaderStyle"/>
      </w:pPr>
      <w:r>
        <w:t>Principle of the Assay:</w:t>
      </w:r>
    </w:p>
    <w:p>
      <w: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w:t>
        <w:br/>
        <w:t xml:space="preserve"/>
        <w:br/>
        <w:t xml:space="preserve">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 For more information on assay principle, protocols, and troubleshooting tips, see Innovative Research's ELISA Resource Center at https://www.bosterbio.com/elisa-technical-resource-center.</w:t>
        <w:br/>
        <w:t xml:space="preserve"/>
        <w:br/>
        <w:t xml:space="preserve">Overview</w:t>
        <w:br/>
        <w:t xml:space="preserve"/>
        <w:br/>
        <w:t xml:space="preserve">*The sensitivity or the minimum detectable dose (MDD) is the lower limit of the target protein that can be detected by the kit. It is determined by adding two standard deviations to the mean O.D. value of twenty (20) blank wells and calculating the corresponding concentration.</w:t>
        <w:br/>
        <w:t xml:space="preserve"/>
        <w:br/>
        <w:t xml:space="preserve">Technical Details</w:t>
        <w:br/>
        <w:t xml:space="preserve"/>
        <w:br/>
        <w:t xml:space="preserve">Preparations Before Assay</w:t>
        <w:br/>
        <w:t xml:space="preserve"/>
        <w:br/>
        <w:t xml:space="preserve">Please read the following instructions before starting the experiment.</w:t>
        <w:br/>
        <w:t xml:space="preserve"/>
        <w:br/>
        <w:t xml:space="preserve">Read this manual in its entirety in order to minimize the chance of error.</w:t>
        <w:br/>
        <w:t xml:space="preserve"/>
        <w:br/>
        <w:t xml:space="preserve">Confirm that you have the appropriate non-supplied equipment available.</w:t>
        <w:br/>
        <w:t xml:space="preserve"/>
        <w:br/>
        <w:t xml:space="preserve">Confirm that the species, target antigen, and sensitivity of this kit are appropriate for your intended application.</w:t>
        <w:br/>
        <w:t xml:space="preserve"/>
        <w:br/>
        <w:t xml:space="preserve">Confirm that your samples have been prepared appropriately based upon recommendations (see Sample Preparation) and that you have sufficient sample volume for use in the assay.</w:t>
        <w:br/>
        <w:t xml:space="preserve"/>
        <w:br/>
        <w:t xml:space="preserve">When first using a kit, appropriate validation steps should be taken before using valuable samples. Confirm that the kit adequately detects the target antigen in your intended sample type(s) by running control samples.</w:t>
        <w:br/>
        <w:t xml:space="preserve"/>
        <w:br/>
        <w:t xml:space="preserve">If the concentration of target antigen within your samples is unknown, a preliminary experiment should be run using a control sample to determine the optimal sample dilution (see Sample Preparation).</w:t>
        <w:br/>
        <w:t xml:space="preserve"/>
        <w:br/>
        <w:t xml:space="preserve">To inspect the validity of experiment operation and the appropriateness of sample dilution proportion, a pilot experiment using standards and a small number of samples is recommended.</w:t>
        <w:br/>
        <w:t xml:space="preserve"/>
        <w:br/>
        <w:t xml:space="preserve">Before using the kit, spin tubes to bring down all components to the bottom of the tubes.</w:t>
        <w:br/>
        <w:t xml:space="preserve"/>
        <w:br/>
        <w:t xml:space="preserve">Don’t let the 96-well plate dry out since this will inactivate active components on the plate.</w:t>
        <w:br/>
        <w:t xml:space="preserve"/>
        <w:br/>
        <w:t xml:space="preserve">Don’t reuse tips and tubes to avoid cross-contamination.</w:t>
      </w:r>
    </w:p>
    <w:p/>
    <w:p>
      <w:pPr>
        <w:pStyle w:val="HeaderStyle"/>
      </w:pPr>
      <w:r>
        <w:t>Kit Components:</w:t>
      </w:r>
    </w:p>
    <w:p>
      <w:r>
        <w:rPr>
          <w:b/>
        </w:rPr>
        <w:t>The following reagents are included:</w:t>
      </w:r>
    </w:p>
    <w:tbl>
      <w:tblPr>
        <w:tblStyle w:val="TableGrid"/>
        <w:tblW w:type="auto" w:w="0"/>
        <w:tblLook w:firstColumn="1" w:firstRow="1" w:lastColumn="0" w:lastRow="0" w:noHBand="0" w:noVBand="1" w:val="04A0"/>
      </w:tblPr>
      <w:tblGrid>
        <w:gridCol w:w="2880"/>
        <w:gridCol w:w="2880"/>
        <w:gridCol w:w="2880"/>
      </w:tblGrid>
      <w:tr>
        <w:tc>
          <w:tcPr>
            <w:tcW w:type="dxa" w:w="2880"/>
          </w:tcPr>
          <w:p>
            <w:r>
              <w:rPr>
                <w:b/>
              </w:rPr>
              <w:t>Component</w:t>
            </w:r>
          </w:p>
        </w:tc>
        <w:tc>
          <w:tcPr>
            <w:tcW w:type="dxa" w:w="2880"/>
          </w:tcPr>
          <w:p>
            <w:r>
              <w:rPr>
                <w:b/>
              </w:rPr>
              <w:t>Volume</w:t>
            </w:r>
          </w:p>
        </w:tc>
        <w:tc>
          <w:tcPr>
            <w:tcW w:type="dxa" w:w="2880"/>
          </w:tcPr>
          <w:p>
            <w:r>
              <w:rPr>
                <w:b/>
              </w:rPr>
              <w:t>Storage</w:t>
            </w:r>
          </w:p>
        </w:tc>
      </w:tr>
      <w:tr>
        <w:tc>
          <w:tcPr>
            <w:tcW w:type="dxa" w:w="2880"/>
          </w:tcPr>
          <w:p>
            <w:r>
              <w:t xml:space="preserve">Specificity</w:t>
            </w:r>
          </w:p>
        </w:tc>
        <w:tc>
          <w:tcPr>
            <w:tcW w:type="dxa" w:w="2880"/>
          </w:tcPr>
          <w:p>
            <w:r>
              <w:t xml:space="preserve"/>
            </w:r>
          </w:p>
        </w:tc>
        <w:tc>
          <w:tcPr>
            <w:tcW w:type="dxa" w:w="2880"/>
          </w:tcPr>
          <w:p>
            <w:r>
              <w:t xml:space="preserve"/>
            </w:r>
          </w:p>
        </w:tc>
      </w:tr>
      <w:tr>
        <w:tc>
          <w:tcPr>
            <w:tcW w:type="dxa" w:w="2880"/>
          </w:tcPr>
          <w:p>
            <w:r>
              <w:t xml:space="preserve">Standard Protein</w:t>
            </w:r>
          </w:p>
        </w:tc>
        <w:tc>
          <w:tcPr>
            <w:tcW w:type="dxa" w:w="2880"/>
          </w:tcPr>
          <w:p>
            <w:r>
              <w:t xml:space="preserve"/>
            </w:r>
          </w:p>
        </w:tc>
        <w:tc>
          <w:tcPr>
            <w:tcW w:type="dxa" w:w="2880"/>
          </w:tcPr>
          <w:p>
            <w:r>
              <w:t xml:space="preserve"/>
            </w:r>
          </w:p>
        </w:tc>
      </w:tr>
      <w:tr>
        <w:tc>
          <w:tcPr>
            <w:tcW w:type="dxa" w:w="2880"/>
          </w:tcPr>
          <w:p>
            <w:r>
              <w:t xml:space="preserve">Cross-reactivity</w:t>
            </w:r>
          </w:p>
        </w:tc>
        <w:tc>
          <w:tcPr>
            <w:tcW w:type="dxa" w:w="2880"/>
          </w:tcPr>
          <w:p>
            <w:r>
              <w:t xml:space="preserve"/>
            </w:r>
          </w:p>
        </w:tc>
        <w:tc>
          <w:tcPr>
            <w:tcW w:type="dxa" w:w="2880"/>
          </w:tcPr>
          <w:p>
            <w:r>
              <w:t xml:space="preserve"/>
            </w:r>
          </w:p>
        </w:tc>
      </w:tr>
      <w:tr>
        <w:tc>
          <w:tcPr>
            <w:tcW w:type="dxa" w:w="2880"/>
          </w:tcPr>
          <w:p>
            <w:r>
              <w:t xml:space="preserve"/>
            </w:r>
          </w:p>
        </w:tc>
        <w:tc>
          <w:tcPr>
            <w:tcW w:type="dxa" w:w="2880"/>
          </w:tcPr>
          <w:p>
            <w:r>
              <w:t xml:space="preserve"/>
            </w:r>
          </w:p>
        </w:tc>
        <w:tc>
          <w:tcPr>
            <w:tcW w:type="dxa" w:w="2880"/>
          </w:tcPr>
          <w:p>
            <w:r>
              <w:t xml:space="preserve"/>
            </w:r>
          </w:p>
        </w:tc>
      </w:tr>
      <w:tr>
        <w:tc>
          <w:tcPr>
            <w:tcW w:type="dxa" w:w="2880"/>
          </w:tcPr>
          <w:p>
            <w:r>
              <w:t xml:space="preserve"/>
            </w:r>
          </w:p>
        </w:tc>
        <w:tc>
          <w:tcPr>
            <w:tcW w:type="dxa" w:w="2880"/>
          </w:tcPr>
          <w:p>
            <w:r>
              <w:t xml:space="preserve"/>
            </w:r>
          </w:p>
        </w:tc>
        <w:tc>
          <w:tcPr>
            <w:tcW w:type="dxa" w:w="2880"/>
          </w:tcPr>
          <w:p>
            <w:r>
              <w:t xml:space="preserve"/>
            </w:r>
          </w:p>
        </w:tc>
      </w:tr>
    </w:tbl>
    <w:p/>
    <w:p>
      <w:pPr>
        <w:pStyle w:val="HeaderStyle"/>
      </w:pPr>
      <w:r>
        <w:t>Materials Required But Not Supplied:</w:t>
      </w:r>
    </w:p>
    <w:p>
      <w:r>
        <w:t xml:space="preserve">Microplate reader capable of reading absorbance at 450 nm. Incubator.</w:t>
        <w:br/>
        <w:t xml:space="preserve"/>
        <w:br/>
        <w:t xml:space="preserve">Automated plate washer (optional)</w:t>
        <w:br/>
        <w:t xml:space="preserve"/>
        <w:br/>
        <w:t xml:space="preserve">Pipettes and pipette tips capable of precisely dispensing 0.5 µl through 1 ml volumes of aqueous solutions. Multichannel pipettes are recommended for a large numbers of samples.</w:t>
        <w:br/>
        <w:t xml:space="preserve"/>
        <w:br/>
        <w:t xml:space="preserve">Deionized or distilled water. 500 ml graduated cylinders. Test tubes for dilution.</w:t>
        <w:br/>
        <w:t xml:space="preserve"/>
        <w:br/>
        <w:t xml:space="preserve">Mouse Klk1 ELISA Standard Curve Example</w:t>
        <w:br/>
        <w:t xml:space="preserve"/>
        <w:br/>
        <w:t xml:space="preserve">The highest O.D. value might be higher or lower than in the example. The experiment result is statistically significant if the highest O.D. value is no less than 1.0.</w:t>
        <w:br/>
        <w:t xml:space="preserve"/>
        <w:br/>
        <w:t xml:space="preserve">Mouse KLK1  ELISA Kit standard curve</w:t>
      </w:r>
      <w:r>
        <w:tab/>
      </w:r>
      <w:r>
        <w:t xml:space="preserve">A standard curve is provided for demonstration only. A standard curve</w:t>
        <w:br/>
        <w:t xml:space="preserve"/>
        <w:br/>
        <w:t xml:space="preserve">should be generated for each set of samples assayed.</w:t>
        <w:br/>
        <w:t xml:space="preserve"/>
        <w:br/>
        <w:t xml:space="preserve">Intra/Inter-Assay Variability</w:t>
        <w:br/>
        <w:t xml:space="preserve"/>
        <w:br/>
        <w:t xml:space="preserve">Innovative Research spends great efforts in documenting lot-to-lot variability and ensuring our assay kits produce robust data that are reproducible.</w:t>
        <w:br/>
        <w:t xml:space="preserve"/>
        <w:br/>
        <w:t xml:space="preserve">Intra-Assay Precision (Precision within an assay): Three samples of known concentration were tested on one plate to assess intra-assay precision.</w:t>
        <w:br/>
        <w:t xml:space="preserve"/>
        <w:br/>
        <w:t xml:space="preserve">Inter-Assay Precision (Precision across assays): Three samples of known concentration were tested in separate assays to assess inter-assay precision.</w:t>
        <w:br/>
        <w:t xml:space="preserve"/>
        <w:br/>
        <w:t xml:space="preserve">Reproducibility</w:t>
        <w:br/>
        <w:t xml:space="preserve"/>
        <w:br/>
        <w:t xml:space="preserve">We ensure reproducibility by testing three samples with differing concentrations of Klk1 in ELISA kits from four different production batches/lots.</w:t>
        <w:br/>
        <w:t xml:space="preserve"/>
        <w:br/>
        <w:t xml:space="preserve">*number of samples for each test n=16.</w:t>
        <w:br/>
        <w:t xml:space="preserve"/>
        <w:br/>
        <w:t xml:space="preserve">Preparation Before The Experiment</w:t>
        <w:br/>
        <w:t xml:space="preserve"/>
        <w:br/>
        <w:t xml:space="preserve">Dilution of Mouse Klk1 Standard</w:t>
        <w:br/>
        <w:t xml:space="preserve"/>
        <w:br/>
        <w:t xml:space="preserve">Number tubes 1-8. Final Concentrations to be Tube # 1: 4,000.00 pg/ml, # 2: 2,000.00 pg/ml, # 3: 1,000.00</w:t>
        <w:br/>
        <w:t xml:space="preserve"/>
        <w:br/>
        <w:t xml:space="preserve">pg/ml, # 4: 500.00 pg/ml,</w:t>
        <w:br/>
        <w:t xml:space="preserve"/>
        <w:br/>
        <w:t xml:space="preserve"># 5: 250.00 pg/ml, # 6: 125.00 pg/ml, # 7: 62.50 pg/ml, # 8: Sample Diluent serves as the zero standard (0 pg/ml).</w:t>
        <w:br/>
        <w:t xml:space="preserve"/>
        <w:br/>
        <w:t xml:space="preserve">To generate standard #1, add 400 µl of the reconstituted standard stock solution of 10 ng/ml and 600 µl of sample diluent to tube #1 for a</w:t>
        <w:br/>
        <w:t xml:space="preserve"/>
        <w:br/>
        <w:t xml:space="preserve">final volume of 1000 µl. Mix thoroughly.</w:t>
        <w:br/>
        <w:t xml:space="preserve"/>
        <w:br/>
        <w:t xml:space="preserve">Add 300 µl of sample diluent to tubes # 2-7.</w:t>
        <w:br/>
        <w:t xml:space="preserve"/>
        <w:br/>
        <w:t xml:space="preserve">To generate standard # 2, add 300 µl of standard # 1 from tube # 1 to tube # 2 for a final volume of 600 µl. Mix thoroughly.</w:t>
        <w:br/>
        <w:t xml:space="preserve"/>
        <w:br/>
        <w:t xml:space="preserve">To generate standard # 3, add 300 µl of standard # 2 from tube # 2 to tube # 3 for a final volume of 600 µl. Mix</w:t>
        <w:br/>
        <w:t xml:space="preserve"/>
        <w:br/>
        <w:t xml:space="preserve">thoroughly.</w:t>
        <w:br/>
        <w:t xml:space="preserve"/>
        <w:br/>
        <w:t xml:space="preserve">Continue the serial dilution for tube # 4-7.</w:t>
      </w:r>
    </w:p>
    <w:p/>
    <w:p>
      <w:pPr>
        <w:pStyle w:val="HeaderStyle"/>
      </w:pPr>
      <w:r>
        <w:t>Reagent Preparation:</w:t>
      </w:r>
    </w:p>
    <w:p>
      <w:r>
        <w:t xml:space="preserve"/>
        <w:br/>
        <w:t xml:space="preserve">        Bring all reagents to room temperature before use.</w:t>
        <w:br/>
        <w:t xml:space="preserve">        </w:t>
        <w:br/>
        <w:t xml:space="preserve">        Wash Buffer: Dilute Wash Buffer (25X) with distilled water. For example, if preparing 500 ml of Wash Buffer, dilute 20 ml of Wash Buffer (25X) into 480 ml of distilled water.</w:t>
        <w:br/>
        <w:t xml:space="preserve">        </w:t>
        <w:br/>
        <w:t xml:space="preserve">        Standard: Reconstitute the standard with standard diluent according to the label instructions. This reconstitution produces a stock solution. Let the standard stand for a minimum of 15 minutes with gentle agitation prior to making dilutions.</w:t>
        <w:br/>
        <w:t xml:space="preserve">        </w:t>
        <w:br/>
        <w:t xml:space="preserve">        Detection Reagent A and B: Dilute to the working concentration using Assay Diluent A and B, respectively.</w:t>
        <w:br/>
        <w:t xml:space="preserve">        </w:t>
      </w:r>
    </w:p>
    <w:p/>
    <w:p>
      <w:pPr>
        <w:pStyle w:val="HeaderStyle"/>
      </w:pPr>
      <w:r>
        <w:t>Sample Collection and Storage:</w:t>
      </w:r>
    </w:p>
    <w:p>
      <w:r>
        <w:t xml:space="preserve">Innovative Research recommends that samples are used immediately upon preparation.</w:t>
        <w:br/>
        <w:t xml:space="preserve"/>
        <w:br/>
        <w:t xml:space="preserve">Avoid repeated freeze/thaw cycles for all samples.</w:t>
        <w:br/>
        <w:t xml:space="preserve"/>
        <w:br/>
        <w:t xml:space="preserve">In the event that a sample type not listed above is intended to be used with the kit, it is recommended that the customer conduct validation experiments in order to be confident in the results.</w:t>
        <w:br/>
        <w:t xml:space="preserve"/>
        <w:br/>
        <w:t xml:space="preserve">Due to chemical interference, the use of tissue or cell extraction samples prepared by chemical lysis buffers may result in inaccurate results.</w:t>
        <w:br/>
        <w:t xml:space="preserve"/>
        <w:br/>
        <w:t xml:space="preserve">Due to factors including cell viability, cell number, or sampling time, samples from cell culture supernatant may not be detected by the kit.</w:t>
        <w:br/>
        <w:t xml:space="preserve"/>
        <w:br/>
        <w:t xml:space="preserve">Samples should be brought to room temperature (18-25°C) before performing the assay without the use of extra heating.</w:t>
      </w:r>
    </w:p>
    <w:p/>
    <w:p>
      <w:pPr>
        <w:pStyle w:val="HeaderStyle"/>
      </w:pPr>
      <w:r>
        <w:t>Assay Procedure:</w:t>
      </w:r>
    </w:p>
    <w:p>
      <w:pPr>
        <w:pStyle w:val="ListNumber"/>
      </w:pPr>
      <w:r>
        <w:t xml:space="preserve">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ListNumber"/>
      </w:pPr>
      <w:r>
        <w:t xml:space="preserve"/>
      </w:r>
    </w:p>
    <w:p>
      <w:pPr>
        <w:pStyle w:val="ListNumber"/>
      </w:pPr>
      <w:r>
        <w:t xml:space="preserve"/>
      </w:r>
    </w:p>
    <w:p>
      <w:pPr>
        <w:pStyle w:val="ListNumber"/>
      </w:pPr>
      <w:r>
        <w:t xml:space="preserve"/>
      </w:r>
    </w:p>
    <w:p>
      <w:pPr>
        <w:pStyle w:val="ListNumber"/>
      </w:pPr>
      <w:r>
        <w:t xml:space="preserve"/>
      </w:r>
    </w:p>
    <w:p>
      <w:pPr>
        <w:pStyle w:val="ListNumber"/>
      </w:pPr>
      <w:r>
        <w:t xml:space="preserve"/>
      </w:r>
    </w:p>
    <w:p>
      <w:pPr>
        <w:pStyle w:val="ListNumber"/>
      </w:pPr>
      <w:r>
        <w:t xml:space="preserve"/>
      </w:r>
    </w:p>
    <w:p>
      <w:pPr>
        <w:pStyle w:val="ListNumber"/>
      </w:pPr>
      <w:r>
        <w:t xml:space="preserve"/>
      </w:r>
    </w:p>
    <w:p>
      <w:pPr>
        <w:pStyle w:val="ListNumber"/>
      </w:pPr>
      <w:r>
        <w:t xml:space="preserve"/>
      </w:r>
    </w:p>
    <w:p>
      <w:pPr>
        <w:pStyle w:val="ListNumber"/>
      </w:pPr>
      <w:r>
        <w:t xml:space="preserve"/>
      </w:r>
    </w:p>
    <w:p/>
    <w:p>
      <w:pPr>
        <w:pStyle w:val="HeaderStyle"/>
      </w:pPr>
      <w:r>
        <w:t>Calculation of Results:</w:t>
      </w:r>
    </w:p>
    <w:p>
      <w:r>
        <w:t xml:space="preserve">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w:t>
        <w:br/>
        <w:t xml:space="preserve"/>
        <w:b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Publications Citing This Product</w:t>
        <w:br/>
        <w:t xml:space="preserve"/>
        <w:br/>
        <w:t xml:space="preserve">PubMed ID: 10.1186/s12014-021-09335-9, Proteomics and functional study reveal kallikrein-6 enhances communicating hydrocephalus Visit bosterbio.com/mouse-klk1-picokine-trade-elisa-kit-ek1586-innovative research.html to see all 1 publications. Submit a Product Review to Biocompare.com</w:t>
        <w:br/>
        <w:t xml:space="preserve"/>
        <w:br/>
        <w:t xml:space="preserve">Submit a review of this product to Biocompare.com to receive a $20 Amazon.com gift card! Your reviews help your fellow scientists make the right decisions. Thank you for your contribution. Mouse KLK1/Kallikrein 1 ELISA Kit ®</w:t>
      </w:r>
    </w:p>
    <w:p/>
    <w:p>
      <w:pPr>
        <w:pStyle w:val="HeaderStyle"/>
      </w:pPr>
      <w:r>
        <w:t>Standard Curve:</w:t>
      </w:r>
    </w:p>
    <w:p>
      <w:r>
        <w:t xml:space="preserve">Mouse KLK1 ELISA Standard Curve Example</w:t>
      </w:r>
    </w:p>
    <w:tbl>
      <w:tblPr>
        <w:tblStyle w:val="TableGrid"/>
        <w:tblW w:type="auto" w:w="0"/>
        <w:tblLook w:firstColumn="1" w:firstRow="1" w:lastColumn="0" w:lastRow="0" w:noHBand="0" w:noVBand="1" w:val="04A0"/>
      </w:tblPr>
      <w:tblGrid>
        <w:gridCol w:w="4320"/>
        <w:gridCol w:w="4320"/>
      </w:tblGrid>
      <w:tr>
        <w:tc>
          <w:tcPr>
            <w:tcW w:type="dxa" w:w="4320"/>
          </w:tcPr>
          <w:p>
            <w:r>
              <w:rPr>
                <w:b/>
              </w:rPr>
              <w:t>Concentration</w:t>
            </w:r>
          </w:p>
        </w:tc>
        <w:tc>
          <w:tcPr>
            <w:tcW w:type="dxa" w:w="4320"/>
          </w:tcPr>
          <w:p>
            <w:r>
              <w:rPr>
                <w:b/>
              </w:rPr>
              <w:t>OD Value</w:t>
            </w:r>
          </w:p>
        </w:tc>
      </w:tr>
      <w:tr>
        <w:tc>
          <w:tcPr>
            <w:tcW w:type="dxa" w:w="4320"/>
          </w:tcPr>
          <w:p>
            <w:r>
              <w:t xml:space="preserve">0.0</w:t>
            </w:r>
          </w:p>
        </w:tc>
        <w:tc>
          <w:tcPr>
            <w:tcW w:type="dxa" w:w="4320"/>
          </w:tcPr>
          <w:p>
            <w:r>
              <w:t xml:space="preserve">0.061</w:t>
            </w:r>
          </w:p>
        </w:tc>
      </w:tr>
      <w:tr>
        <w:tc>
          <w:tcPr>
            <w:tcW w:type="dxa" w:w="4320"/>
          </w:tcPr>
          <w:p>
            <w:r>
              <w:t xml:space="preserve"/>
            </w:r>
          </w:p>
        </w:tc>
        <w:tc>
          <w:tcPr>
            <w:tcW w:type="dxa" w:w="4320"/>
          </w:tcPr>
          <w:p>
            <w:r>
              <w:t xml:space="preserve"/>
            </w:r>
          </w:p>
        </w:tc>
      </w:tr>
      <w:tr>
        <w:tc>
          <w:tcPr>
            <w:tcW w:type="dxa" w:w="4320"/>
          </w:tcPr>
          <w:p>
            <w:r>
              <w:t xml:space="preserve"/>
            </w:r>
          </w:p>
        </w:tc>
        <w:tc>
          <w:tcPr>
            <w:tcW w:type="dxa" w:w="4320"/>
          </w:tcPr>
          <w:p>
            <w:r>
              <w:t xml:space="preserve"/>
            </w:r>
          </w:p>
        </w:tc>
      </w:tr>
      <w:tr>
        <w:tc>
          <w:tcPr>
            <w:tcW w:type="dxa" w:w="4320"/>
          </w:tcPr>
          <w:p>
            <w:r>
              <w:t xml:space="preserve"/>
            </w:r>
          </w:p>
        </w:tc>
        <w:tc>
          <w:tcPr>
            <w:tcW w:type="dxa" w:w="4320"/>
          </w:tcPr>
          <w:p>
            <w:r>
              <w:t xml:space="preserve"/>
            </w:r>
          </w:p>
        </w:tc>
      </w:tr>
      <w:tr>
        <w:tc>
          <w:tcPr>
            <w:tcW w:type="dxa" w:w="4320"/>
          </w:tcPr>
          <w:p>
            <w:r>
              <w:t xml:space="preserve"/>
            </w:r>
          </w:p>
        </w:tc>
        <w:tc>
          <w:tcPr>
            <w:tcW w:type="dxa" w:w="4320"/>
          </w:tcPr>
          <w:p>
            <w:r>
              <w:t xml:space="preserve"/>
            </w:r>
          </w:p>
        </w:tc>
      </w:tr>
      <w:tr>
        <w:tc>
          <w:tcPr>
            <w:tcW w:type="dxa" w:w="4320"/>
          </w:tcPr>
          <w:p>
            <w:r>
              <w:t xml:space="preserve"/>
            </w:r>
          </w:p>
        </w:tc>
        <w:tc>
          <w:tcPr>
            <w:tcW w:type="dxa" w:w="4320"/>
          </w:tcPr>
          <w:p>
            <w:r>
              <w:t xml:space="preserve"/>
            </w:r>
          </w:p>
        </w:tc>
      </w:tr>
      <w:tr>
        <w:tc>
          <w:tcPr>
            <w:tcW w:type="dxa" w:w="4320"/>
          </w:tcPr>
          <w:p>
            <w:r>
              <w:t xml:space="preserve"/>
            </w:r>
          </w:p>
        </w:tc>
        <w:tc>
          <w:tcPr>
            <w:tcW w:type="dxa" w:w="4320"/>
          </w:tcPr>
          <w:p>
            <w:r>
              <w:t xml:space="preserve"/>
            </w:r>
          </w:p>
        </w:tc>
      </w:tr>
      <w:tr>
        <w:tc>
          <w:tcPr>
            <w:tcW w:type="dxa" w:w="4320"/>
          </w:tcPr>
          <w:p>
            <w:r>
              <w:t xml:space="preserve"/>
            </w:r>
          </w:p>
        </w:tc>
        <w:tc>
          <w:tcPr>
            <w:tcW w:type="dxa" w:w="4320"/>
          </w:tcPr>
          <w:p>
            <w:r>
              <w:t xml:space="preserve"/>
            </w:r>
          </w:p>
        </w:tc>
      </w:tr>
    </w:tbl>
    <w:p/>
    <w:p>
      <w:pPr>
        <w:pStyle w:val="HeaderStyle"/>
      </w:pPr>
      <w:r>
        <w:t>Sensitivity:</w:t>
      </w:r>
    </w:p>
    <w:p>
      <w:r>
        <w:t xml:space="preserve">12 pg/ml</w:t>
      </w:r>
    </w:p>
    <w:p/>
    <w:p>
      <w:pPr>
        <w:pStyle w:val="HeaderStyle"/>
      </w:pPr>
      <w:r>
        <w:t>Precision:</w:t>
      </w:r>
    </w:p>
    <w:p>
      <w:r>
        <w:t>Intra-Assay Precision (Precision within an assay)</w:t>
      </w:r>
    </w:p>
    <w:tbl>
      <w:tblPr>
        <w:tblStyle w:val="TableGrid"/>
        <w:tblW w:type="auto" w:w="0"/>
        <w:tblLook w:firstColumn="1" w:firstRow="1" w:lastColumn="0" w:lastRow="0" w:noHBand="0" w:noVBand="1" w:val="04A0"/>
      </w:tblPr>
      <w:tblGrid>
        <w:gridCol w:w="2880"/>
        <w:gridCol w:w="2880"/>
        <w:gridCol w:w="2880"/>
      </w:tblGrid>
      <w:tr>
        <w:tc>
          <w:tcPr>
            <w:tcW w:type="dxa" w:w="2880"/>
          </w:tcPr>
          <w:p>
            <w:r>
              <w:rPr>
                <w:b/>
              </w:rPr>
              <w:t>Sample</w:t>
            </w:r>
          </w:p>
        </w:tc>
        <w:tc>
          <w:tcPr>
            <w:tcW w:type="dxa" w:w="2880"/>
          </w:tcPr>
          <w:p>
            <w:r>
              <w:rPr>
                <w:b/>
              </w:rPr>
              <w:t>n</w:t>
            </w:r>
          </w:p>
        </w:tc>
        <w:tc>
          <w:tcPr>
            <w:tcW w:type="dxa" w:w="2880"/>
          </w:tcPr>
          <w:p>
            <w:r>
              <w:rPr>
                <w:b/>
              </w:rPr>
              <w:t>CV%</w:t>
            </w:r>
          </w:p>
        </w:tc>
      </w:tr>
      <w:tr>
        <w:tc>
          <w:tcPr>
            <w:tcW w:type="dxa" w:w="2880"/>
          </w:tcPr>
          <w:p>
            <w:r>
              <w:t xml:space="preserve"/>
            </w:r>
          </w:p>
        </w:tc>
        <w:tc>
          <w:tcPr>
            <w:tcW w:type="dxa" w:w="2880"/>
          </w:tcPr>
          <w:p>
            <w:r>
              <w:t xml:space="preserve"/>
            </w:r>
          </w:p>
        </w:tc>
        <w:tc>
          <w:tcPr>
            <w:tcW w:type="dxa" w:w="2880"/>
          </w:tcPr>
          <w:p>
            <w:r>
              <w:t xml:space="preserve"/>
            </w:r>
          </w:p>
        </w:tc>
      </w:tr>
      <w:tr>
        <w:tc>
          <w:tcPr>
            <w:tcW w:type="dxa" w:w="2880"/>
          </w:tcPr>
          <w:p>
            <w:r>
              <w:t xml:space="preserve"/>
            </w:r>
          </w:p>
        </w:tc>
        <w:tc>
          <w:tcPr>
            <w:tcW w:type="dxa" w:w="2880"/>
          </w:tcPr>
          <w:p>
            <w:r>
              <w:t xml:space="preserve"/>
            </w:r>
          </w:p>
        </w:tc>
        <w:tc>
          <w:tcPr>
            <w:tcW w:type="dxa" w:w="2880"/>
          </w:tcPr>
          <w:p>
            <w:r>
              <w:t xml:space="preserve"/>
            </w:r>
          </w:p>
        </w:tc>
      </w:tr>
      <w:tr>
        <w:tc>
          <w:tcPr>
            <w:tcW w:type="dxa" w:w="2880"/>
          </w:tcPr>
          <w:p>
            <w:r>
              <w:t xml:space="preserve"/>
            </w:r>
          </w:p>
        </w:tc>
        <w:tc>
          <w:tcPr>
            <w:tcW w:type="dxa" w:w="2880"/>
          </w:tcPr>
          <w:p>
            <w:r>
              <w:t xml:space="preserve"/>
            </w:r>
          </w:p>
        </w:tc>
        <w:tc>
          <w:tcPr>
            <w:tcW w:type="dxa" w:w="2880"/>
          </w:tcPr>
          <w:p>
            <w:r>
              <w:t xml:space="preserve"/>
            </w:r>
          </w:p>
        </w:tc>
      </w:tr>
    </w:tbl>
    <w:p/>
    <w:p>
      <w:r>
        <w:t>Inter-Assay Precision (Precision between assays)</w:t>
      </w:r>
    </w:p>
    <w:tbl>
      <w:tblPr>
        <w:tblStyle w:val="TableGrid"/>
        <w:tblW w:type="auto" w:w="0"/>
        <w:tblLook w:firstColumn="1" w:firstRow="1" w:lastColumn="0" w:lastRow="0" w:noHBand="0" w:noVBand="1" w:val="04A0"/>
      </w:tblPr>
      <w:tblGrid>
        <w:gridCol w:w="2880"/>
        <w:gridCol w:w="2880"/>
        <w:gridCol w:w="2880"/>
      </w:tblGrid>
      <w:tr>
        <w:tc>
          <w:tcPr>
            <w:tcW w:type="dxa" w:w="2880"/>
          </w:tcPr>
          <w:p>
            <w:r>
              <w:rPr>
                <w:b/>
              </w:rPr>
              <w:t>Sample</w:t>
            </w:r>
          </w:p>
        </w:tc>
        <w:tc>
          <w:tcPr>
            <w:tcW w:type="dxa" w:w="2880"/>
          </w:tcPr>
          <w:p>
            <w:r>
              <w:rPr>
                <w:b/>
              </w:rPr>
              <w:t>n</w:t>
            </w:r>
          </w:p>
        </w:tc>
        <w:tc>
          <w:tcPr>
            <w:tcW w:type="dxa" w:w="2880"/>
          </w:tcPr>
          <w:p>
            <w:r>
              <w:rPr>
                <w:b/>
              </w:rPr>
              <w:t>CV%</w:t>
            </w:r>
          </w:p>
        </w:tc>
      </w:tr>
      <w:tr>
        <w:tc>
          <w:tcPr>
            <w:tcW w:type="dxa" w:w="2880"/>
          </w:tcPr>
          <w:p>
            <w:r>
              <w:t xml:space="preserve"/>
            </w:r>
          </w:p>
        </w:tc>
        <w:tc>
          <w:tcPr>
            <w:tcW w:type="dxa" w:w="2880"/>
          </w:tcPr>
          <w:p>
            <w:r>
              <w:t xml:space="preserve"/>
            </w:r>
          </w:p>
        </w:tc>
        <w:tc>
          <w:tcPr>
            <w:tcW w:type="dxa" w:w="2880"/>
          </w:tcPr>
          <w:p>
            <w:r>
              <w:t xml:space="preserve"/>
            </w:r>
          </w:p>
        </w:tc>
      </w:tr>
      <w:tr>
        <w:tc>
          <w:tcPr>
            <w:tcW w:type="dxa" w:w="2880"/>
          </w:tcPr>
          <w:p>
            <w:r>
              <w:t xml:space="preserve"/>
            </w:r>
          </w:p>
        </w:tc>
        <w:tc>
          <w:tcPr>
            <w:tcW w:type="dxa" w:w="2880"/>
          </w:tcPr>
          <w:p>
            <w:r>
              <w:t xml:space="preserve"/>
            </w:r>
          </w:p>
        </w:tc>
        <w:tc>
          <w:tcPr>
            <w:tcW w:type="dxa" w:w="2880"/>
          </w:tcPr>
          <w:p>
            <w:r>
              <w:t xml:space="preserve"/>
            </w:r>
          </w:p>
        </w:tc>
      </w:tr>
      <w:tr>
        <w:tc>
          <w:tcPr>
            <w:tcW w:type="dxa" w:w="2880"/>
          </w:tcPr>
          <w:p>
            <w:r>
              <w:t xml:space="preserve"/>
            </w:r>
          </w:p>
        </w:tc>
        <w:tc>
          <w:tcPr>
            <w:tcW w:type="dxa" w:w="2880"/>
          </w:tcPr>
          <w:p>
            <w:r>
              <w:t xml:space="preserve"/>
            </w:r>
          </w:p>
        </w:tc>
        <w:tc>
          <w:tcPr>
            <w:tcW w:type="dxa" w:w="2880"/>
          </w:tcPr>
          <w:p>
            <w:r>
              <w:t xml:space="preserve"/>
            </w:r>
          </w:p>
        </w:tc>
      </w:tr>
    </w:tbl>
    <w:p/>
    <w:p>
      <w:pPr>
        <w:pStyle w:val="HeaderStyle"/>
      </w:pPr>
      <w:r>
        <w:t>Specificity:</w:t>
      </w:r>
    </w:p>
    <w:p>
      <w:r>
        <w:t xml:space="preserve">Natural and recombinant Mouse Klk1</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HeaderStyle">
    <w:name w:val="Header Style"/>
    <w:rPr>
      <w:rFonts w:ascii="Calibri" w:hAnsi="Calibri"/>
      <w:b/>
      <w:color w:val="00008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