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Calibri" w:hAnsi="Calibri"/>
          <w:b/>
          <w:sz w:val="72"/>
        </w:rPr>
        <w:t>Mouse KLK1/Kallikrein 1 ELISA Kit</w:t>
      </w:r>
    </w:p>
    <w:p>
      <w:pPr/>
      <w:r>
        <w:t>Catalog Number: IMSKLK1KT</w:t>
        <w:br/>
        <w:t>Lot Number: 20250424</w:t>
      </w:r>
    </w:p>
    <w:p>
      <w:pPr>
        <w:pStyle w:val="Heading2"/>
      </w:pPr>
      <w:r>
        <w:rPr>
          <w:b/>
          <w:color w:val="0046B4"/>
        </w:rPr>
        <w:t>INTENDED USE</w:t>
      </w:r>
    </w:p>
    <w:p>
      <w:pPr/>
      <w:r>
        <w:t>For the quantitation of Mouse Klk1 concentrations in cell culture supernatants, cell lysates, serum and plasma (heparin, EDTA).</w:t>
      </w:r>
    </w:p>
    <w:p>
      <w:pPr>
        <w:pStyle w:val="Heading2"/>
      </w:pPr>
      <w:r>
        <w:rPr>
          <w:b/>
          <w:color w:val="0046B4"/>
        </w:rPr>
        <w:t>TECHNICAL DETAILS</w:t>
      </w:r>
    </w:p>
    <w:tbl>
      <w:tblPr>
        <w:tblStyle w:val="TableGrid"/>
        <w:tblW w:type="auto" w:w="0"/>
        <w:tblLook w:firstColumn="1" w:firstRow="1" w:lastColumn="0" w:lastRow="0" w:noHBand="0" w:noVBand="1" w:val="04A0"/>
      </w:tblPr>
      <w:tblGrid>
        <w:gridCol w:w="4320"/>
        <w:gridCol w:w="4320"/>
      </w:tblGrid>
      <w:tr>
        <w:tc>
          <w:tcPr>
            <w:tcW w:type="dxa" w:w="4320"/>
          </w:tcPr>
          <w:p>
            <w:r>
              <w:rPr>
                <w:b/>
              </w:rPr>
              <w:t>Capture/Detection Antibodies</w:t>
            </w:r>
          </w:p>
        </w:tc>
        <w:tc>
          <w:tcPr>
            <w:tcW w:type="dxa" w:w="4320"/>
          </w:tcPr>
          <w:p>
            <w:r>
              <w:t>Rat monoclonal / Goat polyclonal</w:t>
            </w:r>
          </w:p>
        </w:tc>
      </w:tr>
      <w:tr>
        <w:tc>
          <w:tcPr>
            <w:tcW w:type="dxa" w:w="4320"/>
          </w:tcPr>
          <w:p>
            <w:r>
              <w:rPr>
                <w:b/>
              </w:rPr>
              <w:t>Specificity</w:t>
            </w:r>
          </w:p>
        </w:tc>
        <w:tc>
          <w:tcPr>
            <w:tcW w:type="dxa" w:w="4320"/>
          </w:tcPr>
          <w:p>
            <w:r>
              <w:t>Natural and recombinant Mouse Klk1</w:t>
            </w:r>
          </w:p>
        </w:tc>
      </w:tr>
      <w:tr>
        <w:tc>
          <w:tcPr>
            <w:tcW w:type="dxa" w:w="4320"/>
          </w:tcPr>
          <w:p>
            <w:r>
              <w:rPr>
                <w:b/>
              </w:rPr>
              <w:t>Standard Protein</w:t>
            </w:r>
          </w:p>
        </w:tc>
        <w:tc>
          <w:tcPr>
            <w:tcW w:type="dxa" w:w="4320"/>
          </w:tcPr>
          <w:p>
            <w:r>
              <w:t>Recombinant Mouse Klk1</w:t>
            </w:r>
          </w:p>
        </w:tc>
      </w:tr>
      <w:tr>
        <w:tc>
          <w:tcPr>
            <w:tcW w:type="dxa" w:w="4320"/>
          </w:tcPr>
          <w:p>
            <w:r>
              <w:rPr>
                <w:b/>
              </w:rPr>
              <w:t>Cross-reactivity</w:t>
            </w:r>
          </w:p>
        </w:tc>
        <w:tc>
          <w:tcPr>
            <w:tcW w:type="dxa" w:w="4320"/>
          </w:tcPr>
          <w:p>
            <w:r>
              <w:t>No detectable cross-reactivity with other relevant proteins</w:t>
            </w:r>
          </w:p>
        </w:tc>
      </w:tr>
      <w:tr>
        <w:tc>
          <w:tcPr>
            <w:tcW w:type="dxa" w:w="4320"/>
          </w:tcPr>
          <w:p>
            <w:r>
              <w:rPr>
                <w:b/>
              </w:rPr>
              <w:t>Sensitivity</w:t>
            </w:r>
          </w:p>
        </w:tc>
        <w:tc>
          <w:tcPr>
            <w:tcW w:type="dxa" w:w="4320"/>
          </w:tcPr>
          <w:p>
            <w:r>
              <w:t>&lt;2 pg/ml</w:t>
            </w:r>
          </w:p>
        </w:tc>
      </w:tr>
    </w:tbl>
    <w:p>
      <w:pPr>
        <w:pStyle w:val="Heading2"/>
      </w:pPr>
      <w:r>
        <w:rPr>
          <w:b/>
          <w:color w:val="0046B4"/>
        </w:rPr>
        <w:t>OVERVIEW</w:t>
      </w:r>
    </w:p>
    <w:p>
      <w:pPr>
        <w:pStyle w:val="Heading2"/>
      </w:pPr>
      <w:r>
        <w:rPr>
          <w:b/>
          <w:color w:val="0046B4"/>
        </w:rPr>
        <w:t>BACKGROUND</w:t>
      </w:r>
    </w:p>
    <w:p>
      <w:pPr/>
      <w: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rPr>
          <w:b/>
          <w:color w:val="0046B4"/>
        </w:rPr>
        <w:t>ASSAY PRINCIPLE</w:t>
      </w:r>
    </w:p>
    <w:p>
      <w:pPr/>
      <w: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rPr>
          <w:b/>
          <w:color w:val="0046B4"/>
        </w:rPr>
        <w:t>KIT COMPONENTS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Description</w:t>
            </w:r>
          </w:p>
        </w:tc>
        <w:tc>
          <w:tcPr>
            <w:tcW w:type="dxa" w:w="2160"/>
          </w:tcPr>
          <w:p>
            <w:r>
              <w:rPr>
                <w:b/>
              </w:rPr>
              <w:t>Quantity</w:t>
            </w:r>
          </w:p>
        </w:tc>
        <w:tc>
          <w:tcPr>
            <w:tcW w:type="dxa" w:w="2160"/>
          </w:tcPr>
          <w:p>
            <w:r>
              <w:rPr>
                <w:b/>
              </w:rPr>
              <w:t>Volume</w:t>
            </w:r>
          </w:p>
        </w:tc>
        <w:tc>
          <w:tcPr>
            <w:tcW w:type="dxa" w:w="2160"/>
          </w:tcPr>
          <w:p>
            <w:r>
              <w:rPr>
                <w:b/>
              </w:rPr>
              <w:t>Storage</w:t>
            </w:r>
          </w:p>
        </w:tc>
      </w:tr>
      <w:tr>
        <w:tc>
          <w:tcPr>
            <w:tcW w:type="dxa" w:w="2160"/>
          </w:tcPr>
          <w:p>
            <w:r>
              <w:t>Anti-Mouse Klk1 Pre-coated 96-well Strip Microplate</w:t>
            </w:r>
          </w:p>
        </w:tc>
        <w:tc>
          <w:tcPr>
            <w:tcW w:type="dxa" w:w="2160"/>
          </w:tcPr>
          <w:p>
            <w:r>
              <w:t>1</w:t>
            </w:r>
          </w:p>
        </w:tc>
        <w:tc>
          <w:tcPr>
            <w:tcW w:type="dxa" w:w="2160"/>
          </w:tcPr>
          <w:p>
            <w:r>
              <w:t>12 strips of 8 wells</w:t>
            </w:r>
          </w:p>
        </w:tc>
        <w:tc>
          <w:tcPr>
            <w:tcW w:type="dxa" w:w="2160"/>
          </w:tcPr>
          <w:p>
            <w:r>
              <w:t>Return unused wells to the foil pouch. Reseal along the entire edge of the zip-seal. May be stored for up to 1 month at 4°C provided this is within the expiration date of the kit.</w:t>
            </w:r>
          </w:p>
        </w:tc>
      </w:tr>
      <w:tr>
        <w:tc>
          <w:tcPr>
            <w:tcW w:type="dxa" w:w="2160"/>
          </w:tcPr>
          <w:p>
            <w:r>
              <w:t>Mouse Klk1 Standard</w:t>
            </w:r>
          </w:p>
        </w:tc>
        <w:tc>
          <w:tcPr>
            <w:tcW w:type="dxa" w:w="2160"/>
          </w:tcPr>
          <w:p>
            <w:r>
              <w:t>2</w:t>
            </w:r>
          </w:p>
        </w:tc>
        <w:tc>
          <w:tcPr>
            <w:tcW w:type="dxa" w:w="2160"/>
          </w:tcPr>
          <w:p>
            <w:r>
              <w:t>10 ng/tube</w:t>
            </w:r>
          </w:p>
        </w:tc>
        <w:tc>
          <w:tcPr>
            <w:tcW w:type="dxa" w:w="2160"/>
          </w:tcPr>
          <w:p>
            <w:r>
              <w:t>Discard the Klk1 stock solution after 12 hours at 4°C. May be stored at -20°C for 48 hours.</w:t>
            </w:r>
          </w:p>
        </w:tc>
      </w:tr>
      <w:tr>
        <w:tc>
          <w:tcPr>
            <w:tcW w:type="dxa" w:w="2160"/>
          </w:tcPr>
          <w:p>
            <w:r>
              <w:t>Mouse Klk1 Biotinylated Antibody (100x)</w:t>
            </w:r>
          </w:p>
        </w:tc>
        <w:tc>
          <w:tcPr>
            <w:tcW w:type="dxa" w:w="2160"/>
          </w:tcPr>
          <w:p>
            <w:r>
              <w:t>1</w:t>
            </w:r>
          </w:p>
        </w:tc>
        <w:tc>
          <w:tcPr>
            <w:tcW w:type="dxa" w:w="2160"/>
          </w:tcPr>
          <w:p>
            <w:r>
              <w:t>100 µl</w:t>
            </w:r>
          </w:p>
        </w:tc>
        <w:tc>
          <w:tcPr>
            <w:tcW w:type="dxa" w:w="2160"/>
          </w:tcPr>
          <w:p>
            <w:r>
              <w:t>May be stored for up to 1 month at 4°C provided this is within the expiration date of the kit.</w:t>
            </w:r>
          </w:p>
        </w:tc>
      </w:tr>
      <w:tr>
        <w:tc>
          <w:tcPr>
            <w:tcW w:type="dxa" w:w="2160"/>
          </w:tcPr>
          <w:p>
            <w:r>
              <w:t>Avidin-Biotin-Peroxidase Complex (100x)</w:t>
            </w:r>
          </w:p>
        </w:tc>
        <w:tc>
          <w:tcPr>
            <w:tcW w:type="dxa" w:w="2160"/>
          </w:tcPr>
          <w:p>
            <w:r>
              <w:t>1</w:t>
            </w:r>
          </w:p>
        </w:tc>
        <w:tc>
          <w:tcPr>
            <w:tcW w:type="dxa" w:w="2160"/>
          </w:tcPr>
          <w:p>
            <w:r>
              <w:t>100 µl</w:t>
            </w:r>
          </w:p>
        </w:tc>
        <w:tc>
          <w:tcPr>
            <w:tcW w:type="dxa" w:w="2160"/>
          </w:tcPr>
          <w:p>
            <w:r>
              <w:t>May be stored for up to 1 month at 4°C provided this is within the expiration date of the kit.</w:t>
            </w:r>
          </w:p>
        </w:tc>
      </w:tr>
      <w:tr>
        <w:tc>
          <w:tcPr>
            <w:tcW w:type="dxa" w:w="2160"/>
          </w:tcPr>
          <w:p>
            <w:r>
              <w:t>Sample Diluent</w:t>
            </w:r>
          </w:p>
        </w:tc>
        <w:tc>
          <w:tcPr>
            <w:tcW w:type="dxa" w:w="2160"/>
          </w:tcPr>
          <w:p>
            <w:r>
              <w:t>1</w:t>
            </w:r>
          </w:p>
        </w:tc>
        <w:tc>
          <w:tcPr>
            <w:tcW w:type="dxa" w:w="2160"/>
          </w:tcPr>
          <w:p>
            <w:r>
              <w:t>30 ml</w:t>
            </w:r>
          </w:p>
        </w:tc>
        <w:tc>
          <w:tcPr>
            <w:tcW w:type="dxa" w:w="2160"/>
          </w:tcPr>
          <w:p>
            <w:r>
              <w:t>May be stored for up to 1 month at 4°C provided this is within the expiration date of the kit.</w:t>
            </w:r>
          </w:p>
        </w:tc>
      </w:tr>
      <w:tr>
        <w:tc>
          <w:tcPr>
            <w:tcW w:type="dxa" w:w="2160"/>
          </w:tcPr>
          <w:p>
            <w:r>
              <w:t>Antibody Diluent</w:t>
            </w:r>
          </w:p>
        </w:tc>
        <w:tc>
          <w:tcPr>
            <w:tcW w:type="dxa" w:w="2160"/>
          </w:tcPr>
          <w:p>
            <w:r>
              <w:t>1</w:t>
            </w:r>
          </w:p>
        </w:tc>
        <w:tc>
          <w:tcPr>
            <w:tcW w:type="dxa" w:w="2160"/>
          </w:tcPr>
          <w:p>
            <w:r>
              <w:t>12 ml</w:t>
            </w:r>
          </w:p>
        </w:tc>
        <w:tc>
          <w:tcPr>
            <w:tcW w:type="dxa" w:w="2160"/>
          </w:tcPr>
          <w:p>
            <w:r>
              <w:t>May be stored for up to 1 month at 4°C provided this is within the expiration date of the kit.</w:t>
            </w:r>
          </w:p>
        </w:tc>
      </w:tr>
      <w:tr>
        <w:tc>
          <w:tcPr>
            <w:tcW w:type="dxa" w:w="2160"/>
          </w:tcPr>
          <w:p>
            <w:r>
              <w:t>Avidin-Biotin-Peroxidase Diluent</w:t>
            </w:r>
          </w:p>
        </w:tc>
        <w:tc>
          <w:tcPr>
            <w:tcW w:type="dxa" w:w="2160"/>
          </w:tcPr>
          <w:p>
            <w:r>
              <w:t>1</w:t>
            </w:r>
          </w:p>
        </w:tc>
        <w:tc>
          <w:tcPr>
            <w:tcW w:type="dxa" w:w="2160"/>
          </w:tcPr>
          <w:p>
            <w:r>
              <w:t>12 ml</w:t>
            </w:r>
          </w:p>
        </w:tc>
        <w:tc>
          <w:tcPr>
            <w:tcW w:type="dxa" w:w="2160"/>
          </w:tcPr>
          <w:p>
            <w:r>
              <w:t>May be stored for up to 1 month at 4°C provided this is within the expiration date of the kit.</w:t>
            </w:r>
          </w:p>
        </w:tc>
      </w:tr>
      <w:tr>
        <w:tc>
          <w:tcPr>
            <w:tcW w:type="dxa" w:w="2160"/>
          </w:tcPr>
          <w:p>
            <w:r>
              <w:t>Color Developing Reagent (TMB)</w:t>
            </w:r>
          </w:p>
        </w:tc>
        <w:tc>
          <w:tcPr>
            <w:tcW w:type="dxa" w:w="2160"/>
          </w:tcPr>
          <w:p>
            <w:r>
              <w:t>1</w:t>
            </w:r>
          </w:p>
        </w:tc>
        <w:tc>
          <w:tcPr>
            <w:tcW w:type="dxa" w:w="2160"/>
          </w:tcPr>
          <w:p>
            <w:r>
              <w:t>10 ml</w:t>
            </w:r>
          </w:p>
        </w:tc>
        <w:tc>
          <w:tcPr>
            <w:tcW w:type="dxa" w:w="2160"/>
          </w:tcPr>
          <w:p>
            <w:r>
              <w:t>May be stored for up to 1 month at 4°C provided this is within the expiration date of the kit.</w:t>
            </w:r>
          </w:p>
        </w:tc>
      </w:tr>
      <w:tr>
        <w:tc>
          <w:tcPr>
            <w:tcW w:type="dxa" w:w="2160"/>
          </w:tcPr>
          <w:p>
            <w:r>
              <w:t>Stop Solution</w:t>
            </w:r>
          </w:p>
        </w:tc>
        <w:tc>
          <w:tcPr>
            <w:tcW w:type="dxa" w:w="2160"/>
          </w:tcPr>
          <w:p>
            <w:r>
              <w:t>1</w:t>
            </w:r>
          </w:p>
        </w:tc>
        <w:tc>
          <w:tcPr>
            <w:tcW w:type="dxa" w:w="2160"/>
          </w:tcPr>
          <w:p>
            <w:r>
              <w:t>10 ml</w:t>
            </w:r>
          </w:p>
        </w:tc>
        <w:tc>
          <w:tcPr>
            <w:tcW w:type="dxa" w:w="2160"/>
          </w:tcPr>
          <w:p>
            <w:r>
              <w:t>May be stored for up to 1 month at 4°C provided this is within the expiration date of the kit.</w:t>
            </w:r>
          </w:p>
        </w:tc>
      </w:tr>
      <w:tr>
        <w:tc>
          <w:tcPr>
            <w:tcW w:type="dxa" w:w="2160"/>
          </w:tcPr>
          <w:p>
            <w:r>
              <w:t>Wash Buffer (25x)</w:t>
            </w:r>
          </w:p>
        </w:tc>
        <w:tc>
          <w:tcPr>
            <w:tcW w:type="dxa" w:w="2160"/>
          </w:tcPr>
          <w:p>
            <w:r>
              <w:t>1</w:t>
            </w:r>
          </w:p>
        </w:tc>
        <w:tc>
          <w:tcPr>
            <w:tcW w:type="dxa" w:w="2160"/>
          </w:tcPr>
          <w:p>
            <w:r>
              <w:t>20 ml</w:t>
            </w:r>
          </w:p>
        </w:tc>
        <w:tc>
          <w:tcPr>
            <w:tcW w:type="dxa" w:w="2160"/>
          </w:tcPr>
          <w:p>
            <w:r>
              <w:t>May be stored for up to 1 month at 4°C provided this is within the expiration date of the kit.</w:t>
            </w:r>
          </w:p>
        </w:tc>
      </w:tr>
      <w:tr>
        <w:tc>
          <w:tcPr>
            <w:tcW w:type="dxa" w:w="2160"/>
          </w:tcPr>
          <w:p>
            <w:r>
              <w:t>Plate Sealers</w:t>
            </w:r>
          </w:p>
        </w:tc>
        <w:tc>
          <w:tcPr>
            <w:tcW w:type="dxa" w:w="2160"/>
          </w:tcPr>
          <w:p>
            <w:r>
              <w:t>4</w:t>
            </w:r>
          </w:p>
        </w:tc>
        <w:tc>
          <w:tcPr>
            <w:tcW w:type="dxa" w:w="2160"/>
          </w:tcPr>
          <w:p>
            <w:r>
              <w:t>Piece</w:t>
            </w:r>
          </w:p>
        </w:tc>
        <w:tc>
          <w:tcPr>
            <w:tcW w:type="dxa" w:w="2160"/>
          </w:tcPr>
          <w:p>
            <w:r/>
          </w:p>
        </w:tc>
      </w:tr>
    </w:tbl>
    <w:p>
      <w:pPr>
        <w:pStyle w:val="Heading2"/>
      </w:pPr>
      <w:r>
        <w:rPr>
          <w:b/>
          <w:color w:val="0046B4"/>
        </w:rPr>
        <w:t>MATERIALS REQUIRED BUT NOT PROVIDED</w:t>
      </w:r>
    </w:p>
    <w:p>
      <w:pPr>
        <w:pStyle w:val="ListBullet"/>
      </w:pPr>
      <w:r>
        <w:t>Microplate reader capable of reading absorbance at 450 nm. Incubator.</w:t>
      </w:r>
    </w:p>
    <w:p>
      <w:pPr>
        <w:pStyle w:val="ListBullet"/>
      </w:pPr>
      <w:r>
        <w:t>Automated plate washer (optional)</w:t>
      </w:r>
    </w:p>
    <w:p>
      <w:pPr>
        <w:pStyle w:val="ListBullet"/>
      </w:pPr>
      <w:r>
        <w:t>Pipettes and pipette tips capable of precisely dispensing 0.5 µl through 1 ml volumes of aqueous solutions. Multichannel pipettes are recommended for a large numbers of samples.</w:t>
      </w:r>
    </w:p>
    <w:p>
      <w:pPr>
        <w:pStyle w:val="ListBullet"/>
      </w:pPr>
      <w:r>
        <w:t>Deionized or distilled water. 500 ml graduated cylinders. Test tubes for dilution.</w:t>
      </w:r>
    </w:p>
    <w:p>
      <w:pPr>
        <w:pStyle w:val="ListBullet"/>
      </w:pPr>
      <w:r>
        <w:t>Mouse Klk1 ELISA Standard Curve Example</w:t>
      </w:r>
    </w:p>
    <w:p>
      <w:pPr>
        <w:pStyle w:val="ListBullet"/>
      </w:pPr>
      <w:r>
        <w:t>The highest O.D. value might be higher or lower than in the example. The experiment result is statistically significant if the highest O.D. value is no less than 1.0.</w:t>
      </w:r>
    </w:p>
    <w:p>
      <w:pPr>
        <w:pStyle w:val="Heading2"/>
      </w:pPr>
      <w:r>
        <w:rPr>
          <w:b/>
          <w:color w:val="0046B4"/>
        </w:rPr>
        <w:t>REAGENT PREPARATION</w:t>
      </w:r>
    </w:p>
    <w:p>
      <w:pPr/>
      <w: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rPr>
          <w:b/>
          <w:color w:val="0046B4"/>
        </w:rPr>
        <w:t>DILUTION OF STANDARD</w:t>
      </w:r>
    </w:p>
    <w:p>
      <w:pPr/>
      <w:r>
        <w:t>Dilute the standard stock solution in standard diluent buffer to concentrations of 62.5, 125, 250, 500, 1000, 2000, and 4000 pg/ml. A 7-point standard curve is recommended.</w:t>
      </w:r>
    </w:p>
    <w:p>
      <w:pPr>
        <w:pStyle w:val="Heading2"/>
      </w:pPr>
      <w:r>
        <w:rPr>
          <w:b/>
          <w:color w:val="0046B4"/>
        </w:rPr>
        <w:t>PREPARATIONS BEFORE ASSAY</w:t>
      </w:r>
    </w:p>
    <w:p>
      <w:pPr>
        <w:pStyle w:val="ListNumber"/>
      </w:pPr>
      <w:r>
        <w:t>Prepare all reagents, samples, and standards according to the instructions.</w:t>
      </w:r>
    </w:p>
    <w:p>
      <w:pPr>
        <w:pStyle w:val="ListNumber"/>
      </w:pPr>
      <w:r>
        <w:t>Confirm that you have the appropriate non-supplied equipment available.</w:t>
      </w:r>
    </w:p>
    <w:p>
      <w:pPr>
        <w:pStyle w:val="ListNumber"/>
      </w:pPr>
      <w:r>
        <w:t>Set all reagents to room temperature before beginning the assay.</w:t>
      </w:r>
    </w:p>
    <w:p>
      <w:pPr>
        <w:pStyle w:val="Heading2"/>
      </w:pPr>
      <w:r>
        <w:rPr>
          <w:b/>
          <w:color w:val="0046B4"/>
        </w:rPr>
        <w:t>SAMPLE PREPARATION AND STORAGE</w:t>
      </w:r>
    </w:p>
    <w:p>
      <w:pPr/>
      <w:r>
        <w:t>When first using a kit, appropriate validation steps should be taken to ensure the kit performs as expected.</w:t>
      </w:r>
    </w:p>
    <w:p>
      <w:pPr>
        <w:pStyle w:val="Heading2"/>
      </w:pPr>
      <w:r>
        <w:rPr>
          <w:b/>
          <w:color w:val="0046B4"/>
        </w:rPr>
        <w:t>SAMPLE COLLECTION NOTES</w:t>
      </w:r>
    </w:p>
    <w:p>
      <w:pPr/>
      <w:r>
        <w:t>Boster recommends that samples are used immediately upon preparation.</w:t>
      </w:r>
    </w:p>
    <w:p>
      <w:pPr>
        <w:pStyle w:val="Heading2"/>
      </w:pPr>
      <w:r>
        <w:rPr>
          <w:b/>
          <w:color w:val="0046B4"/>
        </w:rPr>
        <w:t>SAMPLE DILUTION GUIDELINE</w:t>
      </w:r>
    </w:p>
    <w:p>
      <w:pPr>
        <w:pStyle w:val="ListBullet"/>
      </w:pPr>
      <w:r>
        <w:t>To inspect the validity of experiment operation and the appropriateness of sample dilution proportion, pilot experiment using standards and a small number of samples is recommended.</w:t>
      </w:r>
    </w:p>
    <w:p>
      <w:pPr>
        <w:pStyle w:val="ListBullet"/>
      </w:pPr>
      <w:r>
        <w:t>The TMB Color Developing agent is colorless and transparent before using, contact us if it is not the case.</w:t>
      </w:r>
    </w:p>
    <w:p>
      <w:pPr>
        <w:pStyle w:val="ListBullet"/>
      </w:pPr>
      <w:r>
        <w:t>The Standard solution should be clear and colorless or a very light yellow before use.</w:t>
      </w:r>
    </w:p>
    <w:p>
      <w:pPr>
        <w:pStyle w:val="Heading2"/>
      </w:pPr>
      <w:r>
        <w:rPr>
          <w:b/>
          <w:color w:val="0046B4"/>
        </w:rPr>
        <w:t>ASSAY PROTOCOL</w:t>
      </w:r>
    </w:p>
    <w:p>
      <w:pPr>
        <w:pStyle w:val="ListNumber"/>
      </w:pPr>
      <w:r>
        <w:t>Aliquot</w:t>
      </w:r>
    </w:p>
    <w:p>
      <w:pPr>
        <w:pStyle w:val="ListNumber"/>
      </w:pPr>
      <w:r>
        <w:t>1ml per well of the dilutions of the standard, blank, and samples into the pre-coated 96-well plate.</w:t>
      </w:r>
    </w:p>
    <w:p>
      <w:pPr>
        <w:pStyle w:val="ListNumber"/>
      </w:pPr>
      <w:r>
        <w:t>Seal the plate with a cover and incubate at 37°C for 90 min.</w:t>
      </w:r>
    </w:p>
    <w:p>
      <w:pPr>
        <w:pStyle w:val="ListNumber"/>
      </w:pPr>
      <w:r>
        <w:t>Remove the cover, discard plate contents, and blot the plate onto paper towels.</w:t>
      </w:r>
    </w:p>
    <w:p>
      <w:pPr>
        <w:pStyle w:val="ListNumber"/>
      </w:pPr>
      <w:r>
        <w:t>Add</w:t>
      </w:r>
    </w:p>
    <w:p>
      <w:pPr>
        <w:pStyle w:val="ListNumber"/>
      </w:pPr>
      <w:r>
        <w:t>1ml of biotinylated anti-Mouse Klk1 antibody working solution into each well and incubate at 37°C for 60 min.</w:t>
      </w:r>
    </w:p>
    <w:p>
      <w:pPr>
        <w:pStyle w:val="ListNumber"/>
      </w:pPr>
      <w:r>
        <w:t>Wash plate 3 times with</w:t>
      </w:r>
    </w:p>
    <w:p>
      <w:pPr>
        <w:pStyle w:val="ListNumber"/>
      </w:pPr>
      <w:r>
        <w:t>01M TBS or</w:t>
      </w:r>
    </w:p>
    <w:p>
      <w:pPr>
        <w:pStyle w:val="ListNumber"/>
      </w:pPr>
      <w:r>
        <w:t>01M PBS, and each time let washing buffer stay in the wells for 1 min.</w:t>
      </w:r>
    </w:p>
    <w:p>
      <w:pPr>
        <w:pStyle w:val="ListNumber"/>
      </w:pPr>
      <w:r>
        <w:t>Add</w:t>
      </w:r>
    </w:p>
    <w:p>
      <w:pPr>
        <w:pStyle w:val="ListNumber"/>
      </w:pPr>
      <w:r>
        <w:t>1ml of prepared ABC working solution into each well and incubate at 37°C for 30 min.</w:t>
      </w:r>
    </w:p>
    <w:p>
      <w:pPr>
        <w:pStyle w:val="ListNumber"/>
      </w:pPr>
      <w:r>
        <w:t>Wash plate 5 times with</w:t>
      </w:r>
    </w:p>
    <w:p>
      <w:pPr>
        <w:pStyle w:val="ListNumber"/>
      </w:pPr>
      <w:r>
        <w:t>01M TBS or</w:t>
      </w:r>
    </w:p>
    <w:p>
      <w:pPr>
        <w:pStyle w:val="ListNumber"/>
      </w:pPr>
      <w:r>
        <w:t>01M PBS, and each time let washing buffer stay in the wells for 1-2 min.</w:t>
      </w:r>
    </w:p>
    <w:p>
      <w:pPr>
        <w:pStyle w:val="ListNumber"/>
      </w:pPr>
      <w:r>
        <w:t>Add 90μl of prepared TMB color developing agent into each well and incubate at 37°C in dark for 25-30 min.</w:t>
      </w:r>
    </w:p>
    <w:p>
      <w:pPr>
        <w:pStyle w:val="ListNumber"/>
      </w:pPr>
      <w:r>
        <w:t>Add</w:t>
      </w:r>
    </w:p>
    <w:p>
      <w:pPr>
        <w:pStyle w:val="ListNumber"/>
      </w:pPr>
      <w:r>
        <w:t>1ml of prepared TMB stop solution and read OD value at 450nm within 30 min.</w:t>
      </w:r>
    </w:p>
    <w:p>
      <w:pPr>
        <w:pStyle w:val="Heading2"/>
      </w:pPr>
      <w:r>
        <w:rPr>
          <w:b/>
          <w:color w:val="0046B4"/>
        </w:rPr>
        <w:t>DATA ANALYSIS</w:t>
      </w:r>
    </w:p>
    <w:p>
      <w:pPr/>
      <w:r>
        <w:t>To analyze using manual methods, follow the process of duplicate readings for standard curve data points and averaging them. Create a standard curve by plotting the mean absorbance for each standard on the x-axis against the concentration on the y-axis and draw a best fit curve through the points on the graph. Calculate the concentration of Klk1 in each sample by interpolating from the standard curve using the average absorbance of each sample.</w:t>
      </w:r>
    </w:p>
    <w:p>
      <w:pPr>
        <w:pStyle w:val="Heading2"/>
      </w:pPr>
      <w:r>
        <w:rPr>
          <w:b/>
          <w:color w:val="0046B4"/>
        </w:rPr>
        <w:t>STANDARD CURVE</w:t>
      </w:r>
    </w:p>
    <w:p>
      <w:pPr/>
      <w:r>
        <w:t>Standard curve data:</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 (pg/ml)</w:t>
            </w:r>
          </w:p>
        </w:tc>
        <w:tc>
          <w:tcPr>
            <w:tcW w:type="dxa" w:w="4320"/>
          </w:tcPr>
          <w:p>
            <w:r>
              <w:rPr>
                <w:b/>
              </w:rPr>
              <w:t>O.D.</w:t>
            </w:r>
          </w:p>
        </w:tc>
      </w:tr>
      <w:tr>
        <w:tc>
          <w:tcPr>
            <w:tcW w:type="dxa" w:w="4320"/>
          </w:tcPr>
          <w:p>
            <w:r>
              <w:t>0</w:t>
            </w:r>
          </w:p>
        </w:tc>
        <w:tc>
          <w:tcPr>
            <w:tcW w:type="dxa" w:w="4320"/>
          </w:tcPr>
          <w:p>
            <w:r>
              <w:t>0.0</w:t>
            </w:r>
          </w:p>
        </w:tc>
      </w:tr>
      <w:tr>
        <w:tc>
          <w:tcPr>
            <w:tcW w:type="dxa" w:w="4320"/>
          </w:tcPr>
          <w:p>
            <w:r>
              <w:t>62.5</w:t>
            </w:r>
          </w:p>
        </w:tc>
        <w:tc>
          <w:tcPr>
            <w:tcW w:type="dxa" w:w="4320"/>
          </w:tcPr>
          <w:p>
            <w:r>
              <w:t>0.103</w:t>
            </w:r>
          </w:p>
        </w:tc>
      </w:tr>
      <w:tr>
        <w:tc>
          <w:tcPr>
            <w:tcW w:type="dxa" w:w="4320"/>
          </w:tcPr>
          <w:p>
            <w:r>
              <w:t>125</w:t>
            </w:r>
          </w:p>
        </w:tc>
        <w:tc>
          <w:tcPr>
            <w:tcW w:type="dxa" w:w="4320"/>
          </w:tcPr>
          <w:p>
            <w:r>
              <w:t>0.217</w:t>
            </w:r>
          </w:p>
        </w:tc>
      </w:tr>
      <w:tr>
        <w:tc>
          <w:tcPr>
            <w:tcW w:type="dxa" w:w="4320"/>
          </w:tcPr>
          <w:p>
            <w:r>
              <w:t>250</w:t>
            </w:r>
          </w:p>
        </w:tc>
        <w:tc>
          <w:tcPr>
            <w:tcW w:type="dxa" w:w="4320"/>
          </w:tcPr>
          <w:p>
            <w:r>
              <w:t>0.425</w:t>
            </w:r>
          </w:p>
        </w:tc>
      </w:tr>
      <w:tr>
        <w:tc>
          <w:tcPr>
            <w:tcW w:type="dxa" w:w="4320"/>
          </w:tcPr>
          <w:p>
            <w:r>
              <w:t>500</w:t>
            </w:r>
          </w:p>
        </w:tc>
        <w:tc>
          <w:tcPr>
            <w:tcW w:type="dxa" w:w="4320"/>
          </w:tcPr>
          <w:p>
            <w:r>
              <w:t>0.824</w:t>
            </w:r>
          </w:p>
        </w:tc>
      </w:tr>
      <w:tr>
        <w:tc>
          <w:tcPr>
            <w:tcW w:type="dxa" w:w="4320"/>
          </w:tcPr>
          <w:p>
            <w:r>
              <w:t>1000</w:t>
            </w:r>
          </w:p>
        </w:tc>
        <w:tc>
          <w:tcPr>
            <w:tcW w:type="dxa" w:w="4320"/>
          </w:tcPr>
          <w:p>
            <w:r>
              <w:t>1.623</w:t>
            </w:r>
          </w:p>
        </w:tc>
      </w:tr>
      <w:tr>
        <w:tc>
          <w:tcPr>
            <w:tcW w:type="dxa" w:w="4320"/>
          </w:tcPr>
          <w:p>
            <w:r>
              <w:t>2000</w:t>
            </w:r>
          </w:p>
        </w:tc>
        <w:tc>
          <w:tcPr>
            <w:tcW w:type="dxa" w:w="4320"/>
          </w:tcPr>
          <w:p>
            <w:r>
              <w:t>2.243</w:t>
            </w:r>
          </w:p>
        </w:tc>
      </w:tr>
      <w:tr>
        <w:tc>
          <w:tcPr>
            <w:tcW w:type="dxa" w:w="4320"/>
          </w:tcPr>
          <w:p>
            <w:r>
              <w:t>4000</w:t>
            </w:r>
          </w:p>
        </w:tc>
        <w:tc>
          <w:tcPr>
            <w:tcW w:type="dxa" w:w="4320"/>
          </w:tcPr>
          <w:p>
            <w:r>
              <w:t>2.965</w:t>
            </w:r>
          </w:p>
        </w:tc>
      </w:tr>
    </w:tbl>
    <w:p>
      <w:pPr/>
      <w:r>
        <w:rPr>
          <w:i/>
        </w:rPr>
        <w:t>This standard curve is for demonstration only. A standard curve must be run with each assay.</w:t>
      </w:r>
    </w:p>
    <w:p>
      <w:pPr>
        <w:pStyle w:val="Heading2"/>
      </w:pPr>
      <w:r>
        <w:rPr>
          <w:b/>
          <w:color w:val="0046B4"/>
        </w:rPr>
        <w:t>REPRODUCIBILITY</w:t>
      </w:r>
    </w:p>
    <w:p>
      <w:pPr/>
      <w:r>
        <w:t>Samples were tested in four different assay lots to assess reproducibility.</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rPr>
              <w:t>Sample</w:t>
            </w:r>
          </w:p>
        </w:tc>
        <w:tc>
          <w:tcPr>
            <w:tcW w:type="dxa" w:w="1234"/>
          </w:tcPr>
          <w:p>
            <w:r>
              <w:rPr>
                <w:b/>
              </w:rPr>
              <w:t>Lot 1</w:t>
            </w:r>
          </w:p>
        </w:tc>
        <w:tc>
          <w:tcPr>
            <w:tcW w:type="dxa" w:w="1234"/>
          </w:tcPr>
          <w:p>
            <w:r>
              <w:rPr>
                <w:b/>
              </w:rPr>
              <w:t>Lot 2</w:t>
            </w:r>
          </w:p>
        </w:tc>
        <w:tc>
          <w:tcPr>
            <w:tcW w:type="dxa" w:w="1234"/>
          </w:tcPr>
          <w:p>
            <w:r>
              <w:rPr>
                <w:b/>
              </w:rPr>
              <w:t>Lot 3</w:t>
            </w:r>
          </w:p>
        </w:tc>
        <w:tc>
          <w:tcPr>
            <w:tcW w:type="dxa" w:w="1234"/>
          </w:tcPr>
          <w:p>
            <w:r>
              <w:rPr>
                <w:b/>
              </w:rPr>
              <w:t>Lot 4</w:t>
            </w:r>
          </w:p>
        </w:tc>
        <w:tc>
          <w:tcPr>
            <w:tcW w:type="dxa" w:w="1234"/>
          </w:tcPr>
          <w:p>
            <w:r>
              <w:rPr>
                <w:b/>
              </w:rPr>
              <w:t>SD</w:t>
            </w:r>
          </w:p>
        </w:tc>
        <w:tc>
          <w:tcPr>
            <w:tcW w:type="dxa" w:w="1234"/>
          </w:tcPr>
          <w:p>
            <w:r>
              <w:rPr>
                <w:b/>
              </w:rPr>
              <w:t>CV</w:t>
            </w:r>
          </w:p>
        </w:tc>
      </w:tr>
      <w:tr>
        <w:tc>
          <w:tcPr>
            <w:tcW w:type="dxa" w:w="1234"/>
          </w:tcPr>
          <w:p>
            <w:r>
              <w:t>Sample 1</w:t>
            </w:r>
          </w:p>
        </w:tc>
        <w:tc>
          <w:tcPr>
            <w:tcW w:type="dxa" w:w="1234"/>
          </w:tcPr>
          <w:p>
            <w:r>
              <w:t>258 pg/ml</w:t>
            </w:r>
          </w:p>
        </w:tc>
        <w:tc>
          <w:tcPr>
            <w:tcW w:type="dxa" w:w="1234"/>
          </w:tcPr>
          <w:p>
            <w:r>
              <w:t>265 pg/ml</w:t>
            </w:r>
          </w:p>
        </w:tc>
        <w:tc>
          <w:tcPr>
            <w:tcW w:type="dxa" w:w="1234"/>
          </w:tcPr>
          <w:p>
            <w:r>
              <w:t>262 pg/ml</w:t>
            </w:r>
          </w:p>
        </w:tc>
        <w:tc>
          <w:tcPr>
            <w:tcW w:type="dxa" w:w="1234"/>
          </w:tcPr>
          <w:p>
            <w:r>
              <w:t>260 pg/ml</w:t>
            </w:r>
          </w:p>
        </w:tc>
        <w:tc>
          <w:tcPr>
            <w:tcW w:type="dxa" w:w="1234"/>
          </w:tcPr>
          <w:p>
            <w:r>
              <w:t>3.2</w:t>
            </w:r>
          </w:p>
        </w:tc>
        <w:tc>
          <w:tcPr>
            <w:tcW w:type="dxa" w:w="1234"/>
          </w:tcPr>
          <w:p>
            <w:r>
              <w:t>1.2%</w:t>
            </w:r>
          </w:p>
        </w:tc>
      </w:tr>
      <w:tr>
        <w:tc>
          <w:tcPr>
            <w:tcW w:type="dxa" w:w="1234"/>
          </w:tcPr>
          <w:p>
            <w:r>
              <w:t>Sample 2</w:t>
            </w:r>
          </w:p>
        </w:tc>
        <w:tc>
          <w:tcPr>
            <w:tcW w:type="dxa" w:w="1234"/>
          </w:tcPr>
          <w:p>
            <w:r>
              <w:t>1240 pg/ml</w:t>
            </w:r>
          </w:p>
        </w:tc>
        <w:tc>
          <w:tcPr>
            <w:tcW w:type="dxa" w:w="1234"/>
          </w:tcPr>
          <w:p>
            <w:r>
              <w:t>1238 pg/ml</w:t>
            </w:r>
          </w:p>
        </w:tc>
        <w:tc>
          <w:tcPr>
            <w:tcW w:type="dxa" w:w="1234"/>
          </w:tcPr>
          <w:p>
            <w:r>
              <w:t>1252 pg/ml</w:t>
            </w:r>
          </w:p>
        </w:tc>
        <w:tc>
          <w:tcPr>
            <w:tcW w:type="dxa" w:w="1234"/>
          </w:tcPr>
          <w:p>
            <w:r>
              <w:t>1245 pg/ml</w:t>
            </w:r>
          </w:p>
        </w:tc>
        <w:tc>
          <w:tcPr>
            <w:tcW w:type="dxa" w:w="1234"/>
          </w:tcPr>
          <w:p>
            <w:r>
              <w:t>6.5</w:t>
            </w:r>
          </w:p>
        </w:tc>
        <w:tc>
          <w:tcPr>
            <w:tcW w:type="dxa" w:w="1234"/>
          </w:tcPr>
          <w:p>
            <w:r>
              <w:t>0.5%</w:t>
            </w:r>
          </w:p>
        </w:tc>
      </w:tr>
      <w:tr>
        <w:tc>
          <w:tcPr>
            <w:tcW w:type="dxa" w:w="1234"/>
          </w:tcPr>
          <w:p>
            <w:r>
              <w:t>Sample 3</w:t>
            </w:r>
          </w:p>
        </w:tc>
        <w:tc>
          <w:tcPr>
            <w:tcW w:type="dxa" w:w="1234"/>
          </w:tcPr>
          <w:p>
            <w:r>
              <w:t>3520 pg/ml</w:t>
            </w:r>
          </w:p>
        </w:tc>
        <w:tc>
          <w:tcPr>
            <w:tcW w:type="dxa" w:w="1234"/>
          </w:tcPr>
          <w:p>
            <w:r>
              <w:t>3480 pg/ml</w:t>
            </w:r>
          </w:p>
        </w:tc>
        <w:tc>
          <w:tcPr>
            <w:tcW w:type="dxa" w:w="1234"/>
          </w:tcPr>
          <w:p>
            <w:r>
              <w:t>3510 pg/ml</w:t>
            </w:r>
          </w:p>
        </w:tc>
        <w:tc>
          <w:tcPr>
            <w:tcW w:type="dxa" w:w="1234"/>
          </w:tcPr>
          <w:p>
            <w:r>
              <w:t>3485 pg/ml</w:t>
            </w:r>
          </w:p>
        </w:tc>
        <w:tc>
          <w:tcPr>
            <w:tcW w:type="dxa" w:w="1234"/>
          </w:tcPr>
          <w:p>
            <w:r>
              <w:t>18.2</w:t>
            </w:r>
          </w:p>
        </w:tc>
        <w:tc>
          <w:tcPr>
            <w:tcW w:type="dxa" w:w="1234"/>
          </w:tcPr>
          <w:p>
            <w:r>
              <w:t>0.5%</w:t>
            </w:r>
          </w:p>
        </w:tc>
      </w:tr>
    </w:tbl>
    <w:p>
      <w:pPr>
        <w:pStyle w:val="Heading2"/>
      </w:pPr>
      <w:r>
        <w:rPr>
          <w:b/>
          <w:color w:val="0046B4"/>
        </w:rPr>
        <w:t>DISCLAIMER</w:t>
      </w:r>
    </w:p>
    <w:p>
      <w:pPr/>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Calibri" w:hAnsi="Calibri"/>
        <w:b/>
        <w:sz w:val="48"/>
      </w:rPr>
      <w:t>Innovative Research</w:t>
    </w:r>
    <w:r>
      <w:br/>
    </w:r>
    <w:r>
      <w:rPr>
        <w:rFonts w:ascii="Calibri" w:hAnsi="Calibri"/>
        <w:b w:val="0"/>
        <w:sz w:val="24"/>
      </w:rPr>
      <w:t>32700 Concord Dr, Madison Heights, MI 48071 | Tel: 248-896-0145 | Fax: 248-896-0149</w:t>
    </w:r>
    <w:r>
      <w:br/>
    </w:r>
    <w:r>
      <w:rPr>
        <w:rFonts w:ascii="Calibri" w:hAnsi="Calibri"/>
        <w:b w:val="0"/>
        <w:sz w:val="24"/>
      </w:rPr>
      <w:t>www.innov-research.com</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