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Kallikrein 1 ELISA Kit</w:t>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ListBullet"/>
        <w:ind w:left="360" w:firstLine="0"/>
        <w:jc w:val="left"/>
      </w:pPr>
      <w:r>
        <w:rPr>
          <w:sz w:val="22"/>
        </w:rPr>
        <w:t xml:space="preserve">• </w:t>
      </w:r>
      <w:r>
        <w:t>•</w:t>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