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&lt;h1 style="font-family:Calibri; font-size:16pt;"&gt;Mouse KLK1 ELISA Kit&lt;/h1&gt;</w:t>
        <w:br/>
        <w:br/>
        <w:t>&lt;p style="font-family:Calibri; font-size:11pt; line-height:1.15;"&gt;</w:t>
        <w:br/>
        <w:t xml:space="preserve">&lt;strong&gt;CATALOG NO:&lt;/strong&gt; IR1586 &amp;nbsp;&amp;nbsp;&amp;nbsp;&amp;nbsp;&amp;nbsp;&amp;nbsp;&amp;nbsp;&amp;nbsp;&amp;nbsp;&amp;nbsp;&amp;nbsp;&amp;nbsp;&amp;nbsp;&amp;nbsp;&amp;nbsp;&amp;nbsp;&amp;nbsp;&amp;nbsp;&amp;nbsp;&amp;nbsp;&amp;nbsp;&amp;nbsp;&amp;nbsp;&amp;nbsp;&lt;strong&gt;LOT NO:&lt;/strong&gt; LOT20250424</w:t>
        <w:br/>
        <w:t>&lt;/p&gt;</w:t>
        <w:br/>
        <w:br/>
        <w:t>&lt;h2 style="font-family:Calibri; font-size:12pt; color:#0070C0; line-height:1.15;"&gt;INTENDED USE&lt;/h2&gt;</w:t>
        <w:br/>
        <w:br/>
        <w:t xml:space="preserve">&lt;p style="font-family:Calibri; font-size:11pt; line-height:1.15;"&gt;The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standards.&lt;/p&gt;</w:t>
        <w:br/>
        <w:br/>
        <w:t xml:space="preserve">&lt;h2 style="font-family:Calibri; font-size:12pt; color:#0070C0; line-height:1.15;"&gt;Background on KLK1&lt;/h2&gt;</w:t>
        <w:br/>
        <w:br/>
        <w:t xml:space="preserve">&lt;p style="font-family:Calibri; font-size:11pt; line-height:1.15;"&gt;Repeat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possible.&lt;/p&gt;</w:t>
        <w:br/>
        <w:br/>
        <w:t>&lt;h2 style="font-family:Calibri; font-size:12pt; color:#0070C0; line-height:1.15;"&gt;PRINCIPLE OF THE ASSAY&lt;/h2&gt;</w:t>
        <w:br/>
        <w:br/>
        <w:t xml:space="preserve">&lt;p style="font-family:Calibri; font-size:11pt; line-height:1.15;"&gt;To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sample.&lt;/p&gt;</w:t>
        <w:br/>
        <w:br/>
        <w:t>&lt;h2 style="font-family:Calibri; font-size:12pt; color:#0070C0; line-height:1.15;"&gt;SPECIFICATION&lt;/h2&gt;</w:t>
        <w:br/>
        <w:br/>
        <w:t xml:space="preserve"/>
        <w:br/>
        <w:br/>
        <w:t>&lt;h2 style="font-family:Calibri; font-size:12pt; color:#0070C0; line-height:1.15;"&gt;REAGENTS&lt;/h2&gt;</w:t>
        <w:br/>
        <w:br/>
        <w:t xml:space="preserve"/>
        <w:br/>
        <w:t xml:space="preserve">&lt;table style="font-family:Calibri; font-size:11pt; border-collapse:collapse; width:100%; border:1px solid #000; line-height:1.15;"&gt;</w:t>
        <w:br/>
        <w:t xml:space="preserve">  &lt;tr&gt;</w:t>
        <w:br/>
        <w:t xml:space="preserve">    &lt;th style="border:1px solid #000; padding:5px; background-color:#f0f0f0;"&gt;&lt;strong&gt;Description&lt;/strong&gt;&lt;/th&gt;</w:t>
        <w:br/>
        <w:t xml:space="preserve">    &lt;th style="border:1px solid #000; padding:5px; background-color:#f0f0f0;"&gt;&lt;strong&gt;Quantity&lt;/strong&gt;&lt;/th&gt;</w:t>
        <w:br/>
        <w:t xml:space="preserve">  &lt;/tr&gt;</w:t>
        <w:br/>
        <w:t xml:space="preserve">  </w:t>
        <w:br/>
        <w:t xml:space="preserve">  &lt;tr&gt;</w:t>
        <w:br/>
        <w:t xml:space="preserve">    &lt;td style="border:1px solid #000; padding:5px;"&gt;Specificity&lt;/td&gt;</w:t>
        <w:br/>
        <w:t xml:space="preserve">    &lt;td style="border:1px solid #000; padding:5px;"&gt;Natural and recombinant Mouse Klk1&lt;/td&gt;</w:t>
        <w:br/>
        <w:t xml:space="preserve">  &lt;/tr&gt;</w:t>
        <w:br/>
        <w:t xml:space="preserve">  </w:t>
        <w:br/>
        <w:t xml:space="preserve">  &lt;tr&gt;</w:t>
        <w:br/>
        <w:t xml:space="preserve">    &lt;td style="border:1px solid #000; padding:5px;"&gt;Standard Protein&lt;/td&gt;</w:t>
        <w:br/>
        <w:t xml:space="preserve">    &lt;td style="border:1px solid #000; padding:5px;"&gt;Expression system for standard: NS0; Immunogen sequence: I25-D261&lt;/td&gt;</w:t>
        <w:br/>
        <w:t xml:space="preserve">  &lt;/tr&gt;</w:t>
        <w:br/>
        <w:t xml:space="preserve">  </w:t>
        <w:br/>
        <w:t xml:space="preserve">  &lt;tr&gt;</w:t>
        <w:br/>
        <w:t xml:space="preserve">    &lt;td style="border:1px solid #000; padding:5px;"&gt;Cross-reactivity&lt;/td&gt;</w:t>
        <w:br/>
        <w:t xml:space="preserve">    &lt;td style="border:1px solid #000; padding:5px;"&gt;This kit is for the detection of Mouse Klk1. No significant cross-reactivity or interference between Klk1 and its analogs was observed. This claim is limited by existing techniques; therefore, cross- reactivity may exist with untested analogs.&lt;/td&gt;</w:t>
        <w:br/>
        <w:t xml:space="preserve">  &lt;/tr&gt;</w:t>
        <w:br/>
        <w:t xml:space="preserve">  </w:t>
        <w:br/>
        <w:t>&lt;/table&gt;</w:t>
        <w:br/>
        <w:t xml:space="preserve"/>
        <w:br/>
        <w:br/>
        <w:t>&lt;h2 style="font-family:Calibri; font-size:12pt; color:#0070C0; line-height:1.15;"&gt;MATERIALS REQUIRED BUT NOT PROVIDED&lt;/h2&gt;</w:t>
        <w:br/>
        <w:br/>
        <w:t xml:space="preserve"/>
        <w:br/>
        <w:t xml:space="preserve">&lt;ul style="font-family:Calibri; font-size:11pt; line-height:1.15;"&gt;</w:t>
        <w:br/>
        <w:t xml:space="preserve">  </w:t>
        <w:br/>
        <w:t xml:space="preserve">  &lt;li&gt;Microplate reader capable of reading absorbance at 450 nm. Incubator.&lt;/li&gt;</w:t>
        <w:br/>
        <w:t xml:space="preserve">  </w:t>
        <w:br/>
        <w:t xml:space="preserve">  &lt;li&gt;&lt;/li&gt;</w:t>
        <w:br/>
        <w:t xml:space="preserve">  </w:t>
        <w:br/>
        <w:t xml:space="preserve">  &lt;li&gt;Automated plate washer (optional)&lt;/li&gt;</w:t>
        <w:br/>
        <w:t xml:space="preserve">  </w:t>
        <w:br/>
        <w:t xml:space="preserve">  &lt;li&gt;&lt;/li&gt;</w:t>
        <w:br/>
        <w:t xml:space="preserve">  </w:t>
        <w:br/>
        <w:t xml:space="preserve">  &lt;li&gt;Pipettes and pipette tips capable of precisely dispensing 0.5 µl through 1 ml volumes of aqueous solutions. Multichannel pipettes are recommended for a large numbers of samples.&lt;/li&gt;</w:t>
        <w:br/>
        <w:t xml:space="preserve">  </w:t>
        <w:br/>
        <w:t xml:space="preserve">  &lt;li&gt;&lt;/li&gt;</w:t>
        <w:br/>
        <w:t xml:space="preserve">  </w:t>
        <w:br/>
        <w:t xml:space="preserve">  &lt;li&gt;Deionized or distilled water. 500 ml graduated cylinders. Test tubes for dilution.&lt;/li&gt;</w:t>
        <w:br/>
        <w:t xml:space="preserve">  </w:t>
        <w:br/>
        <w:t xml:space="preserve">  &lt;li&gt;&lt;/li&gt;</w:t>
        <w:br/>
        <w:t xml:space="preserve">  </w:t>
        <w:br/>
        <w:t xml:space="preserve">  &lt;li&gt;Mouse Klk1 ELISA Standard Curve Example&lt;/li&gt;</w:t>
        <w:br/>
        <w:t xml:space="preserve">  </w:t>
        <w:br/>
        <w:t xml:space="preserve">  &lt;li&gt;&lt;/li&gt;</w:t>
        <w:br/>
        <w:t xml:space="preserve">  </w:t>
        <w:br/>
        <w:t xml:space="preserve">  &lt;li&gt;The highest O.D. value might be higher or lower than in the example. The experiment result is statistically significant if the highest O.D. value is no less than 1.0.&lt;/li&gt;</w:t>
        <w:br/>
        <w:t xml:space="preserve">  </w:t>
        <w:br/>
        <w:t xml:space="preserve">  &lt;li&gt;&lt;/li&gt;</w:t>
        <w:br/>
        <w:t xml:space="preserve">  </w:t>
        <w:br/>
        <w:t xml:space="preserve">  &lt;li&gt;Mouse KLK1  ELISA Kit standard curve</w:t>
      </w:r>
      <w:r>
        <w:tab/>
      </w:r>
      <w:r>
        <w:t xml:space="preserve">A standard curve is provided for demonstration only. A standard curve&lt;/li&gt;</w:t>
        <w:br/>
        <w:t xml:space="preserve">  </w:t>
        <w:br/>
        <w:t xml:space="preserve">  &lt;li&gt;&lt;/li&gt;</w:t>
        <w:br/>
        <w:t xml:space="preserve">  </w:t>
        <w:br/>
        <w:t xml:space="preserve">  &lt;li&gt;should be generated for each set of samples assayed.&lt;/li&gt;</w:t>
        <w:br/>
        <w:t xml:space="preserve">  </w:t>
        <w:br/>
        <w:t xml:space="preserve">  &lt;li&gt;&lt;/li&gt;</w:t>
        <w:br/>
        <w:t xml:space="preserve">  </w:t>
        <w:br/>
        <w:t xml:space="preserve">  &lt;li&gt;Intra/Inter-Assay Variability&lt;/li&gt;</w:t>
        <w:br/>
        <w:t xml:space="preserve">  </w:t>
        <w:br/>
        <w:t xml:space="preserve">  &lt;li&gt;&lt;/li&gt;</w:t>
        <w:br/>
        <w:t xml:space="preserve">  </w:t>
        <w:br/>
        <w:t xml:space="preserve">  &lt;li&gt;Innovative Research spends great efforts in documenting lot-to-lot variability and ensuring our assay kits produce robust data that are reproducible.&lt;/li&gt;</w:t>
        <w:br/>
        <w:t xml:space="preserve">  </w:t>
        <w:br/>
        <w:t xml:space="preserve">  &lt;li&gt;&lt;/li&gt;</w:t>
        <w:br/>
        <w:t xml:space="preserve">  </w:t>
        <w:br/>
        <w:t xml:space="preserve">  &lt;li&gt;Intra-Assay Precision (Precision within an assay): Three samples of known concentration were tested on one plate to assess intra-assay precision.&lt;/li&gt;</w:t>
        <w:br/>
        <w:t xml:space="preserve">  </w:t>
        <w:br/>
        <w:t xml:space="preserve">  &lt;li&gt;&lt;/li&gt;</w:t>
        <w:br/>
        <w:t xml:space="preserve">  </w:t>
        <w:br/>
        <w:t xml:space="preserve">  &lt;li&gt;Inter-Assay Precision (Precision across assays): Three samples of known concentration were tested in separate assays to assess inter-assay precision.&lt;/li&gt;</w:t>
        <w:br/>
        <w:t xml:space="preserve">  </w:t>
        <w:br/>
        <w:t xml:space="preserve">  &lt;li&gt;&lt;/li&gt;</w:t>
        <w:br/>
        <w:t xml:space="preserve">  </w:t>
        <w:br/>
        <w:t xml:space="preserve">  &lt;li&gt;Reproducibility&lt;/li&gt;</w:t>
        <w:br/>
        <w:t xml:space="preserve">  </w:t>
        <w:br/>
        <w:t xml:space="preserve">  &lt;li&gt;&lt;/li&gt;</w:t>
        <w:br/>
        <w:t xml:space="preserve">  </w:t>
        <w:br/>
        <w:t xml:space="preserve">  &lt;li&gt;We ensure reproducibility by testing three samples with differing concentrations of Klk1 in ELISA kits from four different production batches/lots.&lt;/li&gt;</w:t>
        <w:br/>
        <w:t xml:space="preserve">  </w:t>
        <w:br/>
        <w:t xml:space="preserve">  &lt;li&gt;&lt;/li&gt;</w:t>
        <w:br/>
        <w:t xml:space="preserve">  </w:t>
        <w:br/>
        <w:t xml:space="preserve">  &lt;li&gt;*number of samples for each test n=16.&lt;/li&gt;</w:t>
        <w:br/>
        <w:t xml:space="preserve">  </w:t>
        <w:br/>
        <w:t xml:space="preserve">  &lt;li&gt;&lt;/li&gt;</w:t>
        <w:br/>
        <w:t xml:space="preserve">  </w:t>
        <w:br/>
        <w:t xml:space="preserve">  &lt;li&gt;Preparation Before The Experiment&lt;/li&gt;</w:t>
        <w:br/>
        <w:t xml:space="preserve">  </w:t>
        <w:br/>
        <w:t xml:space="preserve">  &lt;li&gt;&lt;/li&gt;</w:t>
        <w:br/>
        <w:t xml:space="preserve">  </w:t>
        <w:br/>
        <w:t xml:space="preserve">  &lt;li&gt;Dilution of Mouse Klk1 Standard&lt;/li&gt;</w:t>
        <w:br/>
        <w:t xml:space="preserve">  </w:t>
        <w:br/>
        <w:t xml:space="preserve">  &lt;li&gt;&lt;/li&gt;</w:t>
        <w:br/>
        <w:t xml:space="preserve">  </w:t>
        <w:br/>
        <w:t xml:space="preserve">  &lt;li&gt;Number tubes 1-8. Final Concentrations to be Tube # 1: 4,000.00 pg/ml, # 2: 2,000.00 pg/ml, # 3: 1,000.00&lt;/li&gt;</w:t>
        <w:br/>
        <w:t xml:space="preserve">  </w:t>
        <w:br/>
        <w:t xml:space="preserve">  &lt;li&gt;&lt;/li&gt;</w:t>
        <w:br/>
        <w:t xml:space="preserve">  </w:t>
        <w:br/>
        <w:t xml:space="preserve">  &lt;li&gt;pg/ml, # 4: 500.00 pg/ml,&lt;/li&gt;</w:t>
        <w:br/>
        <w:t xml:space="preserve">  </w:t>
        <w:br/>
        <w:t xml:space="preserve">  &lt;li&gt;&lt;/li&gt;</w:t>
        <w:br/>
        <w:t xml:space="preserve">  </w:t>
        <w:br/>
        <w:t xml:space="preserve">  &lt;li&gt;# 5: 250.00 pg/ml, # 6: 125.00 pg/ml, # 7: 62.50 pg/ml, # 8: Sample Diluent serves as the zero standard (0 pg/ml).&lt;/li&gt;</w:t>
        <w:br/>
        <w:t xml:space="preserve">  </w:t>
        <w:br/>
        <w:t xml:space="preserve">  &lt;li&gt;&lt;/li&gt;</w:t>
        <w:br/>
        <w:t xml:space="preserve">  </w:t>
        <w:br/>
        <w:t xml:space="preserve">  &lt;li&gt;To generate standard #1, add 400 µl of the reconstituted standard stock solution of 10 ng/ml and 600 µl of sample diluent to tube #1 for a&lt;/li&gt;</w:t>
        <w:br/>
        <w:t xml:space="preserve">  </w:t>
        <w:br/>
        <w:t xml:space="preserve">  &lt;li&gt;&lt;/li&gt;</w:t>
        <w:br/>
        <w:t xml:space="preserve">  </w:t>
        <w:br/>
        <w:t xml:space="preserve">  &lt;li&gt;final volume of 1000 µl. Mix thoroughly.&lt;/li&gt;</w:t>
        <w:br/>
        <w:t xml:space="preserve">  </w:t>
        <w:br/>
        <w:t xml:space="preserve">  &lt;li&gt;&lt;/li&gt;</w:t>
        <w:br/>
        <w:t xml:space="preserve">  </w:t>
        <w:br/>
        <w:t xml:space="preserve">  &lt;li&gt;Add 300 µl of sample diluent to tubes # 2-7.&lt;/li&gt;</w:t>
        <w:br/>
        <w:t xml:space="preserve">  </w:t>
        <w:br/>
        <w:t xml:space="preserve">  &lt;li&gt;&lt;/li&gt;</w:t>
        <w:br/>
        <w:t xml:space="preserve">  </w:t>
        <w:br/>
        <w:t xml:space="preserve">  &lt;li&gt;To generate standard # 2, add 300 µl of standard # 1 from tube # 1 to tube # 2 for a final volume of 600 µl. Mix thoroughly.&lt;/li&gt;</w:t>
        <w:br/>
        <w:t xml:space="preserve">  </w:t>
        <w:br/>
        <w:t xml:space="preserve">  &lt;li&gt;&lt;/li&gt;</w:t>
        <w:br/>
        <w:t xml:space="preserve">  </w:t>
        <w:br/>
        <w:t xml:space="preserve">  &lt;li&gt;To generate standard # 3, add 300 µl of standard # 2 from tube # 2 to tube # 3 for a final volume of 600 µl. Mix&lt;/li&gt;</w:t>
        <w:br/>
        <w:t xml:space="preserve">  </w:t>
        <w:br/>
        <w:t xml:space="preserve">  &lt;li&gt;&lt;/li&gt;</w:t>
        <w:br/>
        <w:t xml:space="preserve">  </w:t>
        <w:br/>
        <w:t xml:space="preserve">  &lt;li&gt;thoroughly.&lt;/li&gt;</w:t>
        <w:br/>
        <w:t xml:space="preserve">  </w:t>
        <w:br/>
        <w:t xml:space="preserve">  &lt;li&gt;&lt;/li&gt;</w:t>
        <w:br/>
        <w:t xml:space="preserve">  </w:t>
        <w:br/>
        <w:t xml:space="preserve">  &lt;li&gt;Continue the serial dilution for tube # 4-7.&lt;/li&gt;</w:t>
        <w:br/>
        <w:t xml:space="preserve">  </w:t>
        <w:br/>
        <w:t>&lt;/ul&gt;</w:t>
        <w:br/>
        <w:t xml:space="preserve"/>
        <w:br/>
        <w:br/>
        <w:t xml:space="preserve">&lt;h2 style="font-family:Calibri; font-size:12pt; color:#0070C0; line-height:1.15;"&gt;Mouse KLK1 ELISA Standard Curve Example&lt;/h2&gt;</w:t>
        <w:br/>
        <w:br/>
        <w:t xml:space="preserve"/>
        <w:br/>
        <w:t xml:space="preserve">&lt;table style="font-family:Calibri; font-size:11pt; border-collapse:collapse; width:50%; border:1px solid #000; line-height:1.15;"&gt;</w:t>
        <w:br/>
        <w:t xml:space="preserve">  &lt;tr&gt;</w:t>
        <w:br/>
        <w:t xml:space="preserve">    &lt;th style="border:1px solid #000; padding:5px; background-color:#f0f0f0;"&gt;&lt;strong&gt;Concentration(pg/ml)&lt;/strong&gt;&lt;/th&gt;</w:t>
        <w:br/>
        <w:t xml:space="preserve">    &lt;th style="border:1px solid #000; padding:5px; background-color:#f0f0f0;"&gt;&lt;strong&gt;O.D.&lt;/strong&gt;&lt;/th&gt;</w:t>
        <w:br/>
        <w:t xml:space="preserve">  &lt;/tr&gt;</w:t>
        <w:br/>
        <w:t xml:space="preserve">  </w:t>
        <w:br/>
        <w:t xml:space="preserve">  &lt;tr&gt;</w:t>
        <w:br/>
        <w:t xml:space="preserve">    &lt;td style="border:1px solid #000; padding:5px;"&gt;0.0&lt;/td&gt;</w:t>
        <w:br/>
        <w:t xml:space="preserve">    &lt;td style="border:1px solid #000; padding:5px;"&gt;0.061&lt;/td&gt;</w:t>
        <w:br/>
        <w:t xml:space="preserve">  &lt;/tr&gt;</w:t>
        <w:br/>
        <w:t xml:space="preserve">  </w:t>
        <w:br/>
        <w:t>&lt;/table&gt;</w:t>
        <w:br/>
        <w:t xml:space="preserve"/>
        <w:br/>
        <w:br/>
        <w:t>&lt;p style="font-family:Calibri; font-size:11pt; line-height:1.15;"&gt;&lt;strong&gt;Typical Standard Curve&lt;/strong&gt;&lt;/p&gt;</w:t>
        <w:br/>
        <w:t>&lt;p style="font-family:Calibri; font-size:11pt; line-height:1.15;"&gt;This standard curve was generated for demonstration purpose only. A standard curve must be run with each assay.&lt;/p&gt;</w:t>
        <w:br/>
        <w:br/>
        <w:t>&lt;h2 style="font-family:Calibri; font-size:12pt; color:#0070C0; line-height:1.15;"&gt;INTRA/INTER ASSAY VARIABILITY&lt;/h2&gt;</w:t>
        <w:br/>
        <w:br/>
        <w:t>&lt;p style="font-family:Calibri; font-size:11pt; line-height:1.15;"&gt;Intra-Assay Precision (Precision within an assay): Three samples of known concentration were tested on one plate to assess intra-assay precision.&lt;/p&gt;</w:t>
        <w:br/>
        <w:t>&lt;p style="font-family:Calibri; font-size:11pt; line-height:1.15;"&gt;Inter-Assay Precision (Precision across assays): Three samples of known concentration were tested in separate assays to assess inter-assay precision.&lt;/p&gt;</w:t>
        <w:br/>
        <w:br/>
        <w:t xml:space="preserve"/>
        <w:br/>
        <w:br/>
        <w:t>&lt;h2 style="font-family:Calibri; font-size:12pt; color:#0070C0; line-height:1.15;"&gt;REPRODUCIBILITY&lt;/h2&gt;</w:t>
        <w:br/>
        <w:br/>
        <w:t xml:space="preserve"/>
        <w:br/>
        <w:t xml:space="preserve">&lt;table style="font-family:Calibri; font-size:11pt; border-collapse:collapse; width:100%; border:1px solid #000; line-height:1.15;"&gt;</w:t>
        <w:br/>
        <w:t xml:space="preserve">  &lt;tr&gt;</w:t>
        <w:br/>
        <w:t xml:space="preserve">    &lt;th style="border:1px solid #000; padding:5px; background-color:#f0f0f0;"&gt;&lt;strong&gt;Sample&lt;/strong&gt;&lt;/th&gt;</w:t>
        <w:br/>
        <w:t xml:space="preserve">    &lt;th style="border:1px solid #000; padding:5px; background-color:#f0f0f0;"&gt;&lt;strong&gt;Value&lt;/strong&gt;&lt;/th&gt;</w:t>
        <w:br/>
        <w:t xml:space="preserve">    &lt;th style="border:1px solid #000; padding:5px; background-color:#f0f0f0;"&gt;&lt;strong&gt;Added&lt;/strong&gt;&lt;/th&gt;</w:t>
        <w:br/>
        <w:t xml:space="preserve">    &lt;th style="border:1px solid #000; padding:5px; background-color:#f0f0f0;"&gt;&lt;strong&gt;Expected&lt;/strong&gt;&lt;/th&gt;</w:t>
        <w:br/>
        <w:t xml:space="preserve">    &lt;th style="border:1px solid #000; padding:5px; background-color:#f0f0f0;"&gt;&lt;strong&gt;Recovery%&lt;/strong&gt;&lt;/th&gt;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&lt;/table&gt;</w:t>
        <w:br/>
        <w:t xml:space="preserve"/>
        <w:br/>
        <w:br/>
        <w:t>&lt;h2 style="font-family:Calibri; font-size:12pt; color:#0070C0; line-height:1.15;"&gt;PROCEDURAL NOTES&lt;/h2&gt;</w:t>
        <w:br/>
        <w:br/>
        <w:t xml:space="preserve"/>
        <w:br/>
        <w:br/>
        <w:t>&lt;h2 style="font-family:Calibri; font-size:12pt; color:#0070C0; line-height:1.15;"&gt;REAGENT PREPARATION AND STORAGE&lt;/h2&gt;</w:t>
        <w:br/>
        <w:br/>
        <w:t xml:space="preserve"/>
        <w:br/>
        <w:t xml:space="preserve">&lt;p style="font-family:Calibri; font-size:11pt; line-height:1.15;"&gt;</w:t>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&lt;/p&gt;</w:t>
        <w:br/>
        <w:t xml:space="preserve"/>
        <w:br/>
        <w:br/>
        <w:t>&lt;h2 style="font-family:Calibri; font-size:12pt; color:#0070C0; line-height:1.15;"&gt;DILUTION OF STANDARD&lt;/h2&gt;</w:t>
        <w:br/>
        <w:br/>
        <w:t xml:space="preserve"/>
        <w:br/>
        <w:br/>
        <w:t>&lt;h2 style="font-family:Calibri; font-size:12pt; color:#0070C0; line-height:1.15;"&gt;SAMPLE PREPARATION AND STORAGE&lt;/h2&gt;</w:t>
        <w:br/>
        <w:br/>
        <w:t xml:space="preserve"/>
        <w:br/>
        <w:br/>
        <w:t>&lt;h2 style="font-family:Calibri; font-size:12pt; color:#0070C0; line-height:1.15;"&gt;SAMPLE COLLECTION NOTES&lt;/h2&gt;</w:t>
        <w:br/>
        <w:br/>
        <w:t xml:space="preserve"/>
        <w:br/>
        <w:t xml:space="preserve">&lt;p style="font-family:Calibri; font-size:11pt; line-height:1.15;"&gt;Innovative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heating.&lt;/p&gt;</w:t>
        <w:br/>
        <w:t xml:space="preserve"/>
        <w:br/>
        <w:br/>
        <w:t>&lt;h2 style="font-family:Calibri; font-size:12pt; color:#0070C0; line-height:1.15;"&gt;SAMPLE DILUTION GUIDELINE&lt;/h2&gt;</w:t>
        <w:br/>
        <w:br/>
        <w:t xml:space="preserve"/>
        <w:br/>
        <w:t xml:space="preserve">&lt;p style="font-family:Calibri; font-size:11pt; line-height:1.15;"&gt;To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Diluent.&lt;/p&gt;</w:t>
        <w:br/>
        <w:t xml:space="preserve"/>
        <w:br/>
        <w:br/>
        <w:t>&lt;h2 style="font-family:Calibri; font-size:12pt; color:#0070C0; line-height:1.15;"&gt;ASSAY PROTOCOL&lt;/h2&gt;</w:t>
        <w:br/>
        <w:br/>
        <w:t xml:space="preserve"/>
        <w:br/>
        <w:t xml:space="preserve">&lt;ol style="font-family:Calibri; font-size:11pt; line-height:1.15;"&gt;</w:t>
        <w:br/>
        <w:t xml:space="preserve">  </w:t>
        <w:br/>
        <w:t xml:space="preserve">  &lt;li&gt;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minutes.&lt;/li&gt;</w:t>
        <w:br/>
        <w:t xml:space="preserve">  </w:t>
        <w:br/>
        <w:t>&lt;/ol&gt;</w:t>
        <w:br/>
        <w:t xml:space="preserve"/>
        <w:br/>
        <w:br/>
        <w:t>&lt;h2 style="font-family:Calibri; font-size:12pt; color:#0070C0; line-height:1.15;"&gt;DATA ANALYSIS&lt;/h2&gt;</w:t>
        <w:br/>
        <w:br/>
        <w:t xml:space="preserve"/>
        <w:br/>
        <w:t xml:space="preserve">&lt;p style="font-family:Calibri; font-size:11pt; line-height:1.15;"&gt;Subtract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®&lt;/p&gt;</w:t>
        <w:br/>
        <w:t xml:space="preserve"/>
        <w:br/>
        <w:br/>
        <w:t>&lt;div style="position:fixed; bottom:0; left:0; width:100%; text-align:center; font-family:Calibri; font-size:9pt; color:#666666; line-height:1.15;"&gt;</w:t>
        <w:br/>
        <w:t xml:space="preserve">  &lt;p&gt;© 2025 Innovative Research, Inc. | www.innov-research.com | 800-538-4400&lt;/p&gt;</w:t>
        <w:br/>
        <w:t>&lt;/div&gt;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