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Mouse KLK1/Kallikrein 1 ELISA Kit </w:t>
        <w:br/>
        <w:br/>
        <w:t xml:space="preserve">CATALOG NO: EK1586</w:t>
        <w:tab/>
        <w:tab/>
        <w:tab/>
        <w:tab/>
        <w:tab/>
        <w:t xml:space="preserve"> </w:t>
        <w:tab/>
        <w:tab/>
        <w:t xml:space="preserve">LOT NO:  SAMPLE</w:t>
        <w:br/>
        <w:br/>
        <w:t>INTENDED USE</w:t>
        <w:br/>
        <w:br/>
        <w:t xml:space="preserve">For the quantitation of Mouse Klk1 concentrations in cell culture supernatants, cell lysates, serum and plasma (heparin, EDTA).</w:t>
        <w:br/>
        <w:br/>
        <w:t>Background</w:t>
        <w:br/>
        <w:b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br/>
        <w:br/>
        <w:t>Principle of the assay</w:t>
        <w:br/>
        <w:br/>
        <w:t xml:space="preserve">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Boster's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br/>
        <w:t>specification</w:t>
        <w:br/>
        <w:br/>
        <w:t>Sensitivity</w:t>
        <w:br/>
        <w:t xml:space="preserve">12 pg/ml</w:t>
        <w:br/>
        <w:br/>
        <w:t>Detection Range</w:t>
        <w:br/>
        <w:t xml:space="preserve">62.5 pg/ml - 4,000 pg/ml</w:t>
        <w:br/>
        <w:br/>
        <w:t>Specificity</w:t>
        <w:br/>
        <w:t xml:space="preserve">Natural and recombinant Mouse Klk1</w:t>
        <w:br/>
        <w:br/>
        <w:t>Standard</w:t>
        <w:br/>
        <w:t xml:space="preserve">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br/>
        <w:br/>
        <w:t>Cross-reactivity</w:t>
        <w:br/>
        <w:t xml:space="preserve">This kit is for the detection of Mouse Klk1. No significant cross-reactivity or interference between Klk1 and its analogs was observed. This claim is limited by existing techniques; therefore, cross- reactivity may exist with untested analogs.</w:t>
        <w:br/>
        <w:br/>
        <w:t>Reagents</w:t>
        <w:br/>
        <w:br/>
        <w:t>Description</w:t>
        <w:br/>
        <w:t>Quantity</w:t>
        <w:br/>
        <w:br/>
        <w:t xml:space="preserve">Specificity</w:t>
        <w:br/>
        <w:t xml:space="preserve">Natural and recombinant Mouse Klk1</w:t>
        <w:br/>
        <w:t xml:space="preserve">Standard Protein</w:t>
        <w:br/>
        <w:t xml:space="preserve">Expression system for standard: NS0; Immunogen sequence: I25-D261</w:t>
        <w:br/>
        <w:t xml:space="preserve">Cross-reactivity</w:t>
        <w:br/>
        <w:t xml:space="preserve">This kit is for the detection of Mouse Klk1. No significant cross-reactivity or interference between Klk1 and its analogs was observed. This claim is limited by existing techniques; therefore, cross- reactivity may exist with untested analogs.</w:t>
        <w:br/>
        <w:t xml:space="preserve"/>
        <w:br/>
        <w:br/>
        <w:t>Materials Required But Not Provided</w:t>
        <w:br/>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br/>
        <w:t xml:space="preserve">Typical Data </w:t>
        <w:br/>
        <w:br/>
        <w:t>Concentration(pg/ml)</w:t>
        <w:br/>
        <w:t xml:space="preserve">0.028</w:t>
        <w:br/>
        <w:br/>
        <w:t>O.D</w:t>
        <w:br/>
        <w:t xml:space="preserve">0.061</w:t>
        <w:br/>
        <w:br/>
        <w:t>Typical Standard Curve</w:t>
        <w:br/>
        <w:t>This standard curve was generated for demonstration purpose only. A standard curve must be run with each assay.</w:t>
        <w:br/>
        <w:br/>
        <w:t>INTRA/INTER ASSAY VARIABILITY</w:t>
        <w:br/>
        <w:br/>
        <w:t xml:space="preserve">Three samples of known concentration were tested on one plate to assess intra-assay precision.</w:t>
        <w:br/>
        <w:br/>
        <w:t xml:space="preserve">Three samples of known concentration were tested in separate assays to assess inter-assay precision.</w:t>
        <w:br/>
        <w:br/>
        <w:t>Intra-Assay Precision</w:t>
        <w:br/>
        <w:t xml:space="preserve">Inter-Assay Precision </w:t>
        <w:br/>
        <w:br/>
        <w:t>Sample</w:t>
        <w:br/>
        <w:t xml:space="preserve">Sample n Mean (pg/ml)</w:t>
        <w:br/>
        <w:t xml:space="preserve"/>
        <w:br/>
        <w:br/>
        <w:t>n</w:t>
        <w:br/>
        <w:t xml:space="preserve">1 16 150</w:t>
        <w:br/>
        <w:t xml:space="preserve"/>
        <w:br/>
        <w:br/>
        <w:t>Mean(pg/ml)</w:t>
        <w:br/>
        <w:t xml:space="preserve">2 16 602</w:t>
        <w:br/>
        <w:t xml:space="preserve"/>
        <w:br/>
        <w:br/>
        <w:t>Standard deviation</w:t>
        <w:br/>
        <w:t xml:space="preserve">3 16 1476</w:t>
        <w:br/>
        <w:t xml:space="preserve"/>
        <w:br/>
        <w:br/>
        <w:t>CV(%)</w:t>
        <w:br/>
        <w:t xml:space="preserve">1 24 154</w:t>
        <w:br/>
        <w:t xml:space="preserve"/>
        <w:br/>
        <w:br/>
        <w:t>Reproducibility</w:t>
        <w:br/>
        <w:br/>
        <w:t>Lots</w:t>
        <w:br/>
        <w:t>Lot1 (pg/ml)</w:t>
        <w:br/>
        <w:t>Lot2 (pg/ml)</w:t>
        <w:br/>
        <w:t>Lot3 (pg/ml)</w:t>
        <w:br/>
        <w:t>Lot4 (pg/ml)</w:t>
        <w:br/>
        <w:t>Mean (pg/ml)</w:t>
        <w:br/>
        <w:t>Standard Deviation</w:t>
        <w:br/>
        <w:t>CV (%)</w:t>
        <w:br/>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Sample </w:t>
        <w:br/>
        <w:t xml:space="preserve"/>
        <w:br/>
        <w:t xml:space="preserve"/>
        <w:br/>
        <w:t xml:space="preserve"/>
        <w:br/>
        <w:t xml:space="preserve"/>
        <w:br/>
        <w:t xml:space="preserve"/>
        <w:br/>
        <w:t xml:space="preserve"/>
        <w:br/>
        <w:t xml:space="preserve"/>
        <w:br/>
        <w:t xml:space="preserve"/>
        <w:br/>
        <w:br/>
        <w:t>Procedural Notes</w:t>
        <w:br/>
        <w:br/>
        <w:t xml:space="preserve"/>
        <w:br/>
        <w:br/>
        <w:t>Reagent Preparation and Storage</w:t>
        <w:br/>
        <w:b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br/>
        <w:br/>
        <w:t>Dilution of standard</w:t>
        <w:br/>
        <w:b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br/>
        <w:br/>
        <w:t>Sample Preparation and Storage</w:t>
        <w:br/>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br/>
        <w:t>SAMPLE Collection Notes</w:t>
        <w:br/>
        <w:b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br/>
        <w:t>Sample Dilution Guideline</w:t>
        <w:br/>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PicoKine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Boster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Boster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Boster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br/>
        <w:br/>
        <w:t>Assay Procedure</w:t>
        <w:br/>
        <w:br/>
        <w:t xml:space="preserve"/>
        <w:b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br/>
        <w:br/>
        <w:t>Data Analysis</w:t>
        <w:br/>
        <w:br/>
        <w:t xml:space="preserve">Boster Bio offers an easy-to-use online ELISA data analysis tool. Try it out at https://www.bosterbio.com/biology-research-tools/elisa-data-analysis- online</w:t>
        <w:br/>
        <w:t xml:space="preserve"/>
        <w:br/>
        <w:t xml:space="preserve">To analyze using manual methods, follow the process below:</w:t>
        <w:br/>
        <w:t xml:space="preserve"/>
        <w:br/>
        <w:t xml:space="preserve">Average the duplicate readings for each standard, sample, and control. Subtract the average zero standard O.D. reading.</w:t>
        <w:br/>
        <w:t xml:space="preserve"/>
        <w:br/>
        <w:t xml:space="preserve">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br/>
        <w:t xml:space="preserve"/>
        <w:br/>
        <w:t xml:space="preserve">For diluted samples, the concentration reading from the standard curve must be multiplied by the dilution factor.</w:t>
        <w:br/>
        <w:t xml:space="preserve"/>
        <w:br/>
        <w:t xml:space="preserve">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br/>
        <w:t xml:space="preserve"/>
        <w:br/>
        <w:t xml:space="preserve">1 Publications Citing This Product</w:t>
        <w:br/>
        <w:t xml:space="preserve"/>
        <w:br/>
        <w:t xml:space="preserve">PubMed ID: 10.1186/s12014-021-09335-9, Proteomics and functional study reveal kallikrein-6 enhances communicating hydrocephalus Visit bosterbio.com/mouse-klk1-picokine-trade-elisa-kit-ek1586-boster.html to see all 1 publications.</w:t>
        <w:br/>
        <w:t xml:space="preserve"/>
        <w:br/>
        <w:t xml:space="preserve">Submit a Product Review to Biocompare.com</w:t>
        <w:br/>
        <w:t xml:space="preserve"/>
        <w:br/>
        <w:t xml:space="preserve">Submit a review of this product to Biocompare.com to receive a $20 Amazon.com gift card! Your reviews help your fellow scientists make the right decisions. Thank you for your contribution.</w:t>
        <w:br/>
        <w:t xml:space="preserve"/>
        <w:br/>
        <w:t xml:space="preserve">Mouse KLK1/Kallikrein 1 ELISA Kit ®</w:t>
        <w:br/>
        <w:br/>
        <w:t>Disclaimer</w:t>
        <w:br/>
        <w:b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br/>
        <w:br/>
        <w:t>Innovative Research, Inc. · www.innov-research.com · Ph: 248.896.0145 | Fx: 248.896.0149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