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rPr>
        <w:t xml:space="preserve">Mouse KLK1/Kallikrein 1 ELISA Kit</w:t>
      </w:r>
    </w:p>
    <w:p>
      <w:pPr>
        <w:pStyle w:val="Normal"/>
      </w:pPr>
      <w:r>
        <w:rPr/>
        <w:t xml:space="preserve">Catalog Number: IMSKLK1KT</w:t>
        <w:br/>
        <w:t xml:space="preserve">Lot Number: 20250424</w:t>
      </w:r>
    </w:p>
    <w:p>
      <w:pPr>
        <w:pStyle w:val="Heading2"/>
      </w:pPr>
      <w:r>
        <w:rPr>
          <w:b/>
          <w:color w:val="0046B4"/>
        </w:rPr>
        <w:t>INTENDED USE</w:t>
      </w:r>
    </w:p>
    <w:p>
      <w:pPr>
        <w:pStyle w:val="Normal"/>
      </w:pPr>
      <w:r>
        <w:rPr/>
        <w:t xml:space="preserve">For the quantitation of Mouse Klk1 concentrations in cell culture supernatants, cell lysates, serum and plasma (heparin, EDTA).</w:t>
      </w:r>
    </w:p>
    <w:p>
      <w:pPr>
        <w:pStyle w:val="Heading2"/>
      </w:pPr>
      <w:r>
        <w:rPr>
          <w:b/>
          <w:color w:val="0046B4"/>
        </w:rPr>
        <w:t>TECHNICAL DETAILS</w:t>
      </w:r>
    </w:p>
    <w:p>
      <w:pPr>
        <w:pStyle w:val="Heading2"/>
      </w:pPr>
      <w:r>
        <w:rPr>
          <w:b/>
          <w:color w:val="0046B4"/>
        </w:rPr>
        <w:t>OVERVIEW</w:t>
      </w:r>
    </w:p>
    <w:p>
      <w:pPr>
        <w:pStyle w:val="Heading2"/>
      </w:pPr>
      <w:r>
        <w:rPr>
          <w:b/>
          <w:color w:val="0046B4"/>
        </w:rPr>
        <w:t>BACKGROUND</w:t>
      </w:r>
    </w:p>
    <w:p>
      <w:pPr>
        <w:pStyle w:val="Normal"/>
      </w:pPr>
      <w:r>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rPr>
          <w:b/>
          <w:color w:val="0046B4"/>
        </w:rPr>
        <w:t>ASSAY PRINCIPLE</w:t>
      </w:r>
    </w:p>
    <w:p>
      <w:pPr>
        <w:pStyle w:val="Normal"/>
      </w:pPr>
      <w:r>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b/>
          <w:color w:val="0046B4"/>
        </w:rPr>
        <w:t>KIT COMPONENTS</w:t>
      </w:r>
    </w:p>
    <w:p>
      <w:pPr>
        <w:pStyle w:val="Heading2"/>
      </w:pPr>
      <w:r>
        <w:rPr>
          <w:b/>
          <w:color w:val="0046B4"/>
        </w:rPr>
        <w:t>MATERIALS REQUIRED BUT NOT PROVIDED</w:t>
      </w:r>
    </w:p>
    <w:p>
      <w:pPr>
        <w:pStyle w:val="Normal"/>
      </w:pPr>
      <w:r>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pPr>
      <w:r>
        <w:rPr>
          <w:b/>
          <w:color w:val="0046B4"/>
        </w:rPr>
        <w:t>REAGENT PREPARATION</w:t>
      </w:r>
    </w:p>
    <w:p>
      <w:pPr>
        <w:pStyle w:val="Normal"/>
      </w:pPr>
      <w:r>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rPr>
          <w:b/>
          <w:color w:val="0046B4"/>
        </w:rPr>
        <w:t>DILUTION OF STANDARD</w:t>
      </w:r>
    </w:p>
    <w:p>
      <w:pPr>
        <w:pStyle w:val="Normal"/>
      </w:pPr>
      <w:r>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rPr>
          <w:b/>
          <w:color w:val="0046B4"/>
        </w:rPr>
        <w:t>PREPARATIONS BEFORE ASSAY</w:t>
      </w:r>
    </w:p>
    <w:p>
      <w:pPr>
        <w:pStyle w:val="Normal"/>
      </w:pPr>
      <w:r>
        <w:rPr/>
        <w:t>1. Prepare all reagents, samples, and standards according to the instructions.</w:t>
      </w:r>
    </w:p>
    <w:p>
      <w:pPr>
        <w:pStyle w:val="Normal"/>
      </w:pPr>
      <w:r>
        <w:rPr/>
        <w:t>2. Confirm that you have the appropriate non-supplied equipment available.</w:t>
      </w:r>
    </w:p>
    <w:p>
      <w:pPr>
        <w:pStyle w:val="Normal"/>
      </w:pPr>
      <w:r>
        <w:rPr/>
        <w:t>3. Spin down all components to the bottom of the tube before opening.</w:t>
      </w:r>
    </w:p>
    <w:p>
      <w:pPr>
        <w:pStyle w:val="Normal"/>
      </w:pPr>
      <w:r>
        <w:rPr/>
        <w:t>4. Don't let the 96-well plate dry out as this will inactivate active components.</w:t>
      </w:r>
    </w:p>
    <w:p>
      <w:pPr>
        <w:pStyle w:val="Normal"/>
      </w:pPr>
      <w:r>
        <w:rPr/>
        <w:t>5. Don't reuse tips and tubes to avoid cross-contamination. Avoid using reagents from different batches.</w:t>
      </w:r>
    </w:p>
    <w:p>
      <w:pPr>
        <w:pStyle w:val="Heading2"/>
      </w:pPr>
      <w:r>
        <w:rPr>
          <w:b/>
          <w:color w:val="0046B4"/>
        </w:rPr>
        <w:t>SAMPLE PREPARATION AND STORAGE</w:t>
      </w:r>
    </w:p>
    <w:p>
      <w:pPr>
        <w:pStyle w:val="Normal"/>
      </w:pPr>
      <w:r>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rPr>
          <w:b/>
          <w:color w:val="0046B4"/>
        </w:rPr>
        <w:t>SAMPLE COLLECTION NOTES</w:t>
      </w:r>
    </w:p>
    <w:p>
      <w:pPr>
        <w:pStyle w:val="Normal"/>
      </w:pPr>
      <w:r>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rPr>
          <w:b/>
          <w:color w:val="0046B4"/>
        </w:rPr>
        <w:t>SAMPLE DILUTION GUIDELINE</w:t>
      </w:r>
    </w:p>
    <w:p>
      <w:pPr>
        <w:pStyle w:val="Normal"/>
      </w:pPr>
      <w:r>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pPr>
      <w:r>
        <w:rPr>
          <w:b/>
          <w:color w:val="0046B4"/>
        </w:rPr>
        <w:t>ASSAY PRINCIPLE</w:t>
      </w:r>
    </w:p>
    <w:p>
      <w:pPr/>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rPr>
          <w:b/>
          <w:color w:val="0046B4"/>
        </w:rPr>
        <w:t>SAMPLE PREPARATION AND STORAGE</w:t>
      </w:r>
    </w:p>
    <w:p>
      <w:pPr/>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pPr>
      <w:r>
        <w:rPr>
          <w:b/>
          <w:color w:val="0046B4"/>
        </w:rPr>
        <w:t>SAMPLE COLLECTION NOTES</w:t>
      </w:r>
    </w:p>
    <w:p>
      <w:pPr/>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pPr>
      <w:r>
        <w:rPr>
          <w:b/>
          <w:color w:val="0046B4"/>
        </w:rPr>
        <w:t>SAMPLE DILUTION GUIDELINE</w:t>
      </w:r>
    </w:p>
    <w:p>
      <w:pPr/>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pPr>
      <w:r>
        <w:rPr>
          <w:b/>
          <w:color w:val="0046B4"/>
        </w:rPr>
        <w:t>ASSAY PROTOCOL</w:t>
      </w:r>
    </w:p>
    <w:p>
      <w:pPr>
        <w:pStyle w:val="Normal"/>
      </w:pPr>
      <w:r>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rPr>
          <w:b/>
          <w:color w:val="0046B4"/>
        </w:rPr>
        <w:t>TYPICAL DATA / STANDARD CURVE</w:t>
      </w:r>
    </w:p>
    <w:p>
      <w:pPr>
        <w:pStyle w:val="Normal"/>
      </w:pPr>
      <w:r>
        <w:rPr/>
        <w:t>This standard curve is for demonstration only. A standard curve must be run with each assay.</w:t>
      </w:r>
    </w:p>
    <w:p>
      <w:pPr>
        <w:pStyle w:val="Heading2"/>
      </w:pPr>
      <w:r>
        <w:rPr>
          <w:b/>
          <w:color w:val="0046B4"/>
        </w:rPr>
        <w:t>DATA ANALYSIS</w:t>
      </w:r>
    </w:p>
    <w:p>
      <w:pPr/>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rPr>
          <w:b/>
          <w:color w:val="0046B4"/>
        </w:rPr>
        <w:t>INTRA/INTER-ASSAY VARIABILITY</w:t>
      </w:r>
    </w:p>
    <w:p>
      <w:pPr/>
      <w:r>
        <w:rPr/>
        <w:t>Three samples of known concentration were tested on one plate to assess intra-assay precision.</w:t>
      </w:r>
    </w:p>
    <w:p>
      <w:pPr/>
      <w:r>
        <w:rPr/>
        <w:t>Three samples of known concentration were tested in separate assays to assess inter-assay precision.</w:t>
      </w:r>
    </w:p>
    <w:p>
      <w:pPr>
        <w:pStyle w:val="Heading2"/>
      </w:pPr>
      <w:r>
        <w:rPr>
          <w:b/>
          <w:color w:val="0046B4"/>
        </w:rPr>
        <w:t>REPRODUCIBILITY</w:t>
      </w:r>
    </w:p>
    <w:p>
      <w:pPr/>
      <w:r>
        <w:rPr/>
        <w:t>Samples were tested in four different assay lots to assess reproducibility.</w:t>
      </w:r>
    </w:p>
    <w:p>
      <w:pPr>
        <w:pStyle w:val="Heading2"/>
      </w:pPr>
      <w:r>
        <w:rPr>
          <w:b/>
          <w:color w:val="0046B4"/>
        </w:rPr>
        <w:t>DATA ANALYSIS</w:t>
      </w:r>
    </w:p>
    <w:p>
      <w:pPr/>
      <w:r>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tbl>
      <w:tblPr>
        <w:tblStyle w:val="TableGrid"/>
        <w:tblW w:type="auto" w:w="0"/>
        <w:tblLook w:firstColumn="1" w:firstRow="1" w:lastColumn="0" w:lastRow="0" w:noHBand="0" w:noVBand="1" w:val="04A0"/>
      </w:tblPr>
      <w:tblGrid>
        <w:gridCol w:w="2835"/>
        <w:gridCol w:w="1417"/>
        <w:gridCol w:w="1417"/>
        <w:gridCol w:w="2835"/>
      </w:tblGrid>
      <w:tr>
        <w:tc>
          <w:tcPr>
            <w:tcW w:type="dxa" w:w="2160"/>
          </w:tcPr>
          <w:p>
            <w:r>
              <w:rPr>
                <w:b/>
              </w:rPr>
              <w:t>Description</w:t>
            </w:r>
          </w:p>
        </w:tc>
        <w:tc>
          <w:tcPr>
            <w:tcW w:type="dxa" w:w="2160"/>
          </w:tcPr>
          <w:p>
            <w:r>
              <w:rPr>
                <w:b/>
              </w:rPr>
              <w:t>Quantity</w:t>
            </w:r>
          </w:p>
        </w:tc>
        <w:tc>
          <w:tcPr>
            <w:tcW w:type="dxa" w:w="2160"/>
          </w:tcPr>
          <w:p>
            <w:r>
              <w:rPr>
                <w:b/>
              </w:rPr>
              <w:t>Volume</w:t>
            </w:r>
          </w:p>
        </w:tc>
        <w:tc>
          <w:tcPr>
            <w:tcW w:type="dxa" w:w="2160"/>
          </w:tcPr>
          <w:p>
            <w:r>
              <w:rPr>
                <w:b/>
              </w:rPr>
              <w:t>Storage</w:t>
            </w:r>
          </w:p>
        </w:tc>
      </w:tr>
      <w:tr>
        <w:tc>
          <w:tcPr>
            <w:tcW w:type="dxa" w:w="2160"/>
          </w:tcPr>
          <w:p>
            <w:r>
              <w:t>Anti-Mouse Klk1 Pre-coated 96-well Strip Microplate</w:t>
            </w:r>
          </w:p>
        </w:tc>
        <w:tc>
          <w:tcPr>
            <w:tcW w:type="dxa" w:w="2160"/>
          </w:tcPr>
          <w:p>
            <w:r>
              <w:t>1</w:t>
            </w:r>
          </w:p>
        </w:tc>
        <w:tc>
          <w:tcPr>
            <w:tcW w:type="dxa" w:w="2160"/>
          </w:tcPr>
          <w:p>
            <w:r>
              <w:t>12 strips of 8 wells</w:t>
            </w:r>
          </w:p>
        </w:tc>
        <w:tc>
          <w:tcPr>
            <w:tcW w:type="dxa" w:w="2160"/>
          </w:tcPr>
          <w:p>
            <w:r>
              <w:t>Return unused wells to the foil pouch. Reseal along the entire edge of the zip-seal. May be stored for up to 1 month at 4°C provided this is within the expiration date of the kit.</w:t>
            </w:r>
          </w:p>
        </w:tc>
      </w:tr>
      <w:tr>
        <w:tc>
          <w:tcPr>
            <w:tcW w:type="dxa" w:w="2160"/>
          </w:tcPr>
          <w:p>
            <w:r>
              <w:t>Mouse Klk1 Standard</w:t>
            </w:r>
          </w:p>
        </w:tc>
        <w:tc>
          <w:tcPr>
            <w:tcW w:type="dxa" w:w="2160"/>
          </w:tcPr>
          <w:p>
            <w:r>
              <w:t>2</w:t>
            </w:r>
          </w:p>
        </w:tc>
        <w:tc>
          <w:tcPr>
            <w:tcW w:type="dxa" w:w="2160"/>
          </w:tcPr>
          <w:p>
            <w:r>
              <w:t>10 ng/tube</w:t>
            </w:r>
          </w:p>
        </w:tc>
        <w:tc>
          <w:tcPr>
            <w:tcW w:type="dxa" w:w="2160"/>
          </w:tcPr>
          <w:p>
            <w:r>
              <w:t>Discard the Klk1 stock solution after 12 hours at 4°C. May be stored at -20°C for 48 hours.</w:t>
            </w:r>
          </w:p>
        </w:tc>
      </w:tr>
      <w:tr>
        <w:tc>
          <w:tcPr>
            <w:tcW w:type="dxa" w:w="2160"/>
          </w:tcPr>
          <w:p>
            <w:r>
              <w:t>Mouse Klk1 Biotinylated Antibody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Avidin-Biotin-Peroxidase Complex (100x)</w:t>
            </w:r>
          </w:p>
        </w:tc>
        <w:tc>
          <w:tcPr>
            <w:tcW w:type="dxa" w:w="2160"/>
          </w:tcPr>
          <w:p>
            <w:r>
              <w:t>1</w:t>
            </w:r>
          </w:p>
        </w:tc>
        <w:tc>
          <w:tcPr>
            <w:tcW w:type="dxa" w:w="2160"/>
          </w:tcPr>
          <w:p>
            <w:r>
              <w:t>100 µl</w:t>
            </w:r>
          </w:p>
        </w:tc>
        <w:tc>
          <w:tcPr>
            <w:tcW w:type="dxa" w:w="2160"/>
          </w:tcPr>
          <w:p>
            <w:r>
              <w:t>May be stored for up to 1 month at 4°C provided this is within the expiration date of the kit.</w:t>
            </w:r>
          </w:p>
        </w:tc>
      </w:tr>
      <w:tr>
        <w:tc>
          <w:tcPr>
            <w:tcW w:type="dxa" w:w="2160"/>
          </w:tcPr>
          <w:p>
            <w:r>
              <w:t>Sample Diluent</w:t>
            </w:r>
          </w:p>
        </w:tc>
        <w:tc>
          <w:tcPr>
            <w:tcW w:type="dxa" w:w="2160"/>
          </w:tcPr>
          <w:p>
            <w:r>
              <w:t>1</w:t>
            </w:r>
          </w:p>
        </w:tc>
        <w:tc>
          <w:tcPr>
            <w:tcW w:type="dxa" w:w="2160"/>
          </w:tcPr>
          <w:p>
            <w:r>
              <w:t>30 ml</w:t>
            </w:r>
          </w:p>
        </w:tc>
        <w:tc>
          <w:tcPr>
            <w:tcW w:type="dxa" w:w="2160"/>
          </w:tcPr>
          <w:p>
            <w:r>
              <w:t>May be stored for up to 1 month at 4°C provided this is within the expiration date of the kit.</w:t>
            </w:r>
          </w:p>
        </w:tc>
      </w:tr>
      <w:tr>
        <w:tc>
          <w:tcPr>
            <w:tcW w:type="dxa" w:w="2160"/>
          </w:tcPr>
          <w:p>
            <w:r>
              <w:t>Antibody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Avidin-Biotin-Peroxidase Diluent</w:t>
            </w:r>
          </w:p>
        </w:tc>
        <w:tc>
          <w:tcPr>
            <w:tcW w:type="dxa" w:w="2160"/>
          </w:tcPr>
          <w:p>
            <w:r>
              <w:t>1</w:t>
            </w:r>
          </w:p>
        </w:tc>
        <w:tc>
          <w:tcPr>
            <w:tcW w:type="dxa" w:w="2160"/>
          </w:tcPr>
          <w:p>
            <w:r>
              <w:t>12 ml</w:t>
            </w:r>
          </w:p>
        </w:tc>
        <w:tc>
          <w:tcPr>
            <w:tcW w:type="dxa" w:w="2160"/>
          </w:tcPr>
          <w:p>
            <w:r>
              <w:t>May be stored for up to 1 month at 4°C provided this is within the expiration date of the kit.</w:t>
            </w:r>
          </w:p>
        </w:tc>
      </w:tr>
      <w:tr>
        <w:tc>
          <w:tcPr>
            <w:tcW w:type="dxa" w:w="2160"/>
          </w:tcPr>
          <w:p>
            <w:r>
              <w:t>Color Developing Reagent (TMB)</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Stop Solution</w:t>
            </w:r>
          </w:p>
        </w:tc>
        <w:tc>
          <w:tcPr>
            <w:tcW w:type="dxa" w:w="2160"/>
          </w:tcPr>
          <w:p>
            <w:r>
              <w:t>1</w:t>
            </w:r>
          </w:p>
        </w:tc>
        <w:tc>
          <w:tcPr>
            <w:tcW w:type="dxa" w:w="2160"/>
          </w:tcPr>
          <w:p>
            <w:r>
              <w:t>10 ml</w:t>
            </w:r>
          </w:p>
        </w:tc>
        <w:tc>
          <w:tcPr>
            <w:tcW w:type="dxa" w:w="2160"/>
          </w:tcPr>
          <w:p>
            <w:r>
              <w:t>May be stored for up to 1 month at 4°C provided this is within the expiration date of the kit.</w:t>
            </w:r>
          </w:p>
        </w:tc>
      </w:tr>
      <w:tr>
        <w:tc>
          <w:tcPr>
            <w:tcW w:type="dxa" w:w="2160"/>
          </w:tcPr>
          <w:p>
            <w:r>
              <w:t>Wash Buffer (25x)</w:t>
            </w:r>
          </w:p>
        </w:tc>
        <w:tc>
          <w:tcPr>
            <w:tcW w:type="dxa" w:w="2160"/>
          </w:tcPr>
          <w:p>
            <w:r>
              <w:t>1</w:t>
            </w:r>
          </w:p>
        </w:tc>
        <w:tc>
          <w:tcPr>
            <w:tcW w:type="dxa" w:w="2160"/>
          </w:tcPr>
          <w:p>
            <w:r>
              <w:t>20 ml</w:t>
            </w:r>
          </w:p>
        </w:tc>
        <w:tc>
          <w:tcPr>
            <w:tcW w:type="dxa" w:w="2160"/>
          </w:tcPr>
          <w:p>
            <w:r>
              <w:t>May be stored for up to 1 month at 4°C provided this is within the expiration date of the kit.</w:t>
            </w:r>
          </w:p>
        </w:tc>
      </w:tr>
      <w:tr>
        <w:tc>
          <w:tcPr>
            <w:tcW w:type="dxa" w:w="2160"/>
          </w:tcPr>
          <w:p>
            <w:r>
              <w:t>Plate Sealers</w:t>
            </w:r>
          </w:p>
        </w:tc>
        <w:tc>
          <w:tcPr>
            <w:tcW w:type="dxa" w:w="2160"/>
          </w:tcPr>
          <w:p>
            <w:r>
              <w:t>4</w:t>
            </w:r>
          </w:p>
        </w:tc>
        <w:tc>
          <w:tcPr>
            <w:tcW w:type="dxa" w:w="2160"/>
          </w:tcPr>
          <w:p>
            <w:r>
              <w:t>Piece</w:t>
            </w:r>
          </w:p>
        </w:tc>
        <w:tc>
          <w:tcPr>
            <w:tcW w:type="dxa" w:w="2160"/>
          </w:tcPr>
          <w:p>
            <w:r/>
          </w:p>
        </w:tc>
      </w:tr>
    </w:tbl>
    <w:p/>
    <w:tbl>
      <w:tblPr>
        <w:tblStyle w:val="TableGrid"/>
        <w:tblW w:type="auto" w:w="0"/>
        <w:tblLook w:firstColumn="1" w:firstRow="1" w:lastColumn="0" w:lastRow="0" w:noHBand="0" w:noVBand="1" w:val="04A0"/>
      </w:tblPr>
      <w:tblGrid>
        <w:gridCol w:w="3402"/>
        <w:gridCol w:w="5102"/>
      </w:tblGrid>
      <w:tr>
        <w:tc>
          <w:tcPr>
            <w:tcW w:type="dxa" w:w="4320"/>
          </w:tcPr>
          <w:p>
            <w:r>
              <w:rPr>
                <w:b/>
              </w:rP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rPr>
                <w:b/>
              </w:rPr>
              <w:t>Specificity</w:t>
            </w:r>
          </w:p>
        </w:tc>
        <w:tc>
          <w:tcPr>
            <w:tcW w:type="dxa" w:w="4320"/>
          </w:tcPr>
          <w:p>
            <w:r>
              <w:t xml:space="preserve">Natural and recombinant Mouse Klk1</w:t>
            </w:r>
          </w:p>
        </w:tc>
      </w:tr>
      <w:tr>
        <w:tc>
          <w:tcPr>
            <w:tcW w:type="dxa" w:w="4320"/>
          </w:tcPr>
          <w:p>
            <w:r>
              <w:rPr>
                <w:b/>
              </w:rPr>
              <w:t>Standard Protein</w:t>
            </w:r>
          </w:p>
        </w:tc>
        <w:tc>
          <w:tcPr>
            <w:tcW w:type="dxa" w:w="4320"/>
          </w:tcPr>
          <w:p>
            <w:r>
              <w:t xml:space="preserve">Expression system for standard: NS0; Immunogen sequence: I25-D261</w:t>
            </w:r>
          </w:p>
        </w:tc>
      </w:tr>
      <w:tr>
        <w:tc>
          <w:tcPr>
            <w:tcW w:type="dxa" w:w="4320"/>
          </w:tcPr>
          <w:p>
            <w:r>
              <w:rPr>
                <w:b/>
              </w:rP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r>
              <w:rPr>
                <w:b/>
              </w:rPr>
              <w:t>Sensitivity</w:t>
            </w:r>
          </w:p>
        </w:tc>
        <w:tc>
          <w:tcPr>
            <w:tcW w:type="dxa" w:w="4320"/>
          </w:tcPr>
          <w:p>
            <w:r>
              <w:t xml:space="preserve">N/A</w:t>
            </w:r>
          </w:p>
        </w:tc>
      </w:tr>
    </w:tbl>
    <w:p>
      <w: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r>
      <w:tr>
        <w:tc>
          <w:tcPr>
            <w:tcW w:type="dxa" w:w="2160"/>
          </w:tcPr>
          <w:p>
            <w:r>
              <w:t>Sample 1</w:t>
            </w:r>
          </w:p>
        </w:tc>
        <w:tc>
          <w:tcPr>
            <w:tcW w:type="dxa" w:w="2160"/>
          </w:tcPr>
          <w:p>
            <w:r>
              <w:t xml:space="preserve">24</w:t>
            </w:r>
          </w:p>
        </w:tc>
        <w:tc>
          <w:tcPr>
            <w:tcW w:type="dxa" w:w="2160"/>
          </w:tcPr>
          <w:p>
            <w:r>
              <w:t xml:space="preserve">145</w:t>
            </w:r>
          </w:p>
        </w:tc>
        <w:tc>
          <w:tcPr>
            <w:tcW w:type="dxa" w:w="2160"/>
          </w:tcPr>
          <w:p>
            <w:r>
              <w:t xml:space="preserve">10.15</w:t>
            </w:r>
          </w:p>
        </w:tc>
      </w:tr>
      <w:tr>
        <w:tc>
          <w:tcPr>
            <w:tcW w:type="dxa" w:w="2160"/>
          </w:tcPr>
          <w:p>
            <w:r>
              <w:t>Sample 2</w:t>
            </w:r>
          </w:p>
        </w:tc>
        <w:tc>
          <w:tcPr>
            <w:tcW w:type="dxa" w:w="2160"/>
          </w:tcPr>
          <w:p>
            <w:r>
              <w:t xml:space="preserve">24</w:t>
            </w:r>
          </w:p>
        </w:tc>
        <w:tc>
          <w:tcPr>
            <w:tcW w:type="dxa" w:w="2160"/>
          </w:tcPr>
          <w:p>
            <w:r>
              <w:t xml:space="preserve">329</w:t>
            </w:r>
          </w:p>
        </w:tc>
        <w:tc>
          <w:tcPr>
            <w:tcW w:type="dxa" w:w="2160"/>
          </w:tcPr>
          <w:p>
            <w:r>
              <w:t xml:space="preserve">23.03</w:t>
            </w:r>
          </w:p>
        </w:tc>
      </w:tr>
      <w:tr>
        <w:tc>
          <w:tcPr>
            <w:tcW w:type="dxa" w:w="2160"/>
          </w:tcPr>
          <w:p>
            <w:r>
              <w:t>Sample 3</w:t>
            </w:r>
          </w:p>
        </w:tc>
        <w:tc>
          <w:tcPr>
            <w:tcW w:type="dxa" w:w="2160"/>
          </w:tcPr>
          <w:p>
            <w:r>
              <w:t xml:space="preserve">24</w:t>
            </w:r>
          </w:p>
        </w:tc>
        <w:tc>
          <w:tcPr>
            <w:tcW w:type="dxa" w:w="2160"/>
          </w:tcPr>
          <w:p>
            <w:r>
              <w:t xml:space="preserve">1062</w:t>
            </w:r>
          </w:p>
        </w:tc>
        <w:tc>
          <w:tcPr>
            <w:tcW w:type="dxa" w:w="2160"/>
          </w:tcPr>
          <w:p>
            <w:r>
              <w:t xml:space="preserve">65.84</w:t>
            </w:r>
          </w:p>
        </w:tc>
      </w:tr>
    </w:tbl>
    <w:p>
      <w: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r>
      <w:tr>
        <w:tc>
          <w:tcPr>
            <w:tcW w:type="dxa" w:w="2160"/>
          </w:tcPr>
          <w:p>
            <w:r>
              <w:t>Sample 1</w:t>
            </w:r>
          </w:p>
        </w:tc>
        <w:tc>
          <w:tcPr>
            <w:tcW w:type="dxa" w:w="2160"/>
          </w:tcPr>
          <w:p>
            <w:r>
              <w:t xml:space="preserve">24</w:t>
            </w:r>
          </w:p>
        </w:tc>
        <w:tc>
          <w:tcPr>
            <w:tcW w:type="dxa" w:w="2160"/>
          </w:tcPr>
          <w:p>
            <w:r>
              <w:t xml:space="preserve">145</w:t>
            </w:r>
          </w:p>
        </w:tc>
        <w:tc>
          <w:tcPr>
            <w:tcW w:type="dxa" w:w="2160"/>
          </w:tcPr>
          <w:p>
            <w:r>
              <w:t xml:space="preserve">13.05</w:t>
            </w:r>
          </w:p>
        </w:tc>
      </w:tr>
      <w:tr>
        <w:tc>
          <w:tcPr>
            <w:tcW w:type="dxa" w:w="2160"/>
          </w:tcPr>
          <w:p>
            <w:r>
              <w:t>Sample 2</w:t>
            </w:r>
          </w:p>
        </w:tc>
        <w:tc>
          <w:tcPr>
            <w:tcW w:type="dxa" w:w="2160"/>
          </w:tcPr>
          <w:p>
            <w:r>
              <w:t xml:space="preserve">24</w:t>
            </w:r>
          </w:p>
        </w:tc>
        <w:tc>
          <w:tcPr>
            <w:tcW w:type="dxa" w:w="2160"/>
          </w:tcPr>
          <w:p>
            <w:r>
              <w:t xml:space="preserve">329</w:t>
            </w:r>
          </w:p>
        </w:tc>
        <w:tc>
          <w:tcPr>
            <w:tcW w:type="dxa" w:w="2160"/>
          </w:tcPr>
          <w:p>
            <w:r>
              <w:t xml:space="preserve">29.61</w:t>
            </w:r>
          </w:p>
        </w:tc>
      </w:tr>
      <w:tr>
        <w:tc>
          <w:tcPr>
            <w:tcW w:type="dxa" w:w="2160"/>
          </w:tcPr>
          <w:p>
            <w:r>
              <w:t>Sample 3</w:t>
            </w:r>
          </w:p>
        </w:tc>
        <w:tc>
          <w:tcPr>
            <w:tcW w:type="dxa" w:w="2160"/>
          </w:tcPr>
          <w:p>
            <w:r>
              <w:t xml:space="preserve">24</w:t>
            </w:r>
          </w:p>
        </w:tc>
        <w:tc>
          <w:tcPr>
            <w:tcW w:type="dxa" w:w="2160"/>
          </w:tcPr>
          <w:p>
            <w:r>
              <w:t xml:space="preserve">1062</w:t>
            </w:r>
          </w:p>
        </w:tc>
        <w:tc>
          <w:tcPr>
            <w:tcW w:type="dxa" w:w="2160"/>
          </w:tcPr>
          <w:p>
            <w:r>
              <w:t xml:space="preserve">95.58</w:t>
            </w:r>
          </w:p>
        </w:tc>
      </w:tr>
    </w:tbl>
    <w:p>
      <w:r>
        <w:t>Samples were tested in four different assay lots to assess reproducibility.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rPr>
                <w:b/>
              </w:rPr>
              <w:t>Sample</w:t>
            </w:r>
          </w:p>
        </w:tc>
        <w:tc>
          <w:tcPr>
            <w:tcW w:type="dxa" w:w="1234"/>
          </w:tcPr>
          <w:p>
            <w:r>
              <w:rPr>
                <w:b/>
              </w:rPr>
              <w:t>Lot 1</w:t>
            </w:r>
          </w:p>
        </w:tc>
        <w:tc>
          <w:tcPr>
            <w:tcW w:type="dxa" w:w="1234"/>
          </w:tcPr>
          <w:p>
            <w:r>
              <w:rPr>
                <w:b/>
              </w:rPr>
              <w:t>Lot 2</w:t>
            </w:r>
          </w:p>
        </w:tc>
        <w:tc>
          <w:tcPr>
            <w:tcW w:type="dxa" w:w="1234"/>
          </w:tcPr>
          <w:p>
            <w:r>
              <w:rPr>
                <w:b/>
              </w:rPr>
              <w:t>Lot 3</w:t>
            </w:r>
          </w:p>
        </w:tc>
        <w:tc>
          <w:tcPr>
            <w:tcW w:type="dxa" w:w="1234"/>
          </w:tcPr>
          <w:p>
            <w:r>
              <w:rPr>
                <w:b/>
              </w:rPr>
              <w:t>Lot 4</w:t>
            </w:r>
          </w:p>
        </w:tc>
        <w:tc>
          <w:tcPr>
            <w:tcW w:type="dxa" w:w="1234"/>
          </w:tcPr>
          <w:p>
            <w:r>
              <w:rPr>
                <w:b/>
              </w:rPr>
              <w:t>SD</w:t>
            </w:r>
          </w:p>
        </w:tc>
        <w:tc>
          <w:tcPr>
            <w:tcW w:type="dxa" w:w="1234"/>
          </w:tcPr>
          <w:p>
            <w:r>
              <w:rPr>
                <w:b/>
              </w:rPr>
              <w:t>CV</w:t>
            </w:r>
          </w:p>
        </w:tc>
      </w:tr>
      <w:tr>
        <w:tc>
          <w:tcPr>
            <w:tcW w:type="dxa" w:w="1234"/>
          </w:tcPr>
          <w:p>
            <w:r>
              <w:t xml:space="preserve">Sample 1</w:t>
            </w:r>
          </w:p>
        </w:tc>
        <w:tc>
          <w:tcPr>
            <w:tcW w:type="dxa" w:w="1234"/>
          </w:tcPr>
          <w:p>
            <w:r>
              <w:t xml:space="preserve">150</w:t>
            </w:r>
          </w:p>
        </w:tc>
        <w:tc>
          <w:tcPr>
            <w:tcW w:type="dxa" w:w="1234"/>
          </w:tcPr>
          <w:p>
            <w:r>
              <w:t xml:space="preserve">154</w:t>
            </w:r>
          </w:p>
        </w:tc>
        <w:tc>
          <w:tcPr>
            <w:tcW w:type="dxa" w:w="1234"/>
          </w:tcPr>
          <w:p>
            <w:r>
              <w:t xml:space="preserve">170</w:t>
            </w:r>
          </w:p>
        </w:tc>
        <w:tc>
          <w:tcPr>
            <w:tcW w:type="dxa" w:w="1234"/>
          </w:tcPr>
          <w:p>
            <w:r>
              <w:t xml:space="preserve">150</w:t>
            </w:r>
          </w:p>
        </w:tc>
        <w:tc>
          <w:tcPr>
            <w:tcW w:type="dxa" w:w="1234"/>
          </w:tcPr>
          <w:p>
            <w:r>
              <w:t xml:space="preserve">9.4</w:t>
            </w:r>
          </w:p>
        </w:tc>
        <w:tc>
          <w:tcPr>
            <w:tcW w:type="dxa" w:w="1234"/>
          </w:tcPr>
          <w:p>
            <w:r>
              <w:t xml:space="preserve">5.2%</w:t>
            </w:r>
          </w:p>
        </w:tc>
      </w:tr>
      <w:tr>
        <w:tc>
          <w:tcPr>
            <w:tcW w:type="dxa" w:w="1234"/>
          </w:tcPr>
          <w:p>
            <w:r>
              <w:t xml:space="preserve">Sample 2</w:t>
            </w:r>
          </w:p>
        </w:tc>
        <w:tc>
          <w:tcPr>
            <w:tcW w:type="dxa" w:w="1234"/>
          </w:tcPr>
          <w:p>
            <w:r>
              <w:t xml:space="preserve">600</w:t>
            </w:r>
          </w:p>
        </w:tc>
        <w:tc>
          <w:tcPr>
            <w:tcW w:type="dxa" w:w="1234"/>
          </w:tcPr>
          <w:p>
            <w:r>
              <w:t xml:space="preserve">580</w:t>
            </w:r>
          </w:p>
        </w:tc>
        <w:tc>
          <w:tcPr>
            <w:tcW w:type="dxa" w:w="1234"/>
          </w:tcPr>
          <w:p>
            <w:r>
              <w:t xml:space="preserve">595</w:t>
            </w:r>
          </w:p>
        </w:tc>
        <w:tc>
          <w:tcPr>
            <w:tcW w:type="dxa" w:w="1234"/>
          </w:tcPr>
          <w:p>
            <w:r>
              <w:t xml:space="preserve">605</w:t>
            </w:r>
          </w:p>
        </w:tc>
        <w:tc>
          <w:tcPr>
            <w:tcW w:type="dxa" w:w="1234"/>
          </w:tcPr>
          <w:p>
            <w:r>
              <w:t xml:space="preserve">11.3</w:t>
            </w:r>
          </w:p>
        </w:tc>
        <w:tc>
          <w:tcPr>
            <w:tcW w:type="dxa" w:w="1234"/>
          </w:tcPr>
          <w:p>
            <w:r>
              <w:t xml:space="preserve">1.9%</w:t>
            </w:r>
          </w:p>
        </w:tc>
      </w:tr>
      <w:tr>
        <w:tc>
          <w:tcPr>
            <w:tcW w:type="dxa" w:w="1234"/>
          </w:tcPr>
          <w:p>
            <w:r>
              <w:t xml:space="preserve">Sample 3</w:t>
            </w:r>
          </w:p>
        </w:tc>
        <w:tc>
          <w:tcPr>
            <w:tcW w:type="dxa" w:w="1234"/>
          </w:tcPr>
          <w:p>
            <w:r>
              <w:t xml:space="preserve">1010</w:t>
            </w:r>
          </w:p>
        </w:tc>
        <w:tc>
          <w:tcPr>
            <w:tcW w:type="dxa" w:w="1234"/>
          </w:tcPr>
          <w:p>
            <w:r>
              <w:t xml:space="preserve">970</w:t>
            </w:r>
          </w:p>
        </w:tc>
        <w:tc>
          <w:tcPr>
            <w:tcW w:type="dxa" w:w="1234"/>
          </w:tcPr>
          <w:p>
            <w:r>
              <w:t xml:space="preserve">990</w:t>
            </w:r>
          </w:p>
        </w:tc>
        <w:tc>
          <w:tcPr>
            <w:tcW w:type="dxa" w:w="1234"/>
          </w:tcPr>
          <w:p>
            <w:r>
              <w:t xml:space="preserve">1030</w:t>
            </w:r>
          </w:p>
        </w:tc>
        <w:tc>
          <w:tcPr>
            <w:tcW w:type="dxa" w:w="1234"/>
          </w:tcPr>
          <w:p>
            <w:r>
              <w:t xml:space="preserve">25.7</w:t>
            </w:r>
          </w:p>
        </w:tc>
        <w:tc>
          <w:tcPr>
            <w:tcW w:type="dxa" w:w="1234"/>
          </w:tcPr>
          <w:p>
            <w:r>
              <w:t xml:space="preserve">2.6%</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