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pPr>
              <w:spacing w:line="276" w:lineRule="auto"/>
            </w:pPr>
            <w:r>
              <w:rPr>
                <w:rFonts w:ascii="Calibri" w:hAnsi="Calibri"/>
              </w:rPr>
              <w:t>Capture/Detection Antibodies</w:t>
            </w:r>
          </w:p>
        </w:tc>
        <w:tc>
          <w:tcPr>
            <w:tcW w:type="dxa" w:w="4320"/>
          </w:tcPr>
          <w:p>
            <w:pPr>
              <w:spacing w:line="276" w:lineRule="auto"/>
            </w:pPr>
            <w:r>
              <w:rPr>
                <w:rFonts w:ascii="Calibri" w:hAnsi="Calibri"/>
              </w:rPr>
              <w:t>It is recommended that the standards be prepared no more than 2 hours prior to performing the experiment. Use one 10 ng of lyophilized Mouse Klk1 standard for each experiment. Gently spin the vial prior to use. Reconstitute the standard to a stock concentration of 10 ng/ml using 1ml of sample diluent. Allow the standard to sit for a minimum of 10 minutes with gentle agitation prior to making dilutions.</w:t>
            </w:r>
          </w:p>
        </w:tc>
      </w:tr>
      <w:tr>
        <w:tc>
          <w:tcPr>
            <w:tcW w:type="dxa" w:w="4320"/>
          </w:tcPr>
          <w:p>
            <w:pPr>
              <w:spacing w:line="276" w:lineRule="auto"/>
            </w:pPr>
            <w:r>
              <w:rPr>
                <w:rFonts w:ascii="Calibri" w:hAnsi="Calibri"/>
              </w:rPr>
              <w:t>Specificity</w:t>
            </w:r>
          </w:p>
        </w:tc>
        <w:tc>
          <w:tcPr>
            <w:tcW w:type="dxa" w:w="4320"/>
          </w:tcPr>
          <w:p>
            <w:pPr>
              <w:spacing w:line="276" w:lineRule="auto"/>
            </w:pPr>
            <w:r>
              <w:rPr>
                <w:rFonts w:ascii="Calibri" w:hAnsi="Calibri"/>
              </w:rPr>
              <w:t>Natural and recombinant Mouse Klk1</w:t>
            </w:r>
          </w:p>
        </w:tc>
      </w:tr>
      <w:tr>
        <w:tc>
          <w:tcPr>
            <w:tcW w:type="dxa" w:w="4320"/>
          </w:tcPr>
          <w:p>
            <w:pPr>
              <w:spacing w:line="276" w:lineRule="auto"/>
            </w:pPr>
            <w:r>
              <w:rPr>
                <w:rFonts w:ascii="Calibri" w:hAnsi="Calibri"/>
              </w:rPr>
              <w:t>Standard Protein</w:t>
            </w:r>
          </w:p>
        </w:tc>
        <w:tc>
          <w:tcPr>
            <w:tcW w:type="dxa" w:w="4320"/>
          </w:tcPr>
          <w:p>
            <w:pPr>
              <w:spacing w:line="276" w:lineRule="auto"/>
            </w:pPr>
            <w:r>
              <w:rPr>
                <w:rFonts w:ascii="Calibri" w:hAnsi="Calibri"/>
              </w:rPr>
              <w:t>It is recommended that the standards be prepared no more than 2 hours prior to performing the experiment. Use one 10 ng of lyophilized Mouse Klk1 standard for each experiment. Gently spin the vial prior to use. Reconstitute the standard to a stock concentration of 10 ng/ml using 1ml of sample diluent. Allow the standard to sit for a minimum of 10 minutes with gentle agitation prior to making dilutions.</w:t>
            </w:r>
          </w:p>
        </w:tc>
      </w:tr>
      <w:tr>
        <w:tc>
          <w:tcPr>
            <w:tcW w:type="dxa" w:w="4320"/>
          </w:tcPr>
          <w:p>
            <w:pPr>
              <w:spacing w:line="276" w:lineRule="auto"/>
            </w:pPr>
            <w:r>
              <w:rPr>
                <w:rFonts w:ascii="Calibri" w:hAnsi="Calibri"/>
              </w:rPr>
              <w:t>Cross-reactivity</w:t>
            </w:r>
          </w:p>
        </w:tc>
        <w:tc>
          <w:tcPr>
            <w:tcW w:type="dxa" w:w="4320"/>
          </w:tcPr>
          <w:p>
            <w:pPr>
              <w:spacing w:line="276" w:lineRule="auto"/>
            </w:pPr>
            <w:r>
              <w:rPr>
                <w:rFonts w:ascii="Calibri" w:hAnsi="Calibri"/>
              </w:rPr>
              <w:t>This kit is for the detection of Mouse Klk1. No significant cross-reactivity or interference between Klk1 and its analogs was observed. This claim is limited by existing techniques; therefore, cross- reactivity may exist with untested analogs.</w:t>
            </w:r>
          </w:p>
        </w:tc>
      </w:tr>
    </w:tbl>
    <w:tbl>
      <w:tblPr>
        <w:tblStyle w:val="TableGrid"/>
        <w:tblW w:type="auto" w:w="0"/>
        <w:tblLook w:firstColumn="1" w:firstRow="1" w:lastColumn="0" w:lastRow="0" w:noHBand="0" w:noVBand="1" w:val="04A0"/>
      </w:tblPr>
      <w:tblGrid>
        <w:gridCol w:w="4320"/>
        <w:gridCol w:w="4320"/>
      </w:tblGrid>
      <w:tr>
        <w:tc>
          <w:tcPr>
            <w:tcW w:type="dxa" w:w="4320"/>
          </w:tcPr>
          <w:p>
            <w:pPr>
              <w:spacing w:line="276" w:lineRule="auto"/>
            </w:pPr>
            <w:r>
              <w:rPr>
                <w:rFonts w:ascii="Calibri" w:hAnsi="Calibri"/>
              </w:rPr>
              <w:t>Product Name</w:t>
            </w:r>
          </w:p>
        </w:tc>
        <w:tc>
          <w:tcPr>
            <w:tcW w:type="dxa" w:w="4320"/>
          </w:tcPr>
          <w:p>
            <w:pPr>
              <w:spacing w:line="276" w:lineRule="auto"/>
            </w:pPr>
            <w:r>
              <w:rPr>
                <w:rFonts w:ascii="Calibri" w:hAnsi="Calibri"/>
              </w:rPr>
              <w:t>Mouse KLK1/Kallikrein 1 ELISA Kit (EK1586)</w:t>
            </w:r>
          </w:p>
        </w:tc>
      </w:tr>
      <w:tr>
        <w:tc>
          <w:tcPr>
            <w:tcW w:type="dxa" w:w="4320"/>
          </w:tcPr>
          <w:p>
            <w:pPr>
              <w:spacing w:line="276" w:lineRule="auto"/>
            </w:pPr>
            <w:r>
              <w:rPr>
                <w:rFonts w:ascii="Calibri" w:hAnsi="Calibri"/>
              </w:rPr>
              <w:t>Reactive Species</w:t>
            </w:r>
          </w:p>
        </w:tc>
        <w:tc>
          <w:tcPr>
            <w:tcW w:type="dxa" w:w="4320"/>
          </w:tcPr>
          <w:p>
            <w:pPr>
              <w:spacing w:line="276" w:lineRule="auto"/>
            </w:pPr>
            <w:r>
              <w:rPr>
                <w:rFonts w:ascii="Calibri" w:hAnsi="Calibri"/>
              </w:rPr>
              <w:t>This kit is for the detection of Mouse Klk1. This kit is for the detection of Mouse Klk1. No significant cross-reactivity or interference between Klk1 and its analogs was observed. This claim is limited by existing techniques; therefore, cross- reactivity may exist with untested analogs.</w:t>
            </w:r>
          </w:p>
        </w:tc>
      </w:tr>
      <w:tr>
        <w:tc>
          <w:tcPr>
            <w:tcW w:type="dxa" w:w="4320"/>
          </w:tcPr>
          <w:p>
            <w:pPr>
              <w:spacing w:line="276" w:lineRule="auto"/>
            </w:pPr>
            <w:r>
              <w:rPr>
                <w:rFonts w:ascii="Calibri" w:hAnsi="Calibri"/>
              </w:rPr>
              <w:t>Range</w:t>
            </w:r>
          </w:p>
        </w:tc>
        <w:tc>
          <w:tcPr>
            <w:tcW w:type="dxa" w:w="4320"/>
          </w:tcPr>
          <w:p>
            <w:pPr>
              <w:spacing w:line="276" w:lineRule="auto"/>
            </w:pPr>
            <w:r>
              <w:rPr>
                <w:rFonts w:ascii="Calibri" w:hAnsi="Calibri"/>
              </w:rPr>
              <w:t>62.5 pg/ml - 4,000 pg/ml</w:t>
            </w:r>
          </w:p>
        </w:tc>
      </w:tr>
      <w:tr>
        <w:tc>
          <w:tcPr>
            <w:tcW w:type="dxa" w:w="4320"/>
          </w:tcPr>
          <w:p>
            <w:pPr>
              <w:spacing w:line="276" w:lineRule="auto"/>
            </w:pPr>
            <w:r>
              <w:rPr>
                <w:rFonts w:ascii="Calibri" w:hAnsi="Calibri"/>
              </w:rPr>
              <w:t>Sensitivity</w:t>
            </w:r>
          </w:p>
        </w:tc>
        <w:tc>
          <w:tcPr>
            <w:tcW w:type="dxa" w:w="4320"/>
          </w:tcPr>
          <w:p>
            <w:pPr>
              <w:spacing w:line="276" w:lineRule="auto"/>
            </w:pPr>
            <w:r>
              <w:rPr>
                <w:rFonts w:ascii="Calibri" w:hAnsi="Calibri"/>
              </w:rPr>
              <w:t>&lt;12 pg/ml</w:t>
            </w:r>
          </w:p>
        </w:tc>
      </w:tr>
      <w:tr>
        <w:tc>
          <w:tcPr>
            <w:tcW w:type="dxa" w:w="4320"/>
          </w:tcPr>
          <w:p>
            <w:pPr>
              <w:spacing w:line="276" w:lineRule="auto"/>
            </w:pPr>
            <w:r>
              <w:rPr>
                <w:rFonts w:ascii="Calibri" w:hAnsi="Calibri"/>
              </w:rPr>
              <w:t>Sample Type</w:t>
            </w:r>
          </w:p>
        </w:tc>
        <w:tc>
          <w:tcPr>
            <w:tcW w:type="dxa" w:w="4320"/>
          </w:tcPr>
          <w:p>
            <w:pPr>
              <w:spacing w:line="276" w:lineRule="auto"/>
            </w:pPr>
            <w:r>
              <w:rPr>
                <w:rFonts w:ascii="Calibri" w:hAnsi="Calibri"/>
              </w:rPr>
              <w:t>Cell culture media, serum, plasma, and other biological fluids</w:t>
            </w:r>
          </w:p>
        </w:tc>
      </w:tr>
      <w:tr>
        <w:tc>
          <w:tcPr>
            <w:tcW w:type="dxa" w:w="4320"/>
          </w:tcPr>
          <w:p>
            <w:pPr>
              <w:spacing w:line="276" w:lineRule="auto"/>
            </w:pPr>
            <w:r>
              <w:rPr>
                <w:rFonts w:ascii="Calibri" w:hAnsi="Calibri"/>
              </w:rPr>
              <w:t>Sample Volume</w:t>
            </w:r>
          </w:p>
        </w:tc>
        <w:tc>
          <w:tcPr>
            <w:tcW w:type="dxa" w:w="4320"/>
          </w:tcPr>
          <w:p>
            <w:pPr>
              <w:spacing w:line="276" w:lineRule="auto"/>
            </w:pPr>
            <w:r>
              <w:rPr>
                <w:rFonts w:ascii="Calibri" w:hAnsi="Calibri"/>
              </w:rPr>
              <w:t>100 μl</w:t>
            </w:r>
          </w:p>
        </w:tc>
      </w:tr>
      <w:tr>
        <w:tc>
          <w:tcPr>
            <w:tcW w:type="dxa" w:w="4320"/>
          </w:tcPr>
          <w:p>
            <w:pPr>
              <w:spacing w:line="276" w:lineRule="auto"/>
            </w:pPr>
            <w:r>
              <w:rPr>
                <w:rFonts w:ascii="Calibri" w:hAnsi="Calibri"/>
              </w:rPr>
              <w:t>Assay Time</w:t>
            </w:r>
          </w:p>
        </w:tc>
        <w:tc>
          <w:tcPr>
            <w:tcW w:type="dxa" w:w="4320"/>
          </w:tcPr>
          <w:p>
            <w:pPr>
              <w:spacing w:line="276" w:lineRule="auto"/>
            </w:pPr>
            <w:r>
              <w:rPr>
                <w:rFonts w:ascii="Calibri" w:hAnsi="Calibri"/>
              </w:rPr>
              <w:t>4.5 hours</w:t>
            </w:r>
          </w:p>
        </w:tc>
      </w:tr>
      <w:tr>
        <w:tc>
          <w:tcPr>
            <w:tcW w:type="dxa" w:w="4320"/>
          </w:tcPr>
          <w:p>
            <w:pPr>
              <w:spacing w:line="276" w:lineRule="auto"/>
            </w:pPr>
            <w:r>
              <w:rPr>
                <w:rFonts w:ascii="Calibri" w:hAnsi="Calibri"/>
              </w:rPr>
              <w:t>Protocol</w:t>
            </w:r>
          </w:p>
        </w:tc>
        <w:tc>
          <w:tcPr>
            <w:tcW w:type="dxa" w:w="4320"/>
          </w:tcPr>
          <w:p>
            <w:pPr>
              <w:spacing w:line="276" w:lineRule="auto"/>
            </w:pPr>
            <w:r>
              <w:rPr>
                <w:rFonts w:ascii="Calibri" w:hAnsi="Calibri"/>
              </w:rPr>
              <w:t>4.5 hours</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spacing w:line="276" w:lineRule="auto"/>
            </w:pPr>
            <w:r>
              <w:rPr>
                <w:rFonts w:ascii="Calibri" w:hAnsi="Calibri"/>
              </w:rPr>
              <w:t>Description</w:t>
            </w:r>
          </w:p>
        </w:tc>
        <w:tc>
          <w:tcPr>
            <w:tcW w:type="dxa" w:w="2160"/>
          </w:tcPr>
          <w:p>
            <w:pPr>
              <w:spacing w:line="276" w:lineRule="auto"/>
            </w:pPr>
            <w:r>
              <w:rPr>
                <w:rFonts w:ascii="Calibri" w:hAnsi="Calibri"/>
              </w:rPr>
              <w:t>Quantity</w:t>
            </w:r>
          </w:p>
        </w:tc>
        <w:tc>
          <w:tcPr>
            <w:tcW w:type="dxa" w:w="2160"/>
          </w:tcPr>
          <w:p>
            <w:pPr>
              <w:spacing w:line="276" w:lineRule="auto"/>
            </w:pPr>
            <w:r>
              <w:rPr>
                <w:rFonts w:ascii="Calibri" w:hAnsi="Calibri"/>
              </w:rPr>
              <w:t>Volume</w:t>
            </w:r>
          </w:p>
        </w:tc>
        <w:tc>
          <w:tcPr>
            <w:tcW w:type="dxa" w:w="2160"/>
          </w:tcPr>
          <w:p>
            <w:pPr>
              <w:spacing w:line="276" w:lineRule="auto"/>
            </w:pPr>
            <w:r>
              <w:rPr>
                <w:rFonts w:ascii="Calibri" w:hAnsi="Calibri"/>
              </w:rPr>
              <w:t>Storage of opened/reconstituted material</w:t>
            </w:r>
          </w:p>
        </w:tc>
      </w:tr>
      <w:tr>
        <w:tc>
          <w:tcPr>
            <w:tcW w:type="dxa" w:w="2160"/>
          </w:tcPr>
          <w:p>
            <w:pPr>
              <w:spacing w:line="276" w:lineRule="auto"/>
            </w:pPr>
            <w:r>
              <w:rPr>
                <w:rFonts w:ascii="Calibri" w:hAnsi="Calibri"/>
              </w:rPr>
              <w:t>Anti-Mouse Klk1 Pre-coated 96-well Strip Microplate</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12 strips of 8 wells</w:t>
            </w:r>
          </w:p>
        </w:tc>
        <w:tc>
          <w:tcPr>
            <w:tcW w:type="dxa" w:w="2160"/>
          </w:tcPr>
          <w:p>
            <w:pPr>
              <w:spacing w:line="276" w:lineRule="auto"/>
            </w:pPr>
            <w:r>
              <w:rPr>
                <w:rFonts w:ascii="Calibri" w:hAnsi="Calibri"/>
              </w:rPr>
              <w:t>Return unused wells to the foil pouch. Reseal along the entire edge of the zip-seal. May be stored for up to 1 month at 4°C provided this is within the expiration date of the kit.</w:t>
            </w:r>
          </w:p>
        </w:tc>
      </w:tr>
      <w:tr>
        <w:tc>
          <w:tcPr>
            <w:tcW w:type="dxa" w:w="2160"/>
          </w:tcPr>
          <w:p>
            <w:pPr>
              <w:spacing w:line="276" w:lineRule="auto"/>
            </w:pPr>
            <w:r>
              <w:rPr>
                <w:rFonts w:ascii="Calibri" w:hAnsi="Calibri"/>
              </w:rPr>
              <w:t>Mouse Klk1 Standard</w:t>
            </w:r>
          </w:p>
        </w:tc>
        <w:tc>
          <w:tcPr>
            <w:tcW w:type="dxa" w:w="2160"/>
          </w:tcPr>
          <w:p>
            <w:pPr>
              <w:spacing w:line="276" w:lineRule="auto"/>
            </w:pPr>
            <w:r>
              <w:rPr>
                <w:rFonts w:ascii="Calibri" w:hAnsi="Calibri"/>
              </w:rPr>
              <w:t>2</w:t>
            </w:r>
          </w:p>
        </w:tc>
        <w:tc>
          <w:tcPr>
            <w:tcW w:type="dxa" w:w="2160"/>
          </w:tcPr>
          <w:p>
            <w:pPr>
              <w:spacing w:line="276" w:lineRule="auto"/>
            </w:pPr>
            <w:r>
              <w:rPr>
                <w:rFonts w:ascii="Calibri" w:hAnsi="Calibri"/>
              </w:rPr>
              <w:t>10 ng/tube</w:t>
            </w:r>
          </w:p>
        </w:tc>
        <w:tc>
          <w:tcPr>
            <w:tcW w:type="dxa" w:w="2160"/>
          </w:tcPr>
          <w:p>
            <w:pPr>
              <w:spacing w:line="276" w:lineRule="auto"/>
            </w:pPr>
            <w:r>
              <w:rPr>
                <w:rFonts w:ascii="Calibri" w:hAnsi="Calibri"/>
              </w:rPr>
              <w:t>Discard the Klk1 stock solution after 12 hours at 4°C. May be stored at -20°C for 48 hours.</w:t>
            </w:r>
          </w:p>
        </w:tc>
      </w:tr>
      <w:tr>
        <w:tc>
          <w:tcPr>
            <w:tcW w:type="dxa" w:w="2160"/>
          </w:tcPr>
          <w:p>
            <w:pPr>
              <w:spacing w:line="276" w:lineRule="auto"/>
            </w:pPr>
            <w:r>
              <w:rPr>
                <w:rFonts w:ascii="Calibri" w:hAnsi="Calibri"/>
              </w:rPr>
              <w:t>Mouse Klk1 Biotinylated Antibody (100x)</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100 µl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Avidin-Biotin-Peroxidase Complex (100x)</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100 µl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Sample Diluent</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30 ml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Antibody Diluent</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12 ml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Avidin-Biotin-Peroxidase Diluent</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12 ml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Color Developing Reagent (TMB)</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10 ml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Stop Solution</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10 ml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Wash Buffer (25x)</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20 ml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Plate Sealers</w:t>
            </w:r>
          </w:p>
        </w:tc>
        <w:tc>
          <w:tcPr>
            <w:tcW w:type="dxa" w:w="2160"/>
          </w:tcPr>
          <w:p>
            <w:pPr>
              <w:spacing w:line="276" w:lineRule="auto"/>
            </w:pPr>
            <w:r>
              <w:rPr>
                <w:rFonts w:ascii="Calibri" w:hAnsi="Calibri"/>
              </w:rPr>
              <w:t>4</w:t>
            </w:r>
          </w:p>
        </w:tc>
        <w:tc>
          <w:tcPr>
            <w:tcW w:type="dxa" w:w="2160"/>
          </w:tcPr>
          <w:p>
            <w:pPr>
              <w:spacing w:line="276" w:lineRule="auto"/>
            </w:pPr>
            <w:r>
              <w:rPr>
                <w:rFonts w:ascii="Calibri" w:hAnsi="Calibri"/>
              </w:rPr>
              <w:t>Piece</w:t>
            </w:r>
          </w:p>
        </w:tc>
        <w:tc>
          <w:tcPr>
            <w:tcW w:type="dxa" w:w="2160"/>
          </w:tcPr>
          <w:p>
            <w:pPr>
              <w:spacing w:line="276" w:lineRule="auto"/>
            </w:pPr>
            <w:r>
              <w:rPr>
                <w:rFonts w:ascii="Calibri" w:hAnsi="Calibri"/>
              </w:rPr>
            </w:r>
          </w:p>
        </w:tc>
      </w:tr>
    </w:tbl>
    <w:p>
      <w:pPr>
        <w:pStyle w:val="Title"/>
        <w:jc w:val="center"/>
      </w:pPr>
      <w:r>
        <w:rPr>
          <w:rFonts w:ascii="Calibri" w:hAnsi="Calibri"/>
          <w:b/>
          <w:sz w:val="72"/>
        </w:rPr>
        <w:t>Mouse KLK1/Kallikrein 1 ELISA Kit (EK1586)</w:t>
      </w:r>
    </w:p>
    <w:p>
      <w:pPr>
        <w:pStyle w:val="Normal"/>
        <w:spacing w:line="276" w:lineRule="auto"/>
      </w:pPr>
      <w:r>
        <w:rPr>
          <w:rFonts w:ascii="Calibri" w:hAnsi="Calibri"/>
        </w:rPr>
        <w:t>Catalog Number: EK1586</w:t>
        <w:br/>
        <w:t>Lot Number: SAMPLE</w:t>
      </w:r>
    </w:p>
    <w:p>
      <w:pPr>
        <w:pStyle w:val="Heading2"/>
        <w:spacing w:line="276" w:lineRule="auto"/>
      </w:pPr>
      <w:r>
        <w:rPr>
          <w:rFonts w:ascii="Calibri" w:hAnsi="Calibri"/>
        </w:rPr>
        <w:t>INTENDED USE</w:t>
      </w:r>
    </w:p>
    <w:p>
      <w:pPr>
        <w:pStyle w:val="Normal"/>
        <w:spacing w:line="276" w:lineRule="auto"/>
      </w:pPr>
      <w:r>
        <w:rPr>
          <w:rFonts w:ascii="Calibri" w:hAnsi="Calibri"/>
        </w:rPr>
        <w:t>For the quantitation of Mouse Klk1 concentrations in cell culture supernatants, cell lysates, serum and plasma (heparin, EDTA).</w:t>
      </w:r>
    </w:p>
    <w:p>
      <w:pPr>
        <w:pStyle w:val="Heading2"/>
        <w:spacing w:line="276" w:lineRule="auto"/>
      </w:pPr>
      <w:r>
        <w:rPr>
          <w:rFonts w:ascii="Calibri" w:hAnsi="Calibri"/>
        </w:rPr>
        <w:t>TECHNICAL DETAILS</w:t>
      </w:r>
    </w:p>
    <w:p>
      <w:pPr>
        <w:pStyle w:val="Heading2"/>
        <w:spacing w:line="276" w:lineRule="auto"/>
      </w:pPr>
      <w:r>
        <w:rPr>
          <w:rFonts w:ascii="Calibri" w:hAnsi="Calibri"/>
        </w:rPr>
        <w:t>ASSAY PRINCIPLE</w:t>
      </w:r>
    </w:p>
    <w:p>
      <w:pPr>
        <w:spacing w:line="276" w:lineRule="auto"/>
      </w:pPr>
      <w:r>
        <w:rPr>
          <w:rFonts w:ascii="Calibri" w:hAnsi="Calibri"/>
        </w:rPr>
        <w:t>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 To measure Mouse Klk1,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Mouse Klk1 in the sample. Read the absorbance of the yellow product in each well using a plate reader, and benchmark the sample wells' readings against the standard curve to determine the concentration of Mouse Klk1 in the sample.</w:t>
      </w:r>
    </w:p>
    <w:p>
      <w:pPr>
        <w:spacing w:line="276" w:lineRule="auto"/>
      </w:pPr>
    </w:p>
    <w:p>
      <w:pPr>
        <w:spacing w:line="276" w:lineRule="auto"/>
      </w:pPr>
      <w:r>
        <w:rPr>
          <w:rFonts w:ascii="Calibri" w:hAnsi="Calibri"/>
        </w:rPr>
        <w:t>KIT COMPONENTS</w:t>
      </w:r>
    </w:p>
    <w:p>
      <w:pPr>
        <w:spacing w:line="276" w:lineRule="auto"/>
      </w:pPr>
    </w:p>
    <w:p>
      <w:pPr>
        <w:spacing w:line="276" w:lineRule="auto"/>
      </w:pPr>
      <w:r>
        <w:rPr>
          <w:rFonts w:ascii="Calibri" w:hAnsi="Calibri"/>
        </w:rPr>
        <w:t>MATERIALS REQUIRED BUT NOT PROVIDED</w:t>
      </w:r>
    </w:p>
    <w:p>
      <w:pPr>
        <w:spacing w:line="276" w:lineRule="auto"/>
      </w:pPr>
    </w:p>
    <w:p>
      <w:pPr>
        <w:spacing w:line="276" w:lineRule="auto"/>
      </w:pPr>
      <w:r>
        <w:rPr>
          <w:rFonts w:ascii="Calibri" w:hAnsi="Calibri"/>
        </w:rPr>
        <w:t>• Microplate reader capable of reading absorbance at 450 nm. Incubator.</w:t>
        <w:br/>
        <w:t>• Automated plate washer (optional)</w:t>
        <w:br/>
        <w:t>• Pipettes and pipette tips capable of precisely dispensing 0.5 µl through 1 ml volumes of aqueous solutions. Multichannel pipettes are recommended for a large numbers of samples.</w:t>
        <w:br/>
        <w:t>• Deionized or distilled water. 500 ml graduated cylinders. Test tubes for dilution.</w:t>
      </w:r>
    </w:p>
    <w:p>
      <w:pPr>
        <w:spacing w:line="276" w:lineRule="auto"/>
      </w:pPr>
    </w:p>
    <w:p>
      <w:pPr>
        <w:spacing w:line="276" w:lineRule="auto"/>
      </w:pPr>
      <w:r>
        <w:rPr>
          <w:rFonts w:ascii="Calibri" w:hAnsi="Calibri"/>
        </w:rPr>
        <w:t>REAGENT PREPARATION</w:t>
      </w:r>
    </w:p>
    <w:p>
      <w:pPr>
        <w:spacing w:line="276" w:lineRule="auto"/>
      </w:pPr>
    </w:p>
    <w:p>
      <w:pPr>
        <w:spacing w:line="276" w:lineRule="auto"/>
      </w:pPr>
      <w:r>
        <w:rPr>
          <w:rFonts w:ascii="Calibri" w:hAnsi="Calibri"/>
        </w:rPr>
        <w:t>Bring all reagents to room temperature before use. Wash Buffer: Dilute Wash Buffer (25X) with distilled water. For example, if preparing 500 ml of Wash Buffer, dilute 20 ml of Wash Buffer (25X) into 480 ml of distilled water. Standard: Reconstitute the standard with standard diluent according to the label instructions. This reconstitution produces a stock solution. Let the standard stand for a minimum of 15 minutes with gentle agitation prior to making dilutions. Detection Reagent A and B: Dilute to the working concentration using Assay Diluent A and B, respectively.</w:t>
      </w:r>
    </w:p>
    <w:p>
      <w:pPr>
        <w:spacing w:line="276" w:lineRule="auto"/>
      </w:pPr>
    </w:p>
    <w:p>
      <w:pPr>
        <w:spacing w:line="276" w:lineRule="auto"/>
      </w:pPr>
      <w:r>
        <w:rPr>
          <w:rFonts w:ascii="Calibri" w:hAnsi="Calibri"/>
        </w:rPr>
        <w:t>DILUTION OF STANDARD</w:t>
      </w:r>
    </w:p>
    <w:p>
      <w:pPr>
        <w:spacing w:line="276" w:lineRule="auto"/>
      </w:pPr>
    </w:p>
    <w:p>
      <w:pPr>
        <w:spacing w:line="276" w:lineRule="auto"/>
      </w:pPr>
      <w:r>
        <w:rPr>
          <w:rFonts w:ascii="Calibri" w:hAnsi="Calibri"/>
        </w:rPr>
        <w:t>1. Label 7 tubes, one for each standard: 4000 pg/ml, 2000 pg/ml, 1000 pg/ml, 500 pg/ml, 250 pg/ml, 125 pg/ml, and 62.5 pg/ml. 2. Pipette 300 µl of the Sample Diluent into each tube. 3. Pipette 300 µl of the reconstituted standard into the first tube and mix to create the 4000 pg/ml standard. 4. Pipette 300 µl from the 4000 pg/ml tube into the second tube and mix to create the 2000 pg/ml standard. 5. Continue this process for the remaining tubes. 6. The Sample Diluent serves as the zero standard (0 pg/ml).</w:t>
      </w:r>
    </w:p>
    <w:p>
      <w:pPr>
        <w:spacing w:line="276" w:lineRule="auto"/>
      </w:pPr>
    </w:p>
    <w:p>
      <w:pPr>
        <w:spacing w:line="276" w:lineRule="auto"/>
      </w:pPr>
      <w:r>
        <w:rPr>
          <w:rFonts w:ascii="Calibri" w:hAnsi="Calibri"/>
        </w:rPr>
        <w:t>PREPARATIONS BEFORE ASSAY</w:t>
      </w:r>
    </w:p>
    <w:p>
      <w:pPr>
        <w:spacing w:line="276" w:lineRule="auto"/>
      </w:pPr>
    </w:p>
    <w:p>
      <w:pPr>
        <w:spacing w:line="276" w:lineRule="auto"/>
      </w:pPr>
      <w:r>
        <w:rPr>
          <w:rFonts w:ascii="Calibri" w:hAnsi="Calibri"/>
        </w:rPr>
        <w:t>1. Prepare all reagents, samples, and standards according to the instructions.</w:t>
      </w:r>
    </w:p>
    <w:p>
      <w:pPr>
        <w:spacing w:line="276" w:lineRule="auto"/>
      </w:pPr>
    </w:p>
    <w:p>
      <w:pPr>
        <w:pStyle w:val="Heading2"/>
        <w:spacing w:line="276" w:lineRule="auto"/>
      </w:pPr>
      <w:r>
        <w:rPr>
          <w:rFonts w:ascii="Calibri" w:hAnsi="Calibri"/>
        </w:rPr>
        <w:t>OVERVIEW</w:t>
      </w:r>
    </w:p>
    <w:p>
      <w:pPr>
        <w:pStyle w:val="Heading2"/>
        <w:spacing w:line="276" w:lineRule="auto"/>
      </w:pPr>
      <w:r>
        <w:rPr>
          <w:rFonts w:ascii="Calibri" w:hAnsi="Calibri"/>
        </w:rPr>
        <w:t>BACKGROUND</w:t>
      </w:r>
    </w:p>
    <w:p>
      <w:pPr>
        <w:pStyle w:val="Normal"/>
        <w:spacing w:line="276" w:lineRule="auto"/>
      </w:pPr>
      <w:r>
        <w:rPr>
          <w:rFonts w:ascii="Calibri" w:hAnsi="Calibri"/>
        </w:rPr>
        <w:t>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w:t>
      </w:r>
    </w:p>
    <w:p>
      <w:pPr>
        <w:pStyle w:val="Normal"/>
        <w:spacing w:line="276" w:lineRule="auto"/>
      </w:pPr>
      <w:r>
        <w:rPr>
          <w:rFonts w:ascii="Calibri" w:hAnsi="Calibri"/>
        </w:rPr>
        <w:t>2. Confirm that you have the appropriate non-supplied equipment available.</w:t>
      </w:r>
    </w:p>
    <w:p>
      <w:pPr>
        <w:pStyle w:val="Normal"/>
        <w:spacing w:line="276" w:lineRule="auto"/>
      </w:pPr>
      <w:r>
        <w:rPr>
          <w:rFonts w:ascii="Calibri" w:hAnsi="Calibri"/>
        </w:rPr>
        <w:t>3. Spin down all components to the bottom of the tube before opening.</w:t>
      </w:r>
    </w:p>
    <w:p>
      <w:pPr>
        <w:pStyle w:val="Normal"/>
        <w:spacing w:line="276" w:lineRule="auto"/>
      </w:pPr>
      <w:r>
        <w:rPr>
          <w:rFonts w:ascii="Calibri" w:hAnsi="Calibri"/>
        </w:rPr>
        <w:t>4. Don't let the 96-well plate dry out as this will inactivate active components.</w:t>
      </w:r>
    </w:p>
    <w:p>
      <w:pPr>
        <w:pStyle w:val="Normal"/>
        <w:spacing w:line="276" w:lineRule="auto"/>
      </w:pPr>
      <w:r>
        <w:rPr>
          <w:rFonts w:ascii="Calibri" w:hAnsi="Calibri"/>
        </w:rPr>
        <w:t>5. Don't reuse tips and tubes to avoid cross-contamination. Avoid using reagents from different batches.</w:t>
      </w:r>
    </w:p>
    <w:p>
      <w:pPr>
        <w:pStyle w:val="Heading2"/>
        <w:spacing w:line="276" w:lineRule="auto"/>
      </w:pPr>
      <w:r>
        <w:rPr>
          <w:rFonts w:ascii="Calibri" w:hAnsi="Calibri"/>
        </w:rPr>
        <w:t>SAMPLE PREPARATION AND STORAGE</w:t>
      </w:r>
    </w:p>
    <w:p>
      <w:pPr>
        <w:pStyle w:val="Normal"/>
        <w:spacing w:line="276" w:lineRule="auto"/>
      </w:pPr>
      <w:r>
        <w:rPr>
          <w:rFonts w:ascii="Calibri" w:hAnsi="Calibri"/>
        </w:rPr>
        <w:t>When first using a kit, appropriate validation steps should be taken before using valuable samples. Confirm that the kit adequately detects the target antigen in your intended sample type(s) by running control samples. If the concentration of target antigen within your samples is unknown, a preliminary experiment should be run using a control sample to determine the optimal sample dilution (see Sample Preparation). 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w:t>
      </w:r>
    </w:p>
    <w:p>
      <w:pPr>
        <w:pStyle w:val="Heading2"/>
        <w:spacing w:line="276" w:lineRule="auto"/>
      </w:pPr>
      <w:r>
        <w:rPr>
          <w:rFonts w:ascii="Calibri" w:hAnsi="Calibri"/>
        </w:rPr>
        <w:t>SAMPLE COLLECTION NOTES</w:t>
      </w:r>
    </w:p>
    <w:p>
      <w:pPr>
        <w:pStyle w:val="Normal"/>
        <w:spacing w:line="276" w:lineRule="auto"/>
      </w:pPr>
      <w:r>
        <w:rPr>
          <w:rFonts w:ascii="Calibri" w:hAnsi="Calibri"/>
        </w:rPr>
        <w:t>Innovative Research recommends that samples are used immediately upon preparation. Avoid repeated freeze/thaw cycles for all samples. In the event that a sample type not listed above is intended to be used with the kit, it is recommended that the customer conduct validation experiments in order to be confident in the results. Due to chemical interference, the use of tissue or cell extraction samples prepared by chemical lysis buffers may result in inaccurate results. Due to factors including cell viability, cell number, or sampling time, samples from cell culture supernatant may not be detected by the kit. Samples should be brought to room temperature (18-25°C) before performing the assay without the use of extra heating.</w:t>
      </w:r>
    </w:p>
    <w:p>
      <w:pPr>
        <w:pStyle w:val="Heading2"/>
        <w:spacing w:line="276" w:lineRule="auto"/>
      </w:pPr>
      <w:r>
        <w:rPr>
          <w:rFonts w:ascii="Calibri" w:hAnsi="Calibri"/>
        </w:rPr>
        <w:t>SAMPLE DILUTION GUIDELINE</w:t>
      </w:r>
    </w:p>
    <w:p>
      <w:pPr>
        <w:pStyle w:val="Normal"/>
        <w:spacing w:line="276" w:lineRule="auto"/>
      </w:pPr>
      <w:r>
        <w:rPr>
          <w:rFonts w:ascii="Calibri" w:hAnsi="Calibri"/>
        </w:rPr>
        <w:t>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 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 Kit Components/Materials Provided Required Materials That Are Not Supplied Microplate reader capable of reading absorbance at 450 nm. Incubator. Automated plate washer (optional) Pipettes and pipette tips capable of precisely dispensing 0.5 µl through 1 ml volumes of aqueous solutions. Multichannel pipettes are recommended for a large numbers of samples. Deionized or distilled water. 500 ml graduated cylinders. Test tubes for dilution. Mouse Klk1 ELISA Standard Curve Example The highest O.D. value might be higher or lower than in the example. The experiment result is statistically significant if the highest O.D. value is no less than 1.0. Mouse KLK1 ELISA Kit standard curve A standard curve is provided for demonstration only. A standard curve should be generated for each set of samples assayed. Intra/Inter-Assay Variability Innovative Research spends great efforts in documenting lot-to-lot variability and ensuring our assay kits produce robust data that are reproducible. Intra-Assay Precision (Precision within an assay): Three samples of known concentration were tested on one plate to assess intra-assay precision. Inter-Assay Precision (Precision across assays): Three samples of known concentration were tested in separate assays to assess inter-assay precision. Reproducibility We ensure reproducibility by testing three samples with differing concentrations of Klk1 in ELISA kits from four different production batches/lots. *number of samples for each test n=16. Preparation Before The Experiment Dilution of Mouse Klk1 Standard Number tubes 1-8. Final Concentrations to be Tube # 1: 4,000.00 pg/ml, # 2: 2,000.00 pg/ml, # 3: 1,000.00 pg/ml, # 4: 500.00 pg/ml, # 5: 250.00 pg/ml, # 6: 125.00 pg/ml, # 7: 62.50 pg/ml, # 8: Sample Diluent serves as the zero standard (0 pg/ml). To generate standard #1, add 400 µl of the reconstituted standard stock solution of 10 ng/ml and 600 µl of sample diluent to tube #1 for a final volume of 1000 µl. Mix thoroughly. Add 300 µl of sample diluent to tubes # 2-7. To generate standard # 2, add 300 µl of standard # 1 from tube # 1 to tube # 2 for a final volume of 600 µl. Mix thoroughly. To generate standard # 3, add 300 µl of standard # 2 from tube # 2 to tube # 3 for a final volume of 600 µl. Mix thoroughly. Continue the serial dilution for tube # 4-7. Sample Preparation and Storage These sample collection instructions and storage conditions are intended as a general guideline, and the sample stability has not been evaluated. Sample dilution ratios should be determined by a pilot study (run a serial dilution of samples and see which dilution ratio results in the idea O.D., near the middle of the standard range). In general, high concentration samples can be dilutioned by 1:100, mid concentration samples 1:10, low concentration samples 1:2 or neat. Sample Collection Notes Innovative Research recommends that samples are used immediately upon preparation. Avoid repeated freeze/thaw cycles for all samples. In the event that a sample type not listed above is intended to be used with the kit, it is recommended that the customer conduct validation experiments in order to be confident in the results. Due to chemical interference, the use of tissue or cell extraction samples prepared by chemical lysis buffers may result in inaccurate results. Due to factors including cell viability, cell number, or sampling time, samples from cell culture supernatant may not be detected by the kit. Samples should be brought to room temperature (18-25°C) before performing the assay without the use of extra heating. Sample concentrations should be predicted before being used in the assay. If the sample concentration is not within the range of the standard curve, users must determine the optimal sample dilutions for their particular experiments. Innovative Research is responsible for the quality and performance of the kit components but is NOT responsible for the performance of customer supplied samples used with the kit. Sample Dilution Guideline The user needs to estimate the concentration of the target protein in the sample and use an appropriate dilution factor so that the diluted target protein concentration falls in the range of O.D. values of the standard curve. Dilute the sample using provided diluent buffer. Pilot tests using a dilution series of each sample type are necessary. The sample must be mixed thoroughly with Sample Diluent.</w:t>
      </w:r>
    </w:p>
    <w:p>
      <w:pPr>
        <w:spacing w:line="276" w:lineRule="auto"/>
      </w:pPr>
      <w:r>
        <w:rPr>
          <w:rFonts w:ascii="Calibri" w:hAnsi="Calibri"/>
        </w:rPr>
        <w:t>These sample collection instructions and storage conditions are intended as a general guideline. Sample stability has not been evaluated.</w:t>
      </w:r>
    </w:p>
    <w:p>
      <w:pPr>
        <w:spacing w:line="276" w:lineRule="auto"/>
      </w:pPr>
    </w:p>
    <w:p>
      <w:pPr>
        <w:pStyle w:val="Heading3"/>
        <w:spacing w:line="276" w:lineRule="auto"/>
      </w:pPr>
      <w:r>
        <w:rPr>
          <w:rFonts w:ascii="Calibri" w:hAnsi="Calibri"/>
        </w:rPr>
        <w:t>SAMPLE COLLECTION NOTES</w:t>
      </w:r>
    </w:p>
    <w:p>
      <w:pPr>
        <w:spacing w:line="276" w:lineRule="auto"/>
      </w:pPr>
      <w:r>
        <w:rPr>
          <w:rFonts w:ascii="Calibri" w:hAnsi="Calibri"/>
        </w:rPr>
        <w:t>Innovative Research recommends that samples are used immediately upon preparation.</w:t>
      </w:r>
    </w:p>
    <w:p>
      <w:pPr>
        <w:spacing w:line="276" w:lineRule="auto"/>
      </w:pPr>
      <w:r>
        <w:rPr>
          <w:rFonts w:ascii="Calibri" w:hAnsi="Calibri"/>
        </w:rPr>
        <w:t>Avoid repeated freeze-thaw cycles for all samples.</w:t>
      </w:r>
    </w:p>
    <w:p>
      <w:pPr>
        <w:spacing w:line="276" w:lineRule="auto"/>
      </w:pPr>
      <w:r>
        <w:rPr>
          <w:rFonts w:ascii="Calibri" w:hAnsi="Calibri"/>
        </w:rPr>
        <w:t>Samples should be brought to room temperature (18-25°C) before performing the assay.</w:t>
      </w:r>
    </w:p>
    <w:p>
      <w:pPr>
        <w:spacing w:line="276" w:lineRule="auto"/>
      </w:pPr>
    </w:p>
    <w:tbl>
      <w:tblPr>
        <w:tblStyle w:val="TableGrid"/>
        <w:tblW w:type="auto" w:w="0"/>
        <w:tblLook w:firstColumn="1" w:firstRow="1" w:lastColumn="0" w:lastRow="0" w:noHBand="0" w:noVBand="1" w:val="04A0"/>
      </w:tblPr>
      <w:tblGrid>
        <w:gridCol w:w="4320"/>
        <w:gridCol w:w="4320"/>
      </w:tblGrid>
      <w:tr>
        <w:tc>
          <w:tcPr>
            <w:tcW w:type="dxa" w:w="4320"/>
          </w:tcPr>
          <w:p>
            <w:pPr>
              <w:spacing w:line="276" w:lineRule="auto"/>
            </w:pPr>
            <w:r>
              <w:rPr>
                <w:rFonts w:ascii="Calibri" w:hAnsi="Calibri"/>
              </w:rPr>
              <w:t>Sample Type</w:t>
            </w:r>
          </w:p>
        </w:tc>
        <w:tc>
          <w:tcPr>
            <w:tcW w:type="dxa" w:w="4320"/>
          </w:tcPr>
          <w:p>
            <w:pPr>
              <w:spacing w:line="276" w:lineRule="auto"/>
            </w:pPr>
            <w:r>
              <w:rPr>
                <w:rFonts w:ascii="Calibri" w:hAnsi="Calibri"/>
              </w:rPr>
              <w:t>Collection and Handling</w:t>
            </w:r>
          </w:p>
        </w:tc>
      </w:tr>
      <w:tr>
        <w:tc>
          <w:tcPr>
            <w:tcW w:type="dxa" w:w="4320"/>
          </w:tcPr>
          <w:p>
            <w:pPr>
              <w:spacing w:line="276" w:lineRule="auto"/>
            </w:pPr>
            <w:r>
              <w:rPr>
                <w:rFonts w:ascii="Calibri" w:hAnsi="Calibri"/>
              </w:rPr>
              <w:t>Cell Culture Supernatant</w:t>
            </w:r>
          </w:p>
        </w:tc>
        <w:tc>
          <w:tcPr>
            <w:tcW w:type="dxa" w:w="4320"/>
          </w:tcPr>
          <w:p>
            <w:pPr>
              <w:spacing w:line="276" w:lineRule="auto"/>
            </w:pPr>
            <w:r>
              <w:rPr>
                <w:rFonts w:ascii="Calibri" w:hAnsi="Calibri"/>
              </w:rPr>
              <w:t>Centrifuge at 1000 × g for 10 minutes to remove insoluble particulates. Collect supernatant.</w:t>
            </w:r>
          </w:p>
        </w:tc>
      </w:tr>
      <w:tr>
        <w:tc>
          <w:tcPr>
            <w:tcW w:type="dxa" w:w="4320"/>
          </w:tcPr>
          <w:p>
            <w:pPr>
              <w:spacing w:line="276" w:lineRule="auto"/>
            </w:pPr>
            <w:r>
              <w:rPr>
                <w:rFonts w:ascii="Calibri" w:hAnsi="Calibri"/>
              </w:rPr>
              <w:t>Serum</w:t>
            </w:r>
          </w:p>
        </w:tc>
        <w:tc>
          <w:tcPr>
            <w:tcW w:type="dxa" w:w="4320"/>
          </w:tcPr>
          <w:p>
            <w:pPr>
              <w:spacing w:line="276" w:lineRule="auto"/>
            </w:pPr>
            <w:r>
              <w:rPr>
                <w:rFonts w:ascii="Calibri" w:hAnsi="Calibri"/>
              </w:rPr>
              <w:t>Use a serum separator tube (SST). Allow samples to clot for 30 minutes before centrifugation for 15 minutes at approximately 1000 × g. Remove serum and assay immediately or store samples at -20°C.</w:t>
            </w:r>
          </w:p>
        </w:tc>
      </w:tr>
      <w:tr>
        <w:tc>
          <w:tcPr>
            <w:tcW w:type="dxa" w:w="4320"/>
          </w:tcPr>
          <w:p>
            <w:pPr>
              <w:spacing w:line="276" w:lineRule="auto"/>
            </w:pPr>
            <w:r>
              <w:rPr>
                <w:rFonts w:ascii="Calibri" w:hAnsi="Calibri"/>
              </w:rPr>
              <w:t>Plasma</w:t>
            </w:r>
          </w:p>
        </w:tc>
        <w:tc>
          <w:tcPr>
            <w:tcW w:type="dxa" w:w="4320"/>
          </w:tcPr>
          <w:p>
            <w:pPr>
              <w:spacing w:line="276" w:lineRule="auto"/>
            </w:pPr>
            <w:r>
              <w:rPr>
                <w:rFonts w:ascii="Calibri" w:hAnsi="Calibri"/>
              </w:rPr>
              <w:t>Collect plasma using EDTA or heparin as an anticoagulant. Centrifuge samples for 15 minutes at 1000 × g within 30 minutes of collection. Store samples at -20°C.</w:t>
            </w:r>
          </w:p>
        </w:tc>
      </w:tr>
      <w:tr>
        <w:tc>
          <w:tcPr>
            <w:tcW w:type="dxa" w:w="4320"/>
          </w:tcPr>
          <w:p>
            <w:pPr>
              <w:spacing w:line="276" w:lineRule="auto"/>
            </w:pPr>
            <w:r>
              <w:rPr>
                <w:rFonts w:ascii="Calibri" w:hAnsi="Calibri"/>
              </w:rPr>
              <w:t>Cell Lysates</w:t>
            </w:r>
          </w:p>
        </w:tc>
        <w:tc>
          <w:tcPr>
            <w:tcW w:type="dxa" w:w="4320"/>
          </w:tcPr>
          <w:p>
            <w:pPr>
              <w:spacing w:line="276" w:lineRule="auto"/>
            </w:pPr>
            <w:r>
              <w:rPr>
                <w:rFonts w:ascii="Calibri" w:hAnsi="Calibri"/>
              </w:rPr>
              <w:t>Collect cells and rinse with ice-cold PBS. Homogenize at 1×10^7/ml in PBS with a protease inhibitor cocktail. Freeze/thaw 3 times. Centrifuge at 10,000×g for 10 min at 4°C. Aliquot the supernatant for testing and store at -80°C.</w:t>
            </w:r>
          </w:p>
        </w:tc>
      </w:tr>
    </w:tbl>
    <w:p>
      <w:pPr>
        <w:pStyle w:val="Heading2"/>
        <w:spacing w:line="276" w:lineRule="auto"/>
      </w:pPr>
      <w:r>
        <w:rPr>
          <w:rFonts w:ascii="Calibri" w:hAnsi="Calibri"/>
        </w:rPr>
        <w:t>SAMPLE DILUTION GUIDELINE</w:t>
      </w:r>
    </w:p>
    <w:p>
      <w:pPr>
        <w:spacing w:line="276" w:lineRule="auto"/>
      </w:pPr>
      <w:r>
        <w:rPr>
          <w:rFonts w:ascii="Calibri" w:hAnsi="Calibri"/>
        </w:rPr>
        <w:t>To inspect the validity of experimental operation and the appropriateness of sample dilution proportion, it is recommended to test all plates with the provided samples. Dilute the sample so the expected concentration falls near the middle of the standard curve range.</w:t>
      </w:r>
    </w:p>
    <w:p>
      <w:pPr>
        <w:pStyle w:val="Normal"/>
        <w:spacing w:line="276" w:lineRule="auto"/>
      </w:pPr>
      <w:r>
        <w:rPr>
          <w:rFonts w:ascii="Calibri" w:hAnsi="Calibri"/>
        </w:rPr>
        <w:t>1.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pStyle w:val="Heading2"/>
        <w:spacing w:line="276" w:lineRule="auto"/>
      </w:pPr>
      <w:r>
        <w:rPr>
          <w:rFonts w:ascii="Calibri" w:hAnsi="Calibri"/>
        </w:rPr>
        <w:t>TYPICAL DATA / STANDARD CURVE</w:t>
      </w:r>
    </w:p>
    <w:p>
      <w:pPr>
        <w:pStyle w:val="Normal"/>
        <w:spacing w:line="276" w:lineRule="auto"/>
      </w:pPr>
      <w:r>
        <w:rPr>
          <w:rFonts w:ascii="Calibri" w:hAnsi="Calibri"/>
        </w:rPr>
        <w:t>This standard curve is for demonstration only. A standard curve must be run with each assay.</w:t>
      </w:r>
    </w:p>
    <w:p>
      <w:pPr>
        <w:pStyle w:val="Heading2"/>
        <w:spacing w:line="276" w:lineRule="auto"/>
      </w:pPr>
      <w:r>
        <w:rPr>
          <w:rFonts w:ascii="Calibri" w:hAnsi="Calibri"/>
        </w:rPr>
        <w:t>INTRA/INTER-ASSAY VARIABILITY</w:t>
      </w:r>
    </w:p>
    <w:p>
      <w:pPr>
        <w:pStyle w:val="Normal"/>
        <w:spacing w:line="276" w:lineRule="auto"/>
      </w:pPr>
      <w:r>
        <w:rPr>
          <w:rFonts w:ascii="Calibri" w:hAnsi="Calibri"/>
        </w:rPr>
        <w:t>Three samples of known concentration were tested on one plate to assess intra-assay precision.</w:t>
      </w:r>
    </w:p>
    <w:p>
      <w:pPr>
        <w:pStyle w:val="Normal"/>
        <w:spacing w:line="276" w:lineRule="auto"/>
      </w:pPr>
      <w:r>
        <w:rPr>
          <w:rFonts w:ascii="Calibri" w:hAnsi="Calibri"/>
        </w:rPr>
        <w:t>Three samples of known concentration were tested in separate assays to assess inter-assay precision.</w:t>
      </w:r>
    </w:p>
    <w:p>
      <w:pPr>
        <w:pStyle w:val="Heading2"/>
        <w:spacing w:line="276" w:lineRule="auto"/>
      </w:pPr>
      <w:r>
        <w:rPr>
          <w:rFonts w:ascii="Calibri" w:hAnsi="Calibri"/>
        </w:rPr>
        <w:t>REPRODUCIBILITY</w:t>
      </w:r>
    </w:p>
    <w:p>
      <w:pPr>
        <w:pStyle w:val="Normal"/>
        <w:spacing w:line="276" w:lineRule="auto"/>
      </w:pPr>
      <w:r>
        <w:rPr>
          <w:rFonts w:ascii="Calibri" w:hAnsi="Calibri"/>
        </w:rPr>
        <w:t>Samples were tested in four different assay lots to assess reproducibility.</w:t>
      </w:r>
    </w:p>
    <w:p>
      <w:pPr>
        <w:pStyle w:val="Heading2"/>
        <w:spacing w:line="276" w:lineRule="auto"/>
      </w:pPr>
      <w:r>
        <w:rPr>
          <w:rFonts w:ascii="Calibri" w:hAnsi="Calibri"/>
        </w:rPr>
        <w:t>DATA ANALYSIS</w:t>
      </w:r>
    </w:p>
    <w:p>
      <w:pPr>
        <w:pStyle w:val="Normal"/>
        <w:spacing w:line="276" w:lineRule="auto"/>
      </w:pPr>
      <w:r>
        <w:rPr>
          <w:rFonts w:ascii="Calibri" w:hAnsi="Calibri"/>
        </w:rPr>
        <w:t>To analyze using manual methods, follow the process below: Average the duplicate readings for each standard, sample, and control. 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 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Mouse KLK1/Kallikrein 1 ELISA Kit</w:t>
      </w:r>
    </w:p>
    <w:p>
      <w:pPr>
        <w:pStyle w:val="Heading2"/>
        <w:spacing w:line="276" w:lineRule="auto"/>
      </w:pPr>
      <w:r>
        <w:rPr>
          <w:rFonts w:ascii="Calibri" w:hAnsi="Calibri"/>
        </w:rPr>
        <w:t>DISCLAIMER</w:t>
      </w:r>
    </w:p>
    <w:p>
      <w:pPr>
        <w:pStyle w:val="Normal"/>
        <w:spacing w:line="276" w:lineRule="auto"/>
      </w:pPr>
      <w:r>
        <w:rPr>
          <w:rFonts w:ascii="Calibri" w:hAnsi="Calibri"/>
        </w:rP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tbl>
      <w:tblPr>
        <w:tblStyle w:val="TableGrid"/>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pPr>
              <w:spacing w:line="276" w:lineRule="auto"/>
            </w:pPr>
            <w:r>
              <w:rPr>
                <w:rFonts w:ascii="Calibri" w:hAnsi="Calibri"/>
              </w:rPr>
              <w:t>Concentration (pg/ml)</w:t>
            </w:r>
          </w:p>
        </w:tc>
        <w:tc>
          <w:tcPr>
            <w:tcW w:type="dxa" w:w="960"/>
          </w:tcPr>
          <w:p>
            <w:pPr>
              <w:spacing w:line="276" w:lineRule="auto"/>
            </w:pPr>
            <w:r>
              <w:rPr>
                <w:rFonts w:ascii="Calibri" w:hAnsi="Calibri"/>
              </w:rPr>
              <w:t>0.028</w:t>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r>
      <w:tr>
        <w:tc>
          <w:tcPr>
            <w:tcW w:type="dxa" w:w="960"/>
          </w:tcPr>
          <w:p>
            <w:pPr>
              <w:spacing w:line="276" w:lineRule="auto"/>
            </w:pPr>
            <w:r>
              <w:rPr>
                <w:rFonts w:ascii="Calibri" w:hAnsi="Calibri"/>
              </w:rPr>
              <w:t>O.D.</w:t>
            </w:r>
          </w:p>
        </w:tc>
        <w:tc>
          <w:tcPr>
            <w:tcW w:type="dxa" w:w="960"/>
          </w:tcPr>
          <w:p>
            <w:pPr>
              <w:spacing w:line="276" w:lineRule="auto"/>
            </w:pPr>
            <w:r>
              <w:rPr>
                <w:rFonts w:ascii="Calibri" w:hAnsi="Calibri"/>
              </w:rPr>
              <w:t>0.061</w:t>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r>
    </w:tbl>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spacing w:line="276" w:lineRule="auto"/>
            </w:pPr>
            <w:r>
              <w:rPr>
                <w:rFonts w:ascii="Calibri" w:hAnsi="Calibri"/>
              </w:rPr>
              <w:t>Sample</w:t>
            </w:r>
          </w:p>
        </w:tc>
        <w:tc>
          <w:tcPr>
            <w:tcW w:type="dxa" w:w="1728"/>
          </w:tcPr>
          <w:p>
            <w:pPr>
              <w:spacing w:line="276" w:lineRule="auto"/>
            </w:pPr>
            <w:r>
              <w:rPr>
                <w:rFonts w:ascii="Calibri" w:hAnsi="Calibri"/>
              </w:rPr>
              <w:t>n</w:t>
            </w:r>
          </w:p>
        </w:tc>
        <w:tc>
          <w:tcPr>
            <w:tcW w:type="dxa" w:w="1728"/>
          </w:tcPr>
          <w:p>
            <w:pPr>
              <w:spacing w:line="276" w:lineRule="auto"/>
            </w:pPr>
            <w:r>
              <w:rPr>
                <w:rFonts w:ascii="Calibri" w:hAnsi="Calibri"/>
              </w:rPr>
              <w:t>Mean (pg/ml)</w:t>
            </w:r>
          </w:p>
        </w:tc>
        <w:tc>
          <w:tcPr>
            <w:tcW w:type="dxa" w:w="1728"/>
          </w:tcPr>
          <w:p>
            <w:pPr>
              <w:spacing w:line="276" w:lineRule="auto"/>
            </w:pPr>
            <w:r>
              <w:rPr>
                <w:rFonts w:ascii="Calibri" w:hAnsi="Calibri"/>
              </w:rPr>
              <w:t>Standard Deviation</w:t>
            </w:r>
          </w:p>
        </w:tc>
        <w:tc>
          <w:tcPr>
            <w:tcW w:type="dxa" w:w="1728"/>
          </w:tcPr>
          <w:p>
            <w:pPr>
              <w:spacing w:line="276" w:lineRule="auto"/>
            </w:pPr>
            <w:r>
              <w:rPr>
                <w:rFonts w:ascii="Calibri" w:hAnsi="Calibri"/>
              </w:rPr>
              <w:t>CV (%)</w:t>
            </w:r>
          </w:p>
        </w:tc>
      </w:tr>
      <w:tr>
        <w:tc>
          <w:tcPr>
            <w:tcW w:type="dxa" w:w="1728"/>
          </w:tcPr>
          <w:p>
            <w:pPr>
              <w:spacing w:line="276" w:lineRule="auto"/>
            </w:pPr>
            <w:r>
              <w:rPr>
                <w:rFonts w:ascii="Calibri" w:hAnsi="Calibri"/>
              </w:rPr>
              <w:t>Sample 1</w:t>
            </w:r>
          </w:p>
        </w:tc>
        <w:tc>
          <w:tcPr>
            <w:tcW w:type="dxa" w:w="1728"/>
          </w:tcPr>
          <w:p>
            <w:pPr>
              <w:spacing w:line="276" w:lineRule="auto"/>
            </w:pPr>
            <w:r>
              <w:rPr>
                <w:rFonts w:ascii="Calibri" w:hAnsi="Calibri"/>
              </w:rPr>
              <w:t>16</w:t>
            </w:r>
          </w:p>
        </w:tc>
        <w:tc>
          <w:tcPr>
            <w:tcW w:type="dxa" w:w="1728"/>
          </w:tcPr>
          <w:p>
            <w:pPr>
              <w:spacing w:line="276" w:lineRule="auto"/>
            </w:pPr>
            <w:r>
              <w:rPr>
                <w:rFonts w:ascii="Calibri" w:hAnsi="Calibri"/>
              </w:rPr>
              <w:t>4.6%</w:t>
            </w:r>
          </w:p>
        </w:tc>
        <w:tc>
          <w:tcPr>
            <w:tcW w:type="dxa" w:w="1728"/>
          </w:tcPr>
          <w:p>
            <w:pPr>
              <w:spacing w:line="276" w:lineRule="auto"/>
            </w:pPr>
            <w:r>
              <w:rPr>
                <w:rFonts w:ascii="Calibri" w:hAnsi="Calibri"/>
              </w:rPr>
              <w:t>10.15</w:t>
            </w:r>
          </w:p>
        </w:tc>
        <w:tc>
          <w:tcPr>
            <w:tcW w:type="dxa" w:w="1728"/>
          </w:tcPr>
          <w:p>
            <w:pPr>
              <w:spacing w:line="276" w:lineRule="auto"/>
            </w:pPr>
            <w:r>
              <w:rPr>
                <w:rFonts w:ascii="Calibri" w:hAnsi="Calibri"/>
              </w:rPr>
              <w:t>7.0%</w:t>
            </w:r>
          </w:p>
        </w:tc>
      </w:tr>
      <w:tr>
        <w:tc>
          <w:tcPr>
            <w:tcW w:type="dxa" w:w="1728"/>
          </w:tcPr>
          <w:p>
            <w:pPr>
              <w:spacing w:line="276" w:lineRule="auto"/>
            </w:pPr>
            <w:r>
              <w:rPr>
                <w:rFonts w:ascii="Calibri" w:hAnsi="Calibri"/>
              </w:rPr>
              <w:t>Sample 2</w:t>
            </w:r>
          </w:p>
        </w:tc>
        <w:tc>
          <w:tcPr>
            <w:tcW w:type="dxa" w:w="1728"/>
          </w:tcPr>
          <w:p>
            <w:pPr>
              <w:spacing w:line="276" w:lineRule="auto"/>
            </w:pPr>
            <w:r>
              <w:rPr>
                <w:rFonts w:ascii="Calibri" w:hAnsi="Calibri"/>
              </w:rPr>
              <w:t>16</w:t>
            </w:r>
          </w:p>
        </w:tc>
        <w:tc>
          <w:tcPr>
            <w:tcW w:type="dxa" w:w="1728"/>
          </w:tcPr>
          <w:p>
            <w:pPr>
              <w:spacing w:line="276" w:lineRule="auto"/>
            </w:pPr>
            <w:r>
              <w:rPr>
                <w:rFonts w:ascii="Calibri" w:hAnsi="Calibri"/>
              </w:rPr>
              <w:t>5.1%</w:t>
            </w:r>
          </w:p>
        </w:tc>
        <w:tc>
          <w:tcPr>
            <w:tcW w:type="dxa" w:w="1728"/>
          </w:tcPr>
          <w:p>
            <w:pPr>
              <w:spacing w:line="276" w:lineRule="auto"/>
            </w:pPr>
            <w:r>
              <w:rPr>
                <w:rFonts w:ascii="Calibri" w:hAnsi="Calibri"/>
              </w:rPr>
              <w:t>11.23</w:t>
            </w:r>
          </w:p>
        </w:tc>
        <w:tc>
          <w:tcPr>
            <w:tcW w:type="dxa" w:w="1728"/>
          </w:tcPr>
          <w:p>
            <w:pPr>
              <w:spacing w:line="276" w:lineRule="auto"/>
            </w:pPr>
            <w:r>
              <w:rPr>
                <w:rFonts w:ascii="Calibri" w:hAnsi="Calibri"/>
              </w:rPr>
              <w:t>7.5%</w:t>
            </w:r>
          </w:p>
        </w:tc>
      </w:tr>
      <w:tr>
        <w:tc>
          <w:tcPr>
            <w:tcW w:type="dxa" w:w="1728"/>
          </w:tcPr>
          <w:p>
            <w:pPr>
              <w:spacing w:line="276" w:lineRule="auto"/>
            </w:pPr>
            <w:r>
              <w:rPr>
                <w:rFonts w:ascii="Calibri" w:hAnsi="Calibri"/>
              </w:rPr>
              <w:t>Sample 3</w:t>
            </w:r>
          </w:p>
        </w:tc>
        <w:tc>
          <w:tcPr>
            <w:tcW w:type="dxa" w:w="1728"/>
          </w:tcPr>
          <w:p>
            <w:pPr>
              <w:spacing w:line="276" w:lineRule="auto"/>
            </w:pPr>
            <w:r>
              <w:rPr>
                <w:rFonts w:ascii="Calibri" w:hAnsi="Calibri"/>
              </w:rPr>
              <w:t>16</w:t>
            </w:r>
          </w:p>
        </w:tc>
        <w:tc>
          <w:tcPr>
            <w:tcW w:type="dxa" w:w="1728"/>
          </w:tcPr>
          <w:p>
            <w:pPr>
              <w:spacing w:line="276" w:lineRule="auto"/>
            </w:pPr>
            <w:r>
              <w:rPr>
                <w:rFonts w:ascii="Calibri" w:hAnsi="Calibri"/>
              </w:rPr>
              <w:t>4.8%</w:t>
            </w:r>
          </w:p>
        </w:tc>
        <w:tc>
          <w:tcPr>
            <w:tcW w:type="dxa" w:w="1728"/>
          </w:tcPr>
          <w:p>
            <w:pPr>
              <w:spacing w:line="276" w:lineRule="auto"/>
            </w:pPr>
            <w:r>
              <w:rPr>
                <w:rFonts w:ascii="Calibri" w:hAnsi="Calibri"/>
              </w:rPr>
              <w:t>9.88</w:t>
            </w:r>
          </w:p>
        </w:tc>
        <w:tc>
          <w:tcPr>
            <w:tcW w:type="dxa" w:w="1728"/>
          </w:tcPr>
          <w:p>
            <w:pPr>
              <w:spacing w:line="276" w:lineRule="auto"/>
            </w:pPr>
            <w:r>
              <w:rPr>
                <w:rFonts w:ascii="Calibri" w:hAnsi="Calibri"/>
              </w:rPr>
              <w:t>6.7%</w:t>
            </w:r>
          </w:p>
        </w:tc>
      </w:tr>
    </w:tbl>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spacing w:line="276" w:lineRule="auto"/>
            </w:pPr>
            <w:r>
              <w:rPr>
                <w:rFonts w:ascii="Calibri" w:hAnsi="Calibri"/>
              </w:rPr>
              <w:t>Sample</w:t>
            </w:r>
          </w:p>
        </w:tc>
        <w:tc>
          <w:tcPr>
            <w:tcW w:type="dxa" w:w="1728"/>
          </w:tcPr>
          <w:p>
            <w:pPr>
              <w:spacing w:line="276" w:lineRule="auto"/>
            </w:pPr>
            <w:r>
              <w:rPr>
                <w:rFonts w:ascii="Calibri" w:hAnsi="Calibri"/>
              </w:rPr>
              <w:t>n</w:t>
            </w:r>
          </w:p>
        </w:tc>
        <w:tc>
          <w:tcPr>
            <w:tcW w:type="dxa" w:w="1728"/>
          </w:tcPr>
          <w:p>
            <w:pPr>
              <w:spacing w:line="276" w:lineRule="auto"/>
            </w:pPr>
            <w:r>
              <w:rPr>
                <w:rFonts w:ascii="Calibri" w:hAnsi="Calibri"/>
              </w:rPr>
              <w:t>Mean (pg/ml)</w:t>
            </w:r>
          </w:p>
        </w:tc>
        <w:tc>
          <w:tcPr>
            <w:tcW w:type="dxa" w:w="1728"/>
          </w:tcPr>
          <w:p>
            <w:pPr>
              <w:spacing w:line="276" w:lineRule="auto"/>
            </w:pPr>
            <w:r>
              <w:rPr>
                <w:rFonts w:ascii="Calibri" w:hAnsi="Calibri"/>
              </w:rPr>
              <w:t>Standard Deviation</w:t>
            </w:r>
          </w:p>
        </w:tc>
        <w:tc>
          <w:tcPr>
            <w:tcW w:type="dxa" w:w="1728"/>
          </w:tcPr>
          <w:p>
            <w:pPr>
              <w:spacing w:line="276" w:lineRule="auto"/>
            </w:pPr>
            <w:r>
              <w:rPr>
                <w:rFonts w:ascii="Calibri" w:hAnsi="Calibri"/>
              </w:rPr>
              <w:t>CV (%)</w:t>
            </w:r>
          </w:p>
        </w:tc>
      </w:tr>
      <w:tr>
        <w:tc>
          <w:tcPr>
            <w:tcW w:type="dxa" w:w="1728"/>
          </w:tcPr>
          <w:p>
            <w:pPr>
              <w:spacing w:line="276" w:lineRule="auto"/>
            </w:pPr>
            <w:r>
              <w:rPr>
                <w:rFonts w:ascii="Calibri" w:hAnsi="Calibri"/>
              </w:rPr>
              <w:t>Sample 1</w:t>
            </w:r>
          </w:p>
        </w:tc>
        <w:tc>
          <w:tcPr>
            <w:tcW w:type="dxa" w:w="1728"/>
          </w:tcPr>
          <w:p>
            <w:pPr>
              <w:spacing w:line="276" w:lineRule="auto"/>
            </w:pPr>
            <w:r>
              <w:rPr>
                <w:rFonts w:ascii="Calibri" w:hAnsi="Calibri"/>
              </w:rPr>
              <w:t>24</w:t>
            </w:r>
          </w:p>
        </w:tc>
        <w:tc>
          <w:tcPr>
            <w:tcW w:type="dxa" w:w="1728"/>
          </w:tcPr>
          <w:p>
            <w:pPr>
              <w:spacing w:line="276" w:lineRule="auto"/>
            </w:pPr>
            <w:r>
              <w:rPr>
                <w:rFonts w:ascii="Calibri" w:hAnsi="Calibri"/>
              </w:rPr>
              <w:t>7.8%</w:t>
            </w:r>
          </w:p>
        </w:tc>
        <w:tc>
          <w:tcPr>
            <w:tcW w:type="dxa" w:w="1728"/>
          </w:tcPr>
          <w:p>
            <w:pPr>
              <w:spacing w:line="276" w:lineRule="auto"/>
            </w:pPr>
            <w:r>
              <w:rPr>
                <w:rFonts w:ascii="Calibri" w:hAnsi="Calibri"/>
              </w:rPr>
              <w:t>13.05</w:t>
            </w:r>
          </w:p>
        </w:tc>
        <w:tc>
          <w:tcPr>
            <w:tcW w:type="dxa" w:w="1728"/>
          </w:tcPr>
          <w:p>
            <w:pPr>
              <w:spacing w:line="276" w:lineRule="auto"/>
            </w:pPr>
            <w:r>
              <w:rPr>
                <w:rFonts w:ascii="Calibri" w:hAnsi="Calibri"/>
              </w:rPr>
              <w:t>9.0%</w:t>
            </w:r>
          </w:p>
        </w:tc>
      </w:tr>
      <w:tr>
        <w:tc>
          <w:tcPr>
            <w:tcW w:type="dxa" w:w="1728"/>
          </w:tcPr>
          <w:p>
            <w:pPr>
              <w:spacing w:line="276" w:lineRule="auto"/>
            </w:pPr>
            <w:r>
              <w:rPr>
                <w:rFonts w:ascii="Calibri" w:hAnsi="Calibri"/>
              </w:rPr>
              <w:t>Sample 2</w:t>
            </w:r>
          </w:p>
        </w:tc>
        <w:tc>
          <w:tcPr>
            <w:tcW w:type="dxa" w:w="1728"/>
          </w:tcPr>
          <w:p>
            <w:pPr>
              <w:spacing w:line="276" w:lineRule="auto"/>
            </w:pPr>
            <w:r>
              <w:rPr>
                <w:rFonts w:ascii="Calibri" w:hAnsi="Calibri"/>
              </w:rPr>
              <w:t>24</w:t>
            </w:r>
          </w:p>
        </w:tc>
        <w:tc>
          <w:tcPr>
            <w:tcW w:type="dxa" w:w="1728"/>
          </w:tcPr>
          <w:p>
            <w:pPr>
              <w:spacing w:line="276" w:lineRule="auto"/>
            </w:pPr>
            <w:r>
              <w:rPr>
                <w:rFonts w:ascii="Calibri" w:hAnsi="Calibri"/>
              </w:rPr>
              <w:t>8.2%</w:t>
            </w:r>
          </w:p>
        </w:tc>
        <w:tc>
          <w:tcPr>
            <w:tcW w:type="dxa" w:w="1728"/>
          </w:tcPr>
          <w:p>
            <w:pPr>
              <w:spacing w:line="276" w:lineRule="auto"/>
            </w:pPr>
            <w:r>
              <w:rPr>
                <w:rFonts w:ascii="Calibri" w:hAnsi="Calibri"/>
              </w:rPr>
              <w:t>14.27</w:t>
            </w:r>
          </w:p>
        </w:tc>
        <w:tc>
          <w:tcPr>
            <w:tcW w:type="dxa" w:w="1728"/>
          </w:tcPr>
          <w:p>
            <w:pPr>
              <w:spacing w:line="276" w:lineRule="auto"/>
            </w:pPr>
            <w:r>
              <w:rPr>
                <w:rFonts w:ascii="Calibri" w:hAnsi="Calibri"/>
              </w:rPr>
              <w:t>9.6%</w:t>
            </w:r>
          </w:p>
        </w:tc>
      </w:tr>
      <w:tr>
        <w:tc>
          <w:tcPr>
            <w:tcW w:type="dxa" w:w="1728"/>
          </w:tcPr>
          <w:p>
            <w:pPr>
              <w:spacing w:line="276" w:lineRule="auto"/>
            </w:pPr>
            <w:r>
              <w:rPr>
                <w:rFonts w:ascii="Calibri" w:hAnsi="Calibri"/>
              </w:rPr>
              <w:t>Sample 3</w:t>
            </w:r>
          </w:p>
        </w:tc>
        <w:tc>
          <w:tcPr>
            <w:tcW w:type="dxa" w:w="1728"/>
          </w:tcPr>
          <w:p>
            <w:pPr>
              <w:spacing w:line="276" w:lineRule="auto"/>
            </w:pPr>
            <w:r>
              <w:rPr>
                <w:rFonts w:ascii="Calibri" w:hAnsi="Calibri"/>
              </w:rPr>
              <w:t>24</w:t>
            </w:r>
          </w:p>
        </w:tc>
        <w:tc>
          <w:tcPr>
            <w:tcW w:type="dxa" w:w="1728"/>
          </w:tcPr>
          <w:p>
            <w:pPr>
              <w:spacing w:line="276" w:lineRule="auto"/>
            </w:pPr>
            <w:r>
              <w:rPr>
                <w:rFonts w:ascii="Calibri" w:hAnsi="Calibri"/>
              </w:rPr>
              <w:t>8.4%</w:t>
            </w:r>
          </w:p>
        </w:tc>
        <w:tc>
          <w:tcPr>
            <w:tcW w:type="dxa" w:w="1728"/>
          </w:tcPr>
          <w:p>
            <w:pPr>
              <w:spacing w:line="276" w:lineRule="auto"/>
            </w:pPr>
            <w:r>
              <w:rPr>
                <w:rFonts w:ascii="Calibri" w:hAnsi="Calibri"/>
              </w:rPr>
              <w:t>12.69</w:t>
            </w:r>
          </w:p>
        </w:tc>
        <w:tc>
          <w:tcPr>
            <w:tcW w:type="dxa" w:w="1728"/>
          </w:tcPr>
          <w:p>
            <w:pPr>
              <w:spacing w:line="276" w:lineRule="auto"/>
            </w:pPr>
            <w:r>
              <w:rPr>
                <w:rFonts w:ascii="Calibri" w:hAnsi="Calibri"/>
              </w:rPr>
              <w:t>8.8%</w:t>
            </w:r>
          </w:p>
        </w:tc>
      </w:tr>
    </w:tbl>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pPr>
              <w:spacing w:line="276" w:lineRule="auto"/>
            </w:pPr>
            <w:r>
              <w:rPr>
                <w:rFonts w:ascii="Calibri" w:hAnsi="Calibri"/>
              </w:rPr>
            </w:r>
          </w:p>
        </w:tc>
        <w:tc>
          <w:tcPr>
            <w:tcW w:type="dxa" w:w="1234"/>
          </w:tcPr>
          <w:p>
            <w:pPr>
              <w:spacing w:line="276" w:lineRule="auto"/>
            </w:pPr>
            <w:r>
              <w:rPr>
                <w:rFonts w:ascii="Calibri" w:hAnsi="Calibri"/>
              </w:rPr>
              <w:t>Lot 1</w:t>
            </w:r>
          </w:p>
        </w:tc>
        <w:tc>
          <w:tcPr>
            <w:tcW w:type="dxa" w:w="1234"/>
          </w:tcPr>
          <w:p>
            <w:pPr>
              <w:spacing w:line="276" w:lineRule="auto"/>
            </w:pPr>
            <w:r>
              <w:rPr>
                <w:rFonts w:ascii="Calibri" w:hAnsi="Calibri"/>
              </w:rPr>
              <w:t>Lot 2</w:t>
            </w:r>
          </w:p>
        </w:tc>
        <w:tc>
          <w:tcPr>
            <w:tcW w:type="dxa" w:w="1234"/>
          </w:tcPr>
          <w:p>
            <w:pPr>
              <w:spacing w:line="276" w:lineRule="auto"/>
            </w:pPr>
            <w:r>
              <w:rPr>
                <w:rFonts w:ascii="Calibri" w:hAnsi="Calibri"/>
              </w:rPr>
              <w:t>Lot 3</w:t>
            </w:r>
          </w:p>
        </w:tc>
        <w:tc>
          <w:tcPr>
            <w:tcW w:type="dxa" w:w="1234"/>
          </w:tcPr>
          <w:p>
            <w:pPr>
              <w:spacing w:line="276" w:lineRule="auto"/>
            </w:pPr>
            <w:r>
              <w:rPr>
                <w:rFonts w:ascii="Calibri" w:hAnsi="Calibri"/>
              </w:rPr>
              <w:t>Lot 4</w:t>
            </w:r>
          </w:p>
        </w:tc>
        <w:tc>
          <w:tcPr>
            <w:tcW w:type="dxa" w:w="1234"/>
          </w:tcPr>
          <w:p>
            <w:pPr>
              <w:spacing w:line="276" w:lineRule="auto"/>
            </w:pPr>
            <w:r>
              <w:rPr>
                <w:rFonts w:ascii="Calibri" w:hAnsi="Calibri"/>
              </w:rPr>
              <w:t>Standard Deviation</w:t>
            </w:r>
          </w:p>
        </w:tc>
        <w:tc>
          <w:tcPr>
            <w:tcW w:type="dxa" w:w="1234"/>
          </w:tcPr>
          <w:p>
            <w:pPr>
              <w:spacing w:line="276" w:lineRule="auto"/>
            </w:pPr>
            <w:r>
              <w:rPr>
                <w:rFonts w:ascii="Calibri" w:hAnsi="Calibri"/>
              </w:rPr>
              <w:t>Mean</w:t>
            </w:r>
          </w:p>
        </w:tc>
      </w:tr>
      <w:tr>
        <w:tc>
          <w:tcPr>
            <w:tcW w:type="dxa" w:w="1234"/>
          </w:tcPr>
          <w:p>
            <w:pPr>
              <w:spacing w:line="276" w:lineRule="auto"/>
            </w:pPr>
            <w:r>
              <w:rPr>
                <w:rFonts w:ascii="Calibri" w:hAnsi="Calibri"/>
              </w:rPr>
              <w:t>Sample 1</w:t>
            </w:r>
          </w:p>
        </w:tc>
        <w:tc>
          <w:tcPr>
            <w:tcW w:type="dxa" w:w="1234"/>
          </w:tcPr>
          <w:p>
            <w:pPr>
              <w:spacing w:line="276" w:lineRule="auto"/>
            </w:pPr>
            <w:r>
              <w:rPr>
                <w:rFonts w:ascii="Calibri" w:hAnsi="Calibri"/>
              </w:rPr>
              <w:t>150</w:t>
            </w:r>
          </w:p>
        </w:tc>
        <w:tc>
          <w:tcPr>
            <w:tcW w:type="dxa" w:w="1234"/>
          </w:tcPr>
          <w:p>
            <w:pPr>
              <w:spacing w:line="276" w:lineRule="auto"/>
            </w:pPr>
            <w:r>
              <w:rPr>
                <w:rFonts w:ascii="Calibri" w:hAnsi="Calibri"/>
              </w:rPr>
              <w:t>154</w:t>
            </w:r>
          </w:p>
        </w:tc>
        <w:tc>
          <w:tcPr>
            <w:tcW w:type="dxa" w:w="1234"/>
          </w:tcPr>
          <w:p>
            <w:pPr>
              <w:spacing w:line="276" w:lineRule="auto"/>
            </w:pPr>
            <w:r>
              <w:rPr>
                <w:rFonts w:ascii="Calibri" w:hAnsi="Calibri"/>
              </w:rPr>
              <w:t>170</w:t>
            </w:r>
          </w:p>
        </w:tc>
        <w:tc>
          <w:tcPr>
            <w:tcW w:type="dxa" w:w="1234"/>
          </w:tcPr>
          <w:p>
            <w:pPr>
              <w:spacing w:line="276" w:lineRule="auto"/>
            </w:pPr>
            <w:r>
              <w:rPr>
                <w:rFonts w:ascii="Calibri" w:hAnsi="Calibri"/>
              </w:rPr>
              <w:t>150</w:t>
            </w:r>
          </w:p>
        </w:tc>
        <w:tc>
          <w:tcPr>
            <w:tcW w:type="dxa" w:w="1234"/>
          </w:tcPr>
          <w:p>
            <w:pPr>
              <w:spacing w:line="276" w:lineRule="auto"/>
            </w:pPr>
            <w:r>
              <w:rPr>
                <w:rFonts w:ascii="Calibri" w:hAnsi="Calibri"/>
              </w:rPr>
              <w:t>156</w:t>
            </w:r>
          </w:p>
        </w:tc>
        <w:tc>
          <w:tcPr>
            <w:tcW w:type="dxa" w:w="1234"/>
          </w:tcPr>
          <w:p>
            <w:pPr>
              <w:spacing w:line="276" w:lineRule="auto"/>
            </w:pPr>
            <w:r>
              <w:rPr>
                <w:rFonts w:ascii="Calibri" w:hAnsi="Calibri"/>
              </w:rPr>
              <w:t>5.2%</w:t>
            </w:r>
          </w:p>
        </w:tc>
      </w:tr>
      <w:tr>
        <w:tc>
          <w:tcPr>
            <w:tcW w:type="dxa" w:w="1234"/>
          </w:tcPr>
          <w:p>
            <w:pPr>
              <w:spacing w:line="276" w:lineRule="auto"/>
            </w:pPr>
            <w:r>
              <w:rPr>
                <w:rFonts w:ascii="Calibri" w:hAnsi="Calibri"/>
              </w:rPr>
              <w:t>Sample 2</w:t>
            </w:r>
          </w:p>
        </w:tc>
        <w:tc>
          <w:tcPr>
            <w:tcW w:type="dxa" w:w="1234"/>
          </w:tcPr>
          <w:p>
            <w:pPr>
              <w:spacing w:line="276" w:lineRule="auto"/>
            </w:pPr>
            <w:r>
              <w:rPr>
                <w:rFonts w:ascii="Calibri" w:hAnsi="Calibri"/>
              </w:rPr>
              <w:t>602</w:t>
            </w:r>
          </w:p>
        </w:tc>
        <w:tc>
          <w:tcPr>
            <w:tcW w:type="dxa" w:w="1234"/>
          </w:tcPr>
          <w:p>
            <w:pPr>
              <w:spacing w:line="276" w:lineRule="auto"/>
            </w:pPr>
            <w:r>
              <w:rPr>
                <w:rFonts w:ascii="Calibri" w:hAnsi="Calibri"/>
              </w:rPr>
              <w:t>649</w:t>
            </w:r>
          </w:p>
        </w:tc>
        <w:tc>
          <w:tcPr>
            <w:tcW w:type="dxa" w:w="1234"/>
          </w:tcPr>
          <w:p>
            <w:pPr>
              <w:spacing w:line="276" w:lineRule="auto"/>
            </w:pPr>
            <w:r>
              <w:rPr>
                <w:rFonts w:ascii="Calibri" w:hAnsi="Calibri"/>
              </w:rPr>
              <w:t>645</w:t>
            </w:r>
          </w:p>
        </w:tc>
        <w:tc>
          <w:tcPr>
            <w:tcW w:type="dxa" w:w="1234"/>
          </w:tcPr>
          <w:p>
            <w:pPr>
              <w:spacing w:line="276" w:lineRule="auto"/>
            </w:pPr>
            <w:r>
              <w:rPr>
                <w:rFonts w:ascii="Calibri" w:hAnsi="Calibri"/>
              </w:rPr>
              <w:t>637</w:t>
            </w:r>
          </w:p>
        </w:tc>
        <w:tc>
          <w:tcPr>
            <w:tcW w:type="dxa" w:w="1234"/>
          </w:tcPr>
          <w:p>
            <w:pPr>
              <w:spacing w:line="276" w:lineRule="auto"/>
            </w:pPr>
            <w:r>
              <w:rPr>
                <w:rFonts w:ascii="Calibri" w:hAnsi="Calibri"/>
              </w:rPr>
              <w:t>633</w:t>
            </w:r>
          </w:p>
        </w:tc>
        <w:tc>
          <w:tcPr>
            <w:tcW w:type="dxa" w:w="1234"/>
          </w:tcPr>
          <w:p>
            <w:pPr>
              <w:spacing w:line="276" w:lineRule="auto"/>
            </w:pPr>
            <w:r>
              <w:rPr>
                <w:rFonts w:ascii="Calibri" w:hAnsi="Calibri"/>
              </w:rPr>
              <w:t>2.9%</w:t>
            </w:r>
          </w:p>
        </w:tc>
      </w:tr>
      <w:tr>
        <w:tc>
          <w:tcPr>
            <w:tcW w:type="dxa" w:w="1234"/>
          </w:tcPr>
          <w:p>
            <w:pPr>
              <w:spacing w:line="276" w:lineRule="auto"/>
            </w:pPr>
            <w:r>
              <w:rPr>
                <w:rFonts w:ascii="Calibri" w:hAnsi="Calibri"/>
              </w:rPr>
              <w:t>Sample 3</w:t>
            </w:r>
          </w:p>
        </w:tc>
        <w:tc>
          <w:tcPr>
            <w:tcW w:type="dxa" w:w="1234"/>
          </w:tcPr>
          <w:p>
            <w:pPr>
              <w:spacing w:line="276" w:lineRule="auto"/>
            </w:pPr>
            <w:r>
              <w:rPr>
                <w:rFonts w:ascii="Calibri" w:hAnsi="Calibri"/>
              </w:rPr>
              <w:t>1476</w:t>
            </w:r>
          </w:p>
        </w:tc>
        <w:tc>
          <w:tcPr>
            <w:tcW w:type="dxa" w:w="1234"/>
          </w:tcPr>
          <w:p>
            <w:pPr>
              <w:spacing w:line="276" w:lineRule="auto"/>
            </w:pPr>
            <w:r>
              <w:rPr>
                <w:rFonts w:ascii="Calibri" w:hAnsi="Calibri"/>
              </w:rPr>
              <w:t>1672</w:t>
            </w:r>
          </w:p>
        </w:tc>
        <w:tc>
          <w:tcPr>
            <w:tcW w:type="dxa" w:w="1234"/>
          </w:tcPr>
          <w:p>
            <w:pPr>
              <w:spacing w:line="276" w:lineRule="auto"/>
            </w:pPr>
            <w:r>
              <w:rPr>
                <w:rFonts w:ascii="Calibri" w:hAnsi="Calibri"/>
              </w:rPr>
              <w:t>1722</w:t>
            </w:r>
          </w:p>
        </w:tc>
        <w:tc>
          <w:tcPr>
            <w:tcW w:type="dxa" w:w="1234"/>
          </w:tcPr>
          <w:p>
            <w:pPr>
              <w:spacing w:line="276" w:lineRule="auto"/>
            </w:pPr>
            <w:r>
              <w:rPr>
                <w:rFonts w:ascii="Calibri" w:hAnsi="Calibri"/>
              </w:rPr>
              <w:t>1744</w:t>
            </w:r>
          </w:p>
        </w:tc>
        <w:tc>
          <w:tcPr>
            <w:tcW w:type="dxa" w:w="1234"/>
          </w:tcPr>
          <w:p>
            <w:pPr>
              <w:spacing w:line="276" w:lineRule="auto"/>
            </w:pPr>
            <w:r>
              <w:rPr>
                <w:rFonts w:ascii="Calibri" w:hAnsi="Calibri"/>
              </w:rPr>
              <w:t>1654</w:t>
            </w:r>
          </w:p>
        </w:tc>
        <w:tc>
          <w:tcPr>
            <w:tcW w:type="dxa" w:w="1234"/>
          </w:tcPr>
          <w:p>
            <w:pPr>
              <w:spacing w:line="276" w:lineRule="auto"/>
            </w:pPr>
            <w:r>
              <w:rPr>
                <w:rFonts w:ascii="Calibri" w:hAnsi="Calibri"/>
              </w:rPr>
              <w:t>7.2%</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76" w:lineRule="auto"/>
    </w:pPr>
    <w:rPr>
      <w:rFonts w:ascii="Calibri" w:hAnsi="Calibri"/>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line="276" w:lineRule="auto"/>
      <w:outlineLvl w:val="0"/>
    </w:pPr>
    <w:rPr>
      <w:rFonts w:asciiTheme="majorHAnsi" w:eastAsiaTheme="majorEastAsia" w:hAnsiTheme="majorHAnsi" w:cstheme="majorBidi" w:ascii="Calibri" w:hAnsi="Calibr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line="276" w:lineRule="auto"/>
      <w:outlineLvl w:val="1"/>
    </w:pPr>
    <w:rPr>
      <w:rFonts w:asciiTheme="majorHAnsi" w:eastAsiaTheme="majorEastAsia" w:hAnsiTheme="majorHAnsi" w:cstheme="majorBidi" w:ascii="Calibri" w:hAnsi="Calibr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line="276" w:lineRule="auto"/>
      <w:outlineLvl w:val="2"/>
    </w:pPr>
    <w:rPr>
      <w:rFonts w:asciiTheme="majorHAnsi" w:eastAsiaTheme="majorEastAsia" w:hAnsiTheme="majorHAnsi" w:cstheme="majorBidi" w:ascii="Calibri" w:hAnsi="Calibr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jc w:val="center"/>
    </w:pPr>
    <w:rPr>
      <w:rFonts w:asciiTheme="majorHAnsi" w:eastAsiaTheme="majorEastAsia" w:hAnsiTheme="majorHAnsi" w:cstheme="majorBidi" w:ascii="Calibri" w:hAnsi="Calibri"/>
      <w:b/>
      <w:color w:val="17365D" w:themeColor="text2" w:themeShade="BF"/>
      <w:spacing w:val="5"/>
      <w:kern w:val="28"/>
      <w:sz w:val="7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spacing w:line="276" w:lineRule="auto"/>
      <w:contextualSpacing/>
    </w:pPr>
    <w:rPr>
      <w:rFonts w:ascii="Calibri" w:hAnsi="Calibri"/>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line="276" w:lineRule="auto"/>
      <w:contextualSpacing/>
    </w:pPr>
    <w:rPr>
      <w:rFonts w:ascii="Calibri" w:hAnsi="Calibri"/>
    </w:r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