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 Kallikrein 1 ELISA Kit</w:t>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pPr>
      <w:r>
        <w:t xml:space="preserve">Microplate reader capable of reading absorbance at 450 nm. Incubator.</w:t>
      </w:r>
    </w:p>
    <w:p>
      <w:pPr>
        <w:pStyle w:val="HiddenText"/>
      </w:pPr>
      <w:r>
        <w:t xml:space="preserve"/>
      </w:r>
    </w:p>
    <w:p>
      <w:pPr>
        <w:pStyle w:val="ListBullet"/>
      </w:pPr>
      <w:r>
        <w:t xml:space="preserve">Automated plate washer (optional)</w:t>
      </w:r>
    </w:p>
    <w:p>
      <w:pPr>
        <w:pStyle w:val="HiddenText"/>
      </w:pPr>
      <w:r>
        <w:t xml:space="preserve"/>
      </w:r>
    </w:p>
    <w:p>
      <w:pPr>
        <w:pStyle w:val="ListBullet"/>
      </w:pPr>
      <w:r>
        <w:t xml:space="preserve">Pipettes and pipette tips capable of precisely dispensing 0.5 µl through 1 ml volumes of aqueous solutions. Multichannel pipettes are recommended for a large numbers of samples.</w:t>
      </w:r>
    </w:p>
    <w:p>
      <w:pPr>
        <w:pStyle w:val="HiddenText"/>
      </w:pPr>
      <w:r>
        <w:t xml:space="preserve"/>
      </w:r>
    </w:p>
    <w:p>
      <w:pPr>
        <w:pStyle w:val="ListBullet"/>
      </w:pPr>
      <w:r>
        <w:t xml:space="preserve">Deionized or distilled water. 500 ml graduated cylinders. Test tubes for dilution.</w:t>
      </w:r>
    </w:p>
    <w:p>
      <w:pPr>
        <w:pStyle w:val="HiddenText"/>
      </w:pPr>
      <w:r>
        <w:t xml:space="preserve"/>
      </w:r>
    </w:p>
    <w:p>
      <w:pPr>
        <w:pStyle w:val="ListBullet"/>
      </w:pPr>
      <w:r>
        <w:t xml:space="preserve">Microplate reader capable of measuring absorbance at 450 nm</w:t>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