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iddenText"/>
      </w:pPr>
      <w:r>
        <w:t xml:space="preserve"/>
      </w:r>
    </w:p>
    <w:p>
      <w:pPr>
        <w:pStyle w:val="Heading2"/>
      </w:pPr>
      <w:r>
        <w:t>KIT COMPONENTS/MATERIALS PROVIDED</w:t>
      </w:r>
    </w:p>
    <w:tbl>
      <w:tblPr>
        <w:tblStyle w:val="TableGrid"/>
        <w:tblW w:type="auto" w:w="0"/>
        <w:tblLook w:firstColumn="1" w:firstRow="1" w:lastColumn="0" w:lastRow="0" w:noHBand="0" w:noVBand="1" w:val="04A0"/>
      </w:tblPr>
      <w:tblGrid>
        <w:gridCol w:w="2700"/>
        <w:gridCol w:w="2700"/>
        <w:gridCol w:w="2700"/>
        <w:gridCol w:w="2700"/>
      </w:tblGrid>
      <w:tr>
        <w:tc>
          <w:tcPr>
            <w:tcW w:type="dxa" w:w="4320"/>
          </w:tcPr>
          <w:p>
            <w:pPr>
              <w:jc w:val="center"/>
            </w:pPr>
            <w:r>
              <w:rPr>
                <w:b/>
              </w:rPr>
              <w:t>Description</w:t>
            </w:r>
          </w:p>
        </w:tc>
        <w:tc>
          <w:tcPr>
            <w:tcW w:type="dxa" w:w="1440"/>
          </w:tcPr>
          <w:p>
            <w:pPr>
              <w:jc w:val="center"/>
            </w:pPr>
            <w:r>
              <w:rPr>
                <w:b/>
              </w:rPr>
              <w:t>Quantity</w:t>
            </w:r>
          </w:p>
        </w:tc>
        <w:tc>
          <w:tcPr>
            <w:tcW w:type="dxa" w:w="2160"/>
          </w:tcPr>
          <w:p>
            <w:pPr>
              <w:jc w:val="center"/>
            </w:pPr>
            <w:r>
              <w:rPr>
                <w:b/>
              </w:rPr>
              <w:t>Volume</w:t>
            </w:r>
          </w:p>
        </w:tc>
        <w:tc>
          <w:tcPr>
            <w:tcW w:type="dxa" w:w="3600"/>
          </w:tcPr>
          <w:p>
            <w:pPr>
              <w:jc w:val="center"/>
            </w:pPr>
            <w:r>
              <w:rPr>
                <w:b/>
              </w:rPr>
              <w:t>Storage of opened/reconstituted material</w:t>
            </w:r>
          </w:p>
        </w:tc>
      </w:tr>
      <w:tr>
        <w:tc>
          <w:tcPr>
            <w:tcW w:type="dxa" w:w="4320"/>
          </w:tcPr>
          <w:p>
            <w:r>
              <w:t xml:space="preserve">Anti-Mouse Klk1 Pre-coated 96-well Strip Microplate</w:t>
            </w:r>
          </w:p>
        </w:tc>
        <w:tc>
          <w:tcPr>
            <w:tcW w:type="dxa" w:w="1440"/>
          </w:tcPr>
          <w:p>
            <w:r>
              <w:t xml:space="preserve">1</w:t>
            </w:r>
          </w:p>
        </w:tc>
        <w:tc>
          <w:tcPr>
            <w:tcW w:type="dxa" w:w="2160"/>
          </w:tcPr>
          <w:p>
            <w:r>
              <w:t xml:space="preserve">12 strips of 8 wells</w:t>
            </w:r>
          </w:p>
        </w:tc>
        <w:tc>
          <w:tcPr>
            <w:tcW w:type="dxa" w:w="3600"/>
          </w:tcPr>
          <w:p>
            <w:r>
              <w:t xml:space="preserve">Return unused wells to the foil pouch. Reseal along the entire edge of the zip-seal. May be stored for up to 1 month at 4°C provided this is within the expiration date of the kit.</w:t>
            </w:r>
          </w:p>
        </w:tc>
      </w:tr>
      <w:tr>
        <w:tc>
          <w:tcPr>
            <w:tcW w:type="dxa" w:w="4320"/>
          </w:tcPr>
          <w:p>
            <w:r>
              <w:t xml:space="preserve">Mouse Klk1 Standard</w:t>
            </w:r>
          </w:p>
        </w:tc>
        <w:tc>
          <w:tcPr>
            <w:tcW w:type="dxa" w:w="1440"/>
          </w:tcPr>
          <w:p>
            <w:r>
              <w:t xml:space="preserve">2</w:t>
            </w:r>
          </w:p>
        </w:tc>
        <w:tc>
          <w:tcPr>
            <w:tcW w:type="dxa" w:w="2160"/>
          </w:tcPr>
          <w:p>
            <w:r>
              <w:t xml:space="preserve">10 ng/tube</w:t>
            </w:r>
          </w:p>
        </w:tc>
        <w:tc>
          <w:tcPr>
            <w:tcW w:type="dxa" w:w="3600"/>
          </w:tcPr>
          <w:p>
            <w:r>
              <w:t xml:space="preserve">Discard the Klk1 stock solution after 12 hours at 4°C. May be stored at -20°C for 48 hours.</w:t>
            </w:r>
          </w:p>
        </w:tc>
      </w:tr>
      <w:tr>
        <w:tc>
          <w:tcPr>
            <w:tcW w:type="dxa" w:w="4320"/>
          </w:tcPr>
          <w:p>
            <w:r>
              <w:t xml:space="preserve">Mouse Klk1 Biotinylated Antibody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Avidin-Biotin-Peroxidase Complex (100x)</w:t>
            </w:r>
          </w:p>
        </w:tc>
        <w:tc>
          <w:tcPr>
            <w:tcW w:type="dxa" w:w="1440"/>
          </w:tcPr>
          <w:p>
            <w:r>
              <w:t xml:space="preserve">1</w:t>
            </w:r>
          </w:p>
        </w:tc>
        <w:tc>
          <w:tcPr>
            <w:tcW w:type="dxa" w:w="2160"/>
          </w:tcPr>
          <w:p>
            <w:r>
              <w:t xml:space="preserve">100 µl</w:t>
            </w:r>
          </w:p>
        </w:tc>
        <w:tc>
          <w:tcPr>
            <w:tcW w:type="dxa" w:w="3600"/>
          </w:tcPr>
          <w:p>
            <w:r>
              <w:t xml:space="preserve">May be stored for up to 1 month at 4°C provided this is within the expiration date of the kit.</w:t>
            </w:r>
          </w:p>
        </w:tc>
      </w:tr>
      <w:tr>
        <w:tc>
          <w:tcPr>
            <w:tcW w:type="dxa" w:w="4320"/>
          </w:tcPr>
          <w:p>
            <w:r>
              <w:t xml:space="preserve">Sample Diluent</w:t>
            </w:r>
          </w:p>
        </w:tc>
        <w:tc>
          <w:tcPr>
            <w:tcW w:type="dxa" w:w="1440"/>
          </w:tcPr>
          <w:p>
            <w:r>
              <w:t xml:space="preserve">1</w:t>
            </w:r>
          </w:p>
        </w:tc>
        <w:tc>
          <w:tcPr>
            <w:tcW w:type="dxa" w:w="2160"/>
          </w:tcPr>
          <w:p>
            <w:r>
              <w:t xml:space="preserve">30 ml</w:t>
            </w:r>
          </w:p>
        </w:tc>
        <w:tc>
          <w:tcPr>
            <w:tcW w:type="dxa" w:w="3600"/>
          </w:tcPr>
          <w:p>
            <w:r>
              <w:t xml:space="preserve">May be stored for up to 1 month at 4°C provided this is within the expiration date of the kit.</w:t>
            </w:r>
          </w:p>
        </w:tc>
      </w:tr>
      <w:tr>
        <w:tc>
          <w:tcPr>
            <w:tcW w:type="dxa" w:w="4320"/>
          </w:tcPr>
          <w:p>
            <w:r>
              <w:t xml:space="preserve">Antibody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r>
        <w:tc>
          <w:tcPr>
            <w:tcW w:type="dxa" w:w="4320"/>
          </w:tcPr>
          <w:p>
            <w:r>
              <w:t xml:space="preserve">Avidin-Biotin-Peroxidase Diluent</w:t>
            </w:r>
          </w:p>
        </w:tc>
        <w:tc>
          <w:tcPr>
            <w:tcW w:type="dxa" w:w="1440"/>
          </w:tcPr>
          <w:p>
            <w:r>
              <w:t xml:space="preserve">1</w:t>
            </w:r>
          </w:p>
        </w:tc>
        <w:tc>
          <w:tcPr>
            <w:tcW w:type="dxa" w:w="2160"/>
          </w:tcPr>
          <w:p>
            <w:r>
              <w:t xml:space="preserve">12 ml</w:t>
            </w:r>
          </w:p>
        </w:tc>
        <w:tc>
          <w:tcPr>
            <w:tcW w:type="dxa" w:w="3600"/>
          </w:tcPr>
          <w:p>
            <w:r>
              <w:t xml:space="preserve">May be stored for up to 1 month at 4°C provided this is within the expiration date of the kit.</w:t>
            </w:r>
          </w:p>
        </w:tc>
      </w:tr>
    </w:tbl>
    <w:p>
      <w:pPr>
        <w:pStyle w:val="Heading2"/>
      </w:pPr>
      <w:r>
        <w:t>MATERIALS REQUIRED BUT NOT PROVIDED</w:t>
      </w:r>
    </w:p>
    <w:p>
      <w:pPr>
        <w:pStyle w:val="ListBullet"/>
      </w:pPr>
      <w:r>
        <w:t xml:space="preserve">Microplate reader capable of reading absorbance at 450 nm. Incubator.</w:t>
      </w:r>
    </w:p>
    <w:p>
      <w:pPr>
        <w:pStyle w:val="HiddenText"/>
      </w:pPr>
      <w:r>
        <w:t xml:space="preserve"/>
      </w:r>
    </w:p>
    <w:p>
      <w:pPr>
        <w:pStyle w:val="ListBullet"/>
      </w:pPr>
      <w:r>
        <w:t xml:space="preserve">Automated plate washer (optional)</w:t>
      </w:r>
    </w:p>
    <w:p>
      <w:pPr>
        <w:pStyle w:val="HiddenText"/>
      </w:pPr>
      <w:r>
        <w:t xml:space="preserve"/>
      </w:r>
    </w:p>
    <w:p>
      <w:pPr>
        <w:pStyle w:val="ListBullet"/>
      </w:pPr>
      <w:r>
        <w:t xml:space="preserve">Pipettes and pipette tips capable of precisely dispensing 0.5 µl through 1 ml volumes of aqueous solutions. Multichannel pipettes are recommended for a large numbers of samples.</w:t>
      </w:r>
    </w:p>
    <w:p>
      <w:pPr>
        <w:pStyle w:val="HiddenText"/>
      </w:pPr>
      <w:r>
        <w:t xml:space="preserve"/>
      </w:r>
    </w:p>
    <w:p>
      <w:pPr>
        <w:pStyle w:val="ListBullet"/>
      </w:pPr>
      <w:r>
        <w:t xml:space="preserve">Deionized or distilled water. 500 ml graduated cylinders. Test tubes for dilution.</w:t>
      </w:r>
    </w:p>
    <w:p>
      <w:pPr>
        <w:pStyle w:val="HiddenText"/>
      </w:pPr>
      <w:r>
        <w:t xml:space="preserve"/>
      </w:r>
    </w:p>
    <w:p>
      <w:pPr>
        <w:pStyle w:val="ListBullet"/>
      </w:pPr>
      <w:r>
        <w:t xml:space="preserve">Microplate reader capable of measuring absorbance at 450 nm</w:t>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ListBullet"/>
      </w:pPr>
      <w:r>
        <w:t xml:space="preserve"/>
      </w:r>
    </w:p>
    <w:p>
      <w:pPr>
        <w:pStyle w:val="HiddenText"/>
      </w:pPr>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p>
      <w:pPr>
        <w:pStyle w:val="Heading2"/>
      </w:pPr>
      <w:r>
        <w:t>INTRA/INTER-ASSAY VARIABILITY</w:t>
      </w:r>
    </w:p>
    <w:p>
      <w:r>
        <w:t>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pPr>
        <w:pStyle w:val="ListNumber"/>
      </w:pPr>
      <w: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ListNumber"/>
      </w:pPr>
      <w:r>
        <w:t xml:space="preserve"/>
      </w:r>
    </w:p>
    <w:p>
      <w:pPr>
        <w:pStyle w:val="HiddenText"/>
      </w:pPr>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16</w:t>
            </w:r>
          </w:p>
        </w:tc>
        <w:tc>
          <w:tcPr>
            <w:tcW w:type="dxa" w:w="2160"/>
          </w:tcPr>
          <w:p>
            <w:pPr>
              <w:jc w:val="center"/>
            </w:pPr>
            <w:r>
              <w:t xml:space="preserve">150</w:t>
            </w:r>
          </w:p>
        </w:tc>
        <w:tc>
          <w:tcPr>
            <w:tcW w:type="dxa" w:w="2160"/>
          </w:tcPr>
          <w:p>
            <w:pPr>
              <w:jc w:val="center"/>
            </w:pPr>
            <w:r>
              <w:t xml:space="preserve">9.15</w:t>
            </w:r>
          </w:p>
        </w:tc>
        <w:tc>
          <w:tcPr>
            <w:tcW w:type="dxa" w:w="2160"/>
          </w:tcPr>
          <w:p>
            <w:pPr>
              <w:jc w:val="center"/>
            </w:pPr>
            <w:r>
              <w:t xml:space="preserve">6.1%</w:t>
            </w:r>
          </w:p>
        </w:tc>
      </w:tr>
      <w:tr>
        <w:tc>
          <w:tcPr>
            <w:tcW w:type="dxa" w:w="2160"/>
          </w:tcPr>
          <w:p>
            <w:pPr>
              <w:jc w:val="center"/>
            </w:pPr>
            <w:r>
              <w:t>2</w:t>
            </w:r>
          </w:p>
        </w:tc>
        <w:tc>
          <w:tcPr>
            <w:tcW w:type="dxa" w:w="2160"/>
          </w:tcPr>
          <w:p>
            <w:pPr>
              <w:jc w:val="center"/>
            </w:pPr>
            <w:r>
              <w:t xml:space="preserve">16</w:t>
            </w:r>
          </w:p>
        </w:tc>
        <w:tc>
          <w:tcPr>
            <w:tcW w:type="dxa" w:w="2160"/>
          </w:tcPr>
          <w:p>
            <w:pPr>
              <w:jc w:val="center"/>
            </w:pPr>
            <w:r>
              <w:t xml:space="preserve">602</w:t>
            </w:r>
          </w:p>
        </w:tc>
        <w:tc>
          <w:tcPr>
            <w:tcW w:type="dxa" w:w="2160"/>
          </w:tcPr>
          <w:p>
            <w:pPr>
              <w:jc w:val="center"/>
            </w:pPr>
            <w:r>
              <w:t xml:space="preserve">43.94</w:t>
            </w:r>
          </w:p>
        </w:tc>
        <w:tc>
          <w:tcPr>
            <w:tcW w:type="dxa" w:w="2160"/>
          </w:tcPr>
          <w:p>
            <w:pPr>
              <w:jc w:val="center"/>
            </w:pPr>
            <w:r>
              <w:t xml:space="preserve">7.3%</w:t>
            </w:r>
          </w:p>
        </w:tc>
      </w:tr>
      <w:tr>
        <w:tc>
          <w:tcPr>
            <w:tcW w:type="dxa" w:w="2160"/>
          </w:tcPr>
          <w:p>
            <w:pPr>
              <w:jc w:val="center"/>
            </w:pPr>
            <w:r>
              <w:t>3</w:t>
            </w:r>
          </w:p>
        </w:tc>
        <w:tc>
          <w:tcPr>
            <w:tcW w:type="dxa" w:w="2160"/>
          </w:tcPr>
          <w:p>
            <w:pPr>
              <w:jc w:val="center"/>
            </w:pPr>
            <w:r>
              <w:t xml:space="preserve">16</w:t>
            </w:r>
          </w:p>
        </w:tc>
        <w:tc>
          <w:tcPr>
            <w:tcW w:type="dxa" w:w="2160"/>
          </w:tcPr>
          <w:p>
            <w:pPr>
              <w:jc w:val="center"/>
            </w:pPr>
            <w:r>
              <w:t xml:space="preserve">1476</w:t>
            </w:r>
          </w:p>
        </w:tc>
        <w:tc>
          <w:tcPr>
            <w:tcW w:type="dxa" w:w="2160"/>
          </w:tcPr>
          <w:p>
            <w:pPr>
              <w:jc w:val="center"/>
            </w:pPr>
            <w:r>
              <w:t xml:space="preserve">116.6</w:t>
            </w:r>
          </w:p>
        </w:tc>
        <w:tc>
          <w:tcPr>
            <w:tcW w:type="dxa" w:w="2160"/>
          </w:tcPr>
          <w:p>
            <w:pPr>
              <w:jc w:val="center"/>
            </w:pPr>
            <w:r>
              <w:t xml:space="preserve">7.9%</w:t>
            </w:r>
          </w:p>
        </w:tc>
      </w:tr>
    </w:tbl>
    <w:p/>
    <w:p>
      <w:r>
        <w:t>Three samples of known concentration were tested in separate assays to assess inter-assay precision.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tcPr>
          <w:p>
            <w:pPr>
              <w:jc w:val="center"/>
            </w:pPr>
            <w:r>
              <w:rPr>
                <w:b/>
              </w:rPr>
              <w:t>Sample</w:t>
            </w:r>
          </w:p>
        </w:tc>
        <w:tc>
          <w:tcPr>
            <w:tcW w:type="dxa" w:w="2160"/>
          </w:tcPr>
          <w:p>
            <w:pPr>
              <w:jc w:val="center"/>
            </w:pPr>
            <w:r>
              <w:rPr>
                <w:b/>
              </w:rPr>
              <w:t>n</w:t>
            </w:r>
          </w:p>
        </w:tc>
        <w:tc>
          <w:tcPr>
            <w:tcW w:type="dxa" w:w="2160"/>
          </w:tcPr>
          <w:p>
            <w:pPr>
              <w:jc w:val="center"/>
            </w:pPr>
            <w:r>
              <w:rPr>
                <w:b/>
              </w:rPr>
              <w:t>Mean (pg/ml)</w:t>
            </w:r>
          </w:p>
        </w:tc>
        <w:tc>
          <w:tcPr>
            <w:tcW w:type="dxa" w:w="2160"/>
          </w:tcPr>
          <w:p>
            <w:pPr>
              <w:jc w:val="center"/>
            </w:pPr>
            <w:r>
              <w:rPr>
                <w:b/>
              </w:rPr>
              <w:t>Standard Deviation</w:t>
            </w:r>
          </w:p>
        </w:tc>
        <w:tc>
          <w:tcPr>
            <w:tcW w:type="dxa" w:w="2160"/>
          </w:tcPr>
          <w:p>
            <w:pPr>
              <w:jc w:val="center"/>
            </w:pPr>
            <w:r>
              <w:rPr>
                <w:b/>
              </w:rPr>
              <w:t>CV (%)</w:t>
            </w:r>
          </w:p>
        </w:tc>
      </w:tr>
      <w:tr>
        <w:tc>
          <w:tcPr>
            <w:tcW w:type="dxa" w:w="2160"/>
          </w:tcPr>
          <w:p>
            <w:pPr>
              <w:jc w:val="center"/>
            </w:pPr>
            <w:r>
              <w:t>1</w:t>
            </w:r>
          </w:p>
        </w:tc>
        <w:tc>
          <w:tcPr>
            <w:tcW w:type="dxa" w:w="2160"/>
          </w:tcPr>
          <w:p>
            <w:pPr>
              <w:jc w:val="center"/>
            </w:pPr>
            <w:r>
              <w:t xml:space="preserve">24</w:t>
            </w:r>
          </w:p>
        </w:tc>
        <w:tc>
          <w:tcPr>
            <w:tcW w:type="dxa" w:w="2160"/>
          </w:tcPr>
          <w:p>
            <w:pPr>
              <w:jc w:val="center"/>
            </w:pPr>
            <w:r>
              <w:t xml:space="preserve">145</w:t>
            </w:r>
          </w:p>
        </w:tc>
        <w:tc>
          <w:tcPr>
            <w:tcW w:type="dxa" w:w="2160"/>
          </w:tcPr>
          <w:p>
            <w:pPr>
              <w:jc w:val="center"/>
            </w:pPr>
            <w:r>
              <w:t xml:space="preserve">10.15</w:t>
            </w:r>
          </w:p>
        </w:tc>
        <w:tc>
          <w:tcPr>
            <w:tcW w:type="dxa" w:w="2160"/>
          </w:tcPr>
          <w:p>
            <w:pPr>
              <w:jc w:val="center"/>
            </w:pPr>
            <w:r>
              <w:t xml:space="preserve">7.0%</w:t>
            </w:r>
          </w:p>
        </w:tc>
      </w:tr>
      <w:tr>
        <w:tc>
          <w:tcPr>
            <w:tcW w:type="dxa" w:w="2160"/>
          </w:tcPr>
          <w:p>
            <w:pPr>
              <w:jc w:val="center"/>
            </w:pPr>
            <w:r>
              <w:t>2</w:t>
            </w:r>
          </w:p>
        </w:tc>
        <w:tc>
          <w:tcPr>
            <w:tcW w:type="dxa" w:w="2160"/>
          </w:tcPr>
          <w:p>
            <w:pPr>
              <w:jc w:val="center"/>
            </w:pPr>
            <w:r>
              <w:t xml:space="preserve">24</w:t>
            </w:r>
          </w:p>
        </w:tc>
        <w:tc>
          <w:tcPr>
            <w:tcW w:type="dxa" w:w="2160"/>
          </w:tcPr>
          <w:p>
            <w:pPr>
              <w:jc w:val="center"/>
            </w:pPr>
            <w:r>
              <w:t xml:space="preserve">618</w:t>
            </w:r>
          </w:p>
        </w:tc>
        <w:tc>
          <w:tcPr>
            <w:tcW w:type="dxa" w:w="2160"/>
          </w:tcPr>
          <w:p>
            <w:pPr>
              <w:jc w:val="center"/>
            </w:pPr>
            <w:r>
              <w:t xml:space="preserve">49.44</w:t>
            </w:r>
          </w:p>
        </w:tc>
        <w:tc>
          <w:tcPr>
            <w:tcW w:type="dxa" w:w="2160"/>
          </w:tcPr>
          <w:p>
            <w:pPr>
              <w:jc w:val="center"/>
            </w:pPr>
            <w:r>
              <w:t xml:space="preserve">8.0%</w:t>
            </w:r>
          </w:p>
        </w:tc>
      </w:tr>
      <w:tr>
        <w:tc>
          <w:tcPr>
            <w:tcW w:type="dxa" w:w="2160"/>
          </w:tcPr>
          <w:p>
            <w:pPr>
              <w:jc w:val="center"/>
            </w:pPr>
            <w:r>
              <w:t>3</w:t>
            </w:r>
          </w:p>
        </w:tc>
        <w:tc>
          <w:tcPr>
            <w:tcW w:type="dxa" w:w="2160"/>
          </w:tcPr>
          <w:p>
            <w:pPr>
              <w:jc w:val="center"/>
            </w:pPr>
            <w:r>
              <w:t xml:space="preserve">24</w:t>
            </w:r>
          </w:p>
        </w:tc>
        <w:tc>
          <w:tcPr>
            <w:tcW w:type="dxa" w:w="2160"/>
          </w:tcPr>
          <w:p>
            <w:pPr>
              <w:jc w:val="center"/>
            </w:pPr>
            <w:r>
              <w:t xml:space="preserve">1426</w:t>
            </w:r>
          </w:p>
        </w:tc>
        <w:tc>
          <w:tcPr>
            <w:tcW w:type="dxa" w:w="2160"/>
          </w:tcPr>
          <w:p>
            <w:pPr>
              <w:jc w:val="center"/>
            </w:pPr>
            <w:r>
              <w:t xml:space="preserve">128.34</w:t>
            </w:r>
          </w:p>
        </w:tc>
        <w:tc>
          <w:tcPr>
            <w:tcW w:type="dxa" w:w="2160"/>
          </w:tcPr>
          <w:p>
            <w:pPr>
              <w:jc w:val="center"/>
            </w:pPr>
            <w:r>
              <w:t xml:space="preserve">9.0%</w:t>
            </w:r>
          </w:p>
        </w:tc>
      </w:tr>
    </w:tbl>
    <w:p/>
    <w:p>
      <w:pPr>
        <w:pStyle w:val="Heading2"/>
      </w:pPr>
      <w:r>
        <w:rPr>
          <w:color w:val="0046B4"/>
        </w:rPr>
        <w:t>REPRODUCIBILITY</w:t>
      </w:r>
    </w:p>
    <w:p>
      <w:r>
        <w:t>Samples were tested in four different assay lots to assess reproducibility.</w:t>
      </w:r>
    </w:p>
    <w:tbl>
      <w:tblPr>
        <w:tblStyle w:val="TableGrid"/>
        <w:tblW w:type="auto" w:w="0"/>
        <w:jc w:val="center"/>
        <w:tblLook w:firstColumn="1" w:firstRow="1" w:lastColumn="0" w:lastRow="0" w:noHBand="0" w:noVBand="1" w:val="04A0"/>
      </w:tblPr>
      <w:tblGrid>
        <w:gridCol w:w="1543"/>
        <w:gridCol w:w="1543"/>
        <w:gridCol w:w="1543"/>
        <w:gridCol w:w="1543"/>
        <w:gridCol w:w="1543"/>
        <w:gridCol w:w="1543"/>
        <w:gridCol w:w="1543"/>
      </w:tblGrid>
      <w:tr>
        <w:tc>
          <w:tcPr>
            <w:tcW w:type="dxa" w:w="1543"/>
          </w:tcPr>
          <w:p>
            <w:pPr>
              <w:jc w:val="center"/>
            </w:pPr>
            <w:r>
              <w:rPr>
                <w:b/>
              </w:rPr>
            </w:r>
          </w:p>
        </w:tc>
        <w:tc>
          <w:tcPr>
            <w:tcW w:type="dxa" w:w="1543"/>
          </w:tcPr>
          <w:p>
            <w:pPr>
              <w:jc w:val="center"/>
            </w:pPr>
            <w:r>
              <w:rPr>
                <w:b/>
              </w:rPr>
              <w:t>Lot 1</w:t>
            </w:r>
          </w:p>
        </w:tc>
        <w:tc>
          <w:tcPr>
            <w:tcW w:type="dxa" w:w="1543"/>
          </w:tcPr>
          <w:p>
            <w:pPr>
              <w:jc w:val="center"/>
            </w:pPr>
            <w:r>
              <w:rPr>
                <w:b/>
              </w:rPr>
              <w:t>Lot 2</w:t>
            </w:r>
          </w:p>
        </w:tc>
        <w:tc>
          <w:tcPr>
            <w:tcW w:type="dxa" w:w="1543"/>
          </w:tcPr>
          <w:p>
            <w:pPr>
              <w:jc w:val="center"/>
            </w:pPr>
            <w:r>
              <w:rPr>
                <w:b/>
              </w:rPr>
              <w:t>Lot 3</w:t>
            </w:r>
          </w:p>
        </w:tc>
        <w:tc>
          <w:tcPr>
            <w:tcW w:type="dxa" w:w="1543"/>
          </w:tcPr>
          <w:p>
            <w:pPr>
              <w:jc w:val="center"/>
            </w:pPr>
            <w:r>
              <w:rPr>
                <w:b/>
              </w:rPr>
              <w:t>Lot 4</w:t>
            </w:r>
          </w:p>
        </w:tc>
        <w:tc>
          <w:tcPr>
            <w:tcW w:type="dxa" w:w="1543"/>
          </w:tcPr>
          <w:p>
            <w:pPr>
              <w:jc w:val="center"/>
            </w:pPr>
            <w:r>
              <w:rPr>
                <w:b/>
              </w:rPr>
              <w:t>Mean</w:t>
            </w:r>
          </w:p>
        </w:tc>
        <w:tc>
          <w:tcPr>
            <w:tcW w:type="dxa" w:w="1543"/>
          </w:tcPr>
          <w:p>
            <w:pPr>
              <w:jc w:val="center"/>
            </w:pPr>
            <w:r>
              <w:rPr>
                <w:b/>
              </w:rPr>
              <w:t>CV (%)</w:t>
            </w:r>
          </w:p>
        </w:tc>
      </w:tr>
      <w:tr>
        <w:tc>
          <w:tcPr>
            <w:tcW w:type="dxa" w:w="1543"/>
          </w:tcPr>
          <w:p>
            <w:pPr>
              <w:jc w:val="center"/>
            </w:pPr>
            <w:r>
              <w:rPr>
                <w:b/>
              </w:rPr>
              <w:t>Sample 1</w:t>
            </w:r>
          </w:p>
        </w:tc>
        <w:tc>
          <w:tcPr>
            <w:tcW w:type="dxa" w:w="1543"/>
          </w:tcPr>
          <w:p>
            <w:pPr>
              <w:jc w:val="center"/>
            </w:pPr>
            <w:r>
              <w:t xml:space="preserve">150</w:t>
            </w:r>
          </w:p>
        </w:tc>
        <w:tc>
          <w:tcPr>
            <w:tcW w:type="dxa" w:w="1543"/>
          </w:tcPr>
          <w:p>
            <w:pPr>
              <w:jc w:val="center"/>
            </w:pPr>
            <w:r>
              <w:t xml:space="preserve">154</w:t>
            </w:r>
          </w:p>
        </w:tc>
        <w:tc>
          <w:tcPr>
            <w:tcW w:type="dxa" w:w="1543"/>
          </w:tcPr>
          <w:p>
            <w:pPr>
              <w:jc w:val="center"/>
            </w:pPr>
            <w:r>
              <w:t xml:space="preserve">170</w:t>
            </w:r>
          </w:p>
        </w:tc>
        <w:tc>
          <w:tcPr>
            <w:tcW w:type="dxa" w:w="1543"/>
          </w:tcPr>
          <w:p>
            <w:pPr>
              <w:jc w:val="center"/>
            </w:pPr>
            <w:r>
              <w:t xml:space="preserve">150</w:t>
            </w:r>
          </w:p>
        </w:tc>
        <w:tc>
          <w:tcPr>
            <w:tcW w:type="dxa" w:w="1543"/>
          </w:tcPr>
          <w:p>
            <w:pPr>
              <w:jc w:val="center"/>
            </w:pPr>
            <w:r>
              <w:t xml:space="preserve">156</w:t>
            </w:r>
          </w:p>
        </w:tc>
        <w:tc>
          <w:tcPr>
            <w:tcW w:type="dxa" w:w="1543"/>
          </w:tcPr>
          <w:p>
            <w:pPr>
              <w:jc w:val="center"/>
            </w:pPr>
            <w:r>
              <w:t xml:space="preserve">5.2%</w:t>
            </w:r>
          </w:p>
        </w:tc>
      </w:tr>
      <w:tr>
        <w:tc>
          <w:tcPr>
            <w:tcW w:type="dxa" w:w="1543"/>
          </w:tcPr>
          <w:p>
            <w:pPr>
              <w:jc w:val="center"/>
            </w:pPr>
            <w:r>
              <w:rPr>
                <w:b/>
              </w:rPr>
              <w:t>Sample 2</w:t>
            </w:r>
          </w:p>
        </w:tc>
        <w:tc>
          <w:tcPr>
            <w:tcW w:type="dxa" w:w="1543"/>
          </w:tcPr>
          <w:p>
            <w:pPr>
              <w:jc w:val="center"/>
            </w:pPr>
            <w:r>
              <w:t xml:space="preserve">602</w:t>
            </w:r>
          </w:p>
        </w:tc>
        <w:tc>
          <w:tcPr>
            <w:tcW w:type="dxa" w:w="1543"/>
          </w:tcPr>
          <w:p>
            <w:pPr>
              <w:jc w:val="center"/>
            </w:pPr>
            <w:r>
              <w:t xml:space="preserve">649</w:t>
            </w:r>
          </w:p>
        </w:tc>
        <w:tc>
          <w:tcPr>
            <w:tcW w:type="dxa" w:w="1543"/>
          </w:tcPr>
          <w:p>
            <w:pPr>
              <w:jc w:val="center"/>
            </w:pPr>
            <w:r>
              <w:t xml:space="preserve">645</w:t>
            </w:r>
          </w:p>
        </w:tc>
        <w:tc>
          <w:tcPr>
            <w:tcW w:type="dxa" w:w="1543"/>
          </w:tcPr>
          <w:p>
            <w:pPr>
              <w:jc w:val="center"/>
            </w:pPr>
            <w:r>
              <w:t xml:space="preserve">637</w:t>
            </w:r>
          </w:p>
        </w:tc>
        <w:tc>
          <w:tcPr>
            <w:tcW w:type="dxa" w:w="1543"/>
          </w:tcPr>
          <w:p>
            <w:pPr>
              <w:jc w:val="center"/>
            </w:pPr>
            <w:r>
              <w:t xml:space="preserve">633</w:t>
            </w:r>
          </w:p>
        </w:tc>
        <w:tc>
          <w:tcPr>
            <w:tcW w:type="dxa" w:w="1543"/>
          </w:tcPr>
          <w:p>
            <w:pPr>
              <w:jc w:val="center"/>
            </w:pPr>
            <w:r>
              <w:t xml:space="preserve">2.9%</w:t>
            </w:r>
          </w:p>
        </w:tc>
      </w:tr>
      <w:tr>
        <w:tc>
          <w:tcPr>
            <w:tcW w:type="dxa" w:w="1543"/>
          </w:tcPr>
          <w:p>
            <w:pPr>
              <w:jc w:val="center"/>
            </w:pPr>
            <w:r>
              <w:rPr>
                <w:b/>
              </w:rPr>
              <w:t>Sample 3</w:t>
            </w:r>
          </w:p>
        </w:tc>
        <w:tc>
          <w:tcPr>
            <w:tcW w:type="dxa" w:w="1543"/>
          </w:tcPr>
          <w:p>
            <w:pPr>
              <w:jc w:val="center"/>
            </w:pPr>
            <w:r>
              <w:t xml:space="preserve">1476</w:t>
            </w:r>
          </w:p>
        </w:tc>
        <w:tc>
          <w:tcPr>
            <w:tcW w:type="dxa" w:w="1543"/>
          </w:tcPr>
          <w:p>
            <w:pPr>
              <w:jc w:val="center"/>
            </w:pPr>
            <w:r>
              <w:t xml:space="preserve">1672</w:t>
            </w:r>
          </w:p>
        </w:tc>
        <w:tc>
          <w:tcPr>
            <w:tcW w:type="dxa" w:w="1543"/>
          </w:tcPr>
          <w:p>
            <w:pPr>
              <w:jc w:val="center"/>
            </w:pPr>
            <w:r>
              <w:t xml:space="preserve">1722</w:t>
            </w:r>
          </w:p>
        </w:tc>
        <w:tc>
          <w:tcPr>
            <w:tcW w:type="dxa" w:w="1543"/>
          </w:tcPr>
          <w:p>
            <w:pPr>
              <w:jc w:val="center"/>
            </w:pPr>
            <w:r>
              <w:t xml:space="preserve">1744</w:t>
            </w:r>
          </w:p>
        </w:tc>
        <w:tc>
          <w:tcPr>
            <w:tcW w:type="dxa" w:w="1543"/>
          </w:tcPr>
          <w:p>
            <w:pPr>
              <w:jc w:val="center"/>
            </w:pPr>
            <w:r>
              <w:t xml:space="preserve">1654</w:t>
            </w:r>
          </w:p>
        </w:tc>
        <w:tc>
          <w:tcPr>
            <w:tcW w:type="dxa" w:w="1543"/>
          </w:tcPr>
          <w:p>
            <w:pPr>
              <w:jc w:val="center"/>
            </w:pPr>
            <w:r>
              <w:t xml:space="preserve">7.2%</w:t>
            </w:r>
          </w:p>
        </w:tc>
      </w:tr>
    </w:tbl>
    <w:tbl>
      <w:tblPr>
        <w:tblStyle w:val="TableGrid"/>
        <w:tblW w:type="auto" w:w="0"/>
        <w:jc w:val="center"/>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jc w:val="center"/>
            </w:pPr>
            <w:r>
              <w:rPr>
                <w:b/>
              </w:rPr>
              <w:t>Concentration (pg/ml)</w:t>
            </w:r>
          </w:p>
        </w:tc>
        <w:tc>
          <w:tcPr>
            <w:tcW w:type="dxa" w:w="1200"/>
          </w:tcPr>
          <w:p>
            <w:pPr>
              <w:jc w:val="center"/>
            </w:pPr>
            <w:r>
              <w:rPr>
                <w:b/>
              </w:rPr>
              <w:t xml:space="preserve">0.028</w:t>
            </w:r>
          </w:p>
        </w:tc>
        <w:tc>
          <w:tcPr>
            <w:tcW w:type="dxa" w:w="1200"/>
          </w:tcPr>
          <w:p>
            <w:pPr>
              <w:jc w:val="center"/>
            </w:pPr>
            <w:r>
              <w:rPr>
                <w:b/>
              </w:rPr>
              <w:t xml:space="preserve">62.5</w:t>
            </w:r>
          </w:p>
        </w:tc>
        <w:tc>
          <w:tcPr>
            <w:tcW w:type="dxa" w:w="1200"/>
          </w:tcPr>
          <w:p>
            <w:pPr>
              <w:jc w:val="center"/>
            </w:pPr>
            <w:r>
              <w:rPr>
                <w:b/>
              </w:rPr>
              <w:t xml:space="preserve">125</w:t>
            </w:r>
          </w:p>
        </w:tc>
        <w:tc>
          <w:tcPr>
            <w:tcW w:type="dxa" w:w="1200"/>
          </w:tcPr>
          <w:p>
            <w:pPr>
              <w:jc w:val="center"/>
            </w:pPr>
            <w:r>
              <w:rPr>
                <w:b/>
              </w:rPr>
              <w:t xml:space="preserve">250</w:t>
            </w:r>
          </w:p>
        </w:tc>
        <w:tc>
          <w:tcPr>
            <w:tcW w:type="dxa" w:w="1200"/>
          </w:tcPr>
          <w:p>
            <w:pPr>
              <w:jc w:val="center"/>
            </w:pPr>
            <w:r>
              <w:rPr>
                <w:b/>
              </w:rPr>
              <w:t xml:space="preserve">500</w:t>
            </w:r>
          </w:p>
        </w:tc>
        <w:tc>
          <w:tcPr>
            <w:tcW w:type="dxa" w:w="1200"/>
          </w:tcPr>
          <w:p>
            <w:pPr>
              <w:jc w:val="center"/>
            </w:pPr>
            <w:r>
              <w:rPr>
                <w:b/>
              </w:rPr>
              <w:t xml:space="preserve">1000</w:t>
            </w:r>
          </w:p>
        </w:tc>
        <w:tc>
          <w:tcPr>
            <w:tcW w:type="dxa" w:w="1200"/>
          </w:tcPr>
          <w:p>
            <w:pPr>
              <w:jc w:val="center"/>
            </w:pPr>
            <w:r>
              <w:rPr>
                <w:b/>
              </w:rPr>
              <w:t xml:space="preserve">2000</w:t>
            </w:r>
          </w:p>
        </w:tc>
        <w:tc>
          <w:tcPr>
            <w:tcW w:type="dxa" w:w="1200"/>
          </w:tcPr>
          <w:p>
            <w:pPr>
              <w:jc w:val="center"/>
            </w:pPr>
            <w:r>
              <w:rPr>
                <w:b/>
              </w:rPr>
              <w:t xml:space="preserve">4000</w:t>
            </w:r>
          </w:p>
        </w:tc>
      </w:tr>
      <w:tr>
        <w:tc>
          <w:tcPr>
            <w:tcW w:type="dxa" w:w="1200"/>
          </w:tcPr>
          <w:p>
            <w:pPr>
              <w:jc w:val="center"/>
            </w:pPr>
            <w:r>
              <w:t>O.D.</w:t>
            </w:r>
          </w:p>
        </w:tc>
        <w:tc>
          <w:tcPr>
            <w:tcW w:type="dxa" w:w="1200"/>
          </w:tcPr>
          <w:p>
            <w:pPr>
              <w:jc w:val="center"/>
            </w:pPr>
            <w:r>
              <w:t xml:space="preserve">0.061</w:t>
            </w:r>
          </w:p>
        </w:tc>
        <w:tc>
          <w:tcPr>
            <w:tcW w:type="dxa" w:w="1200"/>
          </w:tcPr>
          <w:p>
            <w:pPr>
              <w:jc w:val="center"/>
            </w:pPr>
            <w:r>
              <w:t xml:space="preserve">0.061</w:t>
            </w:r>
          </w:p>
        </w:tc>
        <w:tc>
          <w:tcPr>
            <w:tcW w:type="dxa" w:w="1200"/>
          </w:tcPr>
          <w:p>
            <w:pPr>
              <w:jc w:val="center"/>
            </w:pPr>
            <w:r>
              <w:t xml:space="preserve">0.143</w:t>
            </w:r>
          </w:p>
        </w:tc>
        <w:tc>
          <w:tcPr>
            <w:tcW w:type="dxa" w:w="1200"/>
          </w:tcPr>
          <w:p>
            <w:pPr>
              <w:jc w:val="center"/>
            </w:pPr>
            <w:r>
              <w:t xml:space="preserve">0.227</w:t>
            </w:r>
          </w:p>
        </w:tc>
        <w:tc>
          <w:tcPr>
            <w:tcW w:type="dxa" w:w="1200"/>
          </w:tcPr>
          <w:p>
            <w:pPr>
              <w:jc w:val="center"/>
            </w:pPr>
            <w:r>
              <w:t xml:space="preserve">0.405</w:t>
            </w:r>
          </w:p>
        </w:tc>
        <w:tc>
          <w:tcPr>
            <w:tcW w:type="dxa" w:w="1200"/>
          </w:tcPr>
          <w:p>
            <w:pPr>
              <w:jc w:val="center"/>
            </w:pPr>
            <w:r>
              <w:t xml:space="preserve">0.631</w:t>
            </w:r>
          </w:p>
        </w:tc>
        <w:tc>
          <w:tcPr>
            <w:tcW w:type="dxa" w:w="1200"/>
          </w:tcPr>
          <w:p>
            <w:pPr>
              <w:jc w:val="center"/>
            </w:pPr>
            <w:r>
              <w:t xml:space="preserve">1.118</w:t>
            </w:r>
          </w:p>
        </w:tc>
        <w:tc>
          <w:tcPr>
            <w:tcW w:type="dxa" w:w="1200"/>
          </w:tcPr>
          <w:p>
            <w:pPr>
              <w:jc w:val="center"/>
            </w:pPr>
            <w:r>
              <w:t xml:space="preserve">1.902</w:t>
            </w:r>
          </w:p>
        </w:tc>
      </w:tr>
    </w:tbl>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360" w:hanging="360"/>
      <w:contextualSpacing/>
    </w:pPr>
    <w:rPr>
      <w:rFonts w:ascii="Calibri" w:hAnsi="Calibri"/>
      <w:sz w:val="22"/>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iddenText">
    <w:name w:val="Hidden Text"/>
    <w:basedOn w:val="Normal"/>
    <w:uiPriority w:val="99"/>
    <w:semiHidden/>
    <w:rPr>
      <w:color w:val="C8C8C8"/>
      <w:sz w:val="16"/>
    </w:r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