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Mouse KLK1/Kallikrein 1 ELISA Kit</w:t>
      </w:r>
    </w:p>
    <w:p>
      <w:pPr>
        <w:pStyle w:val="Normal"/>
        <w:spacing w:line="276" w:lineRule="auto"/>
      </w:pPr>
      <w:r>
        <w:rPr>
          <w:rFonts w:ascii="Calibri" w:hAnsi="Calibri"/>
        </w:rPr>
        <w:t>Catalog Number: IMSKLK1KT</w:t>
        <w:br/>
        <w:t>Lot Number: 20250424</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pStyle w:val="Normal"/>
        <w:spacing w:line="276" w:lineRule="auto"/>
      </w:pPr>
    </w:p>
    <w:p>
      <w:pPr>
        <w:pStyle w:val="Heading2"/>
        <w:spacing w:line="276" w:lineRule="auto"/>
      </w:pPr>
      <w:r>
        <w:rPr>
          <w:rFonts w:ascii="Calibri" w:hAnsi="Calibri"/>
          <w:color w:val="0046B4"/>
        </w:rPr>
        <w:t>ASSAY PRINCIPLE</w:t>
      </w:r>
    </w:p>
    <w:p>
      <w:pPr>
        <w:spacing w:line="276" w:lineRule="auto" w:after="120"/>
      </w:pPr>
      <w:r>
        <w:rPr>
          <w:rFonts w:ascii="Calibri" w:hAnsi="Calibri"/>
        </w:rPr>
        <w:t>This ELISA Kit uses the Sandwich-ELISA principle. The micro ELISA plate provided in this kit has been pre-coated with an antibody specific to Mouse KLK1/Kallikrein 1. Standards or samples are added to the micro ELISA plate wells and combined with the specific antibody.</w:t>
      </w:r>
    </w:p>
    <w:p>
      <w:pPr>
        <w:spacing w:line="276" w:lineRule="auto" w:after="120"/>
      </w:pPr>
      <w:r>
        <w:rPr>
          <w:rFonts w:ascii="Calibri" w:hAnsi="Calibri"/>
        </w:rPr>
        <w:t>Then a biotinylated detection antibody specific for Mouse KLK1/Kallikrein 1 and Avidin-Horseradish Peroxidase (HRP) conjugate are added successively to each micro plate well and incubated. Free components are washed away. The substrate solution is added to each well. Only those wells that contain Mouse KLK1/Kallikrein 1, biotinylated detection antibody and Avidin-HRP conjugate will appear blue in color. The enzyme-substrate reaction is terminated by the addition of stop solution and the color turns yellow.</w:t>
      </w:r>
    </w:p>
    <w:p>
      <w:pPr>
        <w:spacing w:line="276" w:lineRule="auto" w:after="120"/>
      </w:pPr>
      <w:r>
        <w:rPr>
          <w:rFonts w:ascii="Calibri" w:hAnsi="Calibri"/>
        </w:rPr>
        <w:t>The optical density (OD) is measured spectrophotometrically at a wavelength of 450 nm ± 2 nm. The OD value is proportional to the concentration of Mouse KLK1/Kallikrein 1. You can calculate the concentration of Mouse KLK1/Kallikrein 1 in the samples by comparing the OD of the samples to the standard curve.</w:t>
      </w:r>
    </w:p>
    <w:p>
      <w:pPr>
        <w:pStyle w:val="Heading2"/>
        <w:spacing w:line="276" w:lineRule="auto"/>
      </w:pPr>
      <w:r>
        <w:rPr>
          <w:rFonts w:ascii="Calibri" w:hAnsi="Calibri"/>
        </w:rPr>
        <w:t>TECHNICAL DETAILS</w:t>
      </w:r>
    </w:p>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rPr>
        <w:t>KIT COMPONENTS</w:t>
      </w:r>
    </w:p>
    <w:p>
      <w:pPr>
        <w:pStyle w:val="Heading2"/>
        <w:spacing w:line="276" w:lineRule="auto"/>
      </w:pPr>
      <w:r>
        <w:rPr>
          <w:rFonts w:ascii="Calibri" w:hAnsi="Calibri"/>
        </w:rPr>
        <w:t>MATERIALS REQUIRED BUT NOT PROVIDED</w:t>
      </w:r>
    </w:p>
    <w:p>
      <w:pPr>
        <w:pStyle w:val="Normal"/>
        <w:spacing w:line="276" w:lineRule="auto"/>
      </w:pPr>
      <w:r>
        <w:rPr>
          <w:rFonts w:ascii="Calibri" w:hAnsi="Calibri"/>
        </w:rPr>
        <w:t>•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rPr>
        <w:t>DILUTION OF STANDARD</w:t>
      </w:r>
    </w:p>
    <w:p>
      <w:pPr>
        <w:pStyle w:val="Normal"/>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rPr>
        <w:t>PREPARATIONS BEFORE ASSAY</w:t>
      </w:r>
    </w:p>
    <w:p>
      <w:pPr>
        <w:pStyle w:val="Normal"/>
        <w:spacing w:line="276" w:lineRule="auto"/>
      </w:pPr>
      <w:r>
        <w:rPr>
          <w:rFonts w:ascii="Calibri" w:hAnsi="Calibri"/>
        </w:rPr>
        <w:t>1. Prepare all reagents, samples, and standards according to the instructions.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ASSAY PROTOCOL</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The capture antibody is monoclonal antibody from rat and the detection antibody is polyclonal antibody from goat.</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Expression system for standard: NS0; Immunogen sequence: I25-D261</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Mouse KLK1/Kallikrein 1 ELISA Kit</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156.25-10000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 93.75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supernatants, cell lysates, serum, plasma</w:t>
            </w:r>
          </w:p>
        </w:tc>
      </w:tr>
      <w:tr>
        <w:tc>
          <w:tcPr>
            <w:tcW w:type="dxa" w:w="4320"/>
          </w:tcPr>
          <w:p>
            <w:pPr>
              <w:spacing w:line="276" w:lineRule="auto"/>
            </w:pPr>
            <w:r>
              <w:rPr>
                <w:rFonts w:ascii="Calibri" w:hAnsi="Calibri"/>
              </w:rPr>
              <w:t>Cross Reactivity</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Storage</w:t>
            </w:r>
          </w:p>
        </w:tc>
        <w:tc>
          <w:tcPr>
            <w:tcW w:type="dxa" w:w="4320"/>
          </w:tcPr>
          <w:p>
            <w:pPr>
              <w:spacing w:line="276" w:lineRule="auto"/>
            </w:pPr>
            <w:r>
              <w:rPr>
                <w:rFonts w:ascii="Calibri" w:hAnsi="Calibri"/>
              </w:rPr>
              <w:t>Store at 4°C for 6 months, at -20°C for 12 months. Avoid multiple freeze-thaw cycles (Ships with gel ice, can store for up to 3 days in room temperature. Freeze upon receiving.)</w:t>
            </w:r>
          </w:p>
        </w:tc>
      </w:tr>
      <w:tr>
        <w:tc>
          <w:tcPr>
            <w:tcW w:type="dxa" w:w="4320"/>
          </w:tcPr>
          <w:p>
            <w:pPr>
              <w:spacing w:line="276" w:lineRule="auto"/>
            </w:pPr>
            <w:r>
              <w:rPr>
                <w:rFonts w:ascii="Calibri" w:hAnsi="Calibri"/>
              </w:rPr>
              <w:t>Expiration</w:t>
            </w:r>
          </w:p>
        </w:tc>
        <w:tc>
          <w:tcPr>
            <w:tcW w:type="dxa" w:w="4320"/>
          </w:tcPr>
          <w:p>
            <w:pPr>
              <w:spacing w:line="276" w:lineRule="auto"/>
            </w:pPr>
            <w:r>
              <w:rPr>
                <w:rFonts w:ascii="Calibri" w:hAnsi="Calibri"/>
              </w:rPr>
              <w:t>P15947</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w:t>
            </w:r>
          </w:p>
        </w:tc>
        <w:tc>
          <w:tcPr>
            <w:tcW w:type="dxa" w:w="960"/>
          </w:tcPr>
          <w:p>
            <w:pPr>
              <w:spacing w:line="276" w:lineRule="auto"/>
            </w:pPr>
            <w:r>
              <w:rPr>
                <w:rFonts w:ascii="Calibri" w:hAnsi="Calibri"/>
              </w:rPr>
              <w:t>62.5</w:t>
            </w:r>
          </w:p>
        </w:tc>
        <w:tc>
          <w:tcPr>
            <w:tcW w:type="dxa" w:w="960"/>
          </w:tcPr>
          <w:p>
            <w:pPr>
              <w:spacing w:line="276" w:lineRule="auto"/>
            </w:pPr>
            <w:r>
              <w:rPr>
                <w:rFonts w:ascii="Calibri" w:hAnsi="Calibri"/>
              </w:rPr>
              <w:t>125</w:t>
            </w:r>
          </w:p>
        </w:tc>
        <w:tc>
          <w:tcPr>
            <w:tcW w:type="dxa" w:w="960"/>
          </w:tcPr>
          <w:p>
            <w:pPr>
              <w:spacing w:line="276" w:lineRule="auto"/>
            </w:pPr>
            <w:r>
              <w:rPr>
                <w:rFonts w:ascii="Calibri" w:hAnsi="Calibri"/>
              </w:rPr>
              <w:t>250</w:t>
            </w:r>
          </w:p>
        </w:tc>
        <w:tc>
          <w:tcPr>
            <w:tcW w:type="dxa" w:w="960"/>
          </w:tcPr>
          <w:p>
            <w:pPr>
              <w:spacing w:line="276" w:lineRule="auto"/>
            </w:pPr>
            <w:r>
              <w:rPr>
                <w:rFonts w:ascii="Calibri" w:hAnsi="Calibri"/>
              </w:rPr>
              <w:t>500</w:t>
            </w:r>
          </w:p>
        </w:tc>
        <w:tc>
          <w:tcPr>
            <w:tcW w:type="dxa" w:w="960"/>
          </w:tcPr>
          <w:p>
            <w:pPr>
              <w:spacing w:line="276" w:lineRule="auto"/>
            </w:pPr>
            <w:r>
              <w:rPr>
                <w:rFonts w:ascii="Calibri" w:hAnsi="Calibri"/>
              </w:rPr>
              <w:t>1000</w:t>
            </w:r>
          </w:p>
        </w:tc>
        <w:tc>
          <w:tcPr>
            <w:tcW w:type="dxa" w:w="960"/>
          </w:tcPr>
          <w:p>
            <w:pPr>
              <w:spacing w:line="276" w:lineRule="auto"/>
            </w:pPr>
            <w:r>
              <w:rPr>
                <w:rFonts w:ascii="Calibri" w:hAnsi="Calibri"/>
              </w:rPr>
              <w:t>2000</w:t>
            </w:r>
          </w:p>
        </w:tc>
        <w:tc>
          <w:tcPr>
            <w:tcW w:type="dxa" w:w="960"/>
          </w:tcPr>
          <w:p>
            <w:pPr>
              <w:spacing w:line="276" w:lineRule="auto"/>
            </w:pPr>
            <w:r>
              <w:rPr>
                <w:rFonts w:ascii="Calibri" w:hAnsi="Calibri"/>
              </w:rPr>
              <w:t>4000</w:t>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t>0.143</w:t>
            </w:r>
          </w:p>
        </w:tc>
        <w:tc>
          <w:tcPr>
            <w:tcW w:type="dxa" w:w="960"/>
          </w:tcPr>
          <w:p>
            <w:pPr>
              <w:spacing w:line="276" w:lineRule="auto"/>
            </w:pPr>
            <w:r>
              <w:rPr>
                <w:rFonts w:ascii="Calibri" w:hAnsi="Calibri"/>
              </w:rPr>
              <w:t>0.227</w:t>
            </w:r>
          </w:p>
        </w:tc>
        <w:tc>
          <w:tcPr>
            <w:tcW w:type="dxa" w:w="960"/>
          </w:tcPr>
          <w:p>
            <w:pPr>
              <w:spacing w:line="276" w:lineRule="auto"/>
            </w:pPr>
            <w:r>
              <w:rPr>
                <w:rFonts w:ascii="Calibri" w:hAnsi="Calibri"/>
              </w:rPr>
              <w:t>0.405</w:t>
            </w:r>
          </w:p>
        </w:tc>
        <w:tc>
          <w:tcPr>
            <w:tcW w:type="dxa" w:w="960"/>
          </w:tcPr>
          <w:p>
            <w:pPr>
              <w:spacing w:line="276" w:lineRule="auto"/>
            </w:pPr>
            <w:r>
              <w:rPr>
                <w:rFonts w:ascii="Calibri" w:hAnsi="Calibri"/>
              </w:rPr>
              <w:t>0.631</w:t>
            </w:r>
          </w:p>
        </w:tc>
        <w:tc>
          <w:tcPr>
            <w:tcW w:type="dxa" w:w="960"/>
          </w:tcPr>
          <w:p>
            <w:pPr>
              <w:spacing w:line="276" w:lineRule="auto"/>
            </w:pPr>
            <w:r>
              <w:rPr>
                <w:rFonts w:ascii="Calibri" w:hAnsi="Calibri"/>
              </w:rPr>
              <w:t>1.118</w:t>
            </w:r>
          </w:p>
        </w:tc>
        <w:tc>
          <w:tcPr>
            <w:tcW w:type="dxa" w:w="960"/>
          </w:tcPr>
          <w:p>
            <w:pPr>
              <w:spacing w:line="276" w:lineRule="auto"/>
            </w:pPr>
            <w:r>
              <w:rPr>
                <w:rFonts w:ascii="Calibri" w:hAnsi="Calibri"/>
              </w:rPr>
              <w:t>1.902</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145</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618</w:t>
            </w:r>
          </w:p>
        </w:tc>
        <w:tc>
          <w:tcPr>
            <w:tcW w:type="dxa" w:w="1728"/>
          </w:tcPr>
          <w:p>
            <w:pPr>
              <w:spacing w:line="276" w:lineRule="auto"/>
            </w:pPr>
            <w:r>
              <w:rPr>
                <w:rFonts w:ascii="Calibri" w:hAnsi="Calibri"/>
              </w:rPr>
              <w:t>49.44</w:t>
            </w:r>
          </w:p>
        </w:tc>
        <w:tc>
          <w:tcPr>
            <w:tcW w:type="dxa" w:w="1728"/>
          </w:tcPr>
          <w:p>
            <w:pPr>
              <w:spacing w:line="276" w:lineRule="auto"/>
            </w:pPr>
            <w:r>
              <w:rPr>
                <w:rFonts w:ascii="Calibri" w:hAnsi="Calibri"/>
              </w:rPr>
              <w:t>8.0%</w:t>
            </w:r>
          </w:p>
        </w:tc>
      </w:tr>
      <w:tr>
        <w:tc>
          <w:tcPr>
            <w:tcW w:type="dxa" w:w="1728"/>
          </w:tcPr>
          <w:p>
            <w:pPr>
              <w:spacing w:line="276" w:lineRule="auto"/>
            </w:pPr>
            <w:r>
              <w:rPr>
                <w:rFonts w:ascii="Calibri" w:hAnsi="Calibri"/>
              </w:rPr>
              <w:t>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1426</w:t>
            </w:r>
          </w:p>
        </w:tc>
        <w:tc>
          <w:tcPr>
            <w:tcW w:type="dxa" w:w="1728"/>
          </w:tcPr>
          <w:p>
            <w:pPr>
              <w:spacing w:line="276" w:lineRule="auto"/>
            </w:pPr>
            <w:r>
              <w:rPr>
                <w:rFonts w:ascii="Calibri" w:hAnsi="Calibri"/>
              </w:rPr>
              <w:t>128.34</w:t>
            </w:r>
          </w:p>
        </w:tc>
        <w:tc>
          <w:tcPr>
            <w:tcW w:type="dxa" w:w="1728"/>
          </w:tcPr>
          <w:p>
            <w:pPr>
              <w:spacing w:line="276" w:lineRule="auto"/>
            </w:pPr>
            <w:r>
              <w:rPr>
                <w:rFonts w:ascii="Calibri" w:hAnsi="Calibri"/>
              </w:rPr>
              <w:t>9.0%</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145</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618</w:t>
            </w:r>
          </w:p>
        </w:tc>
        <w:tc>
          <w:tcPr>
            <w:tcW w:type="dxa" w:w="1728"/>
          </w:tcPr>
          <w:p>
            <w:pPr>
              <w:spacing w:line="276" w:lineRule="auto"/>
            </w:pPr>
            <w:r>
              <w:rPr>
                <w:rFonts w:ascii="Calibri" w:hAnsi="Calibri"/>
              </w:rPr>
              <w:t>49.44</w:t>
            </w:r>
          </w:p>
        </w:tc>
        <w:tc>
          <w:tcPr>
            <w:tcW w:type="dxa" w:w="1728"/>
          </w:tcPr>
          <w:p>
            <w:pPr>
              <w:spacing w:line="276" w:lineRule="auto"/>
            </w:pPr>
            <w:r>
              <w:rPr>
                <w:rFonts w:ascii="Calibri" w:hAnsi="Calibri"/>
              </w:rPr>
              <w:t>8.0%</w:t>
            </w:r>
          </w:p>
        </w:tc>
      </w:tr>
      <w:tr>
        <w:tc>
          <w:tcPr>
            <w:tcW w:type="dxa" w:w="1728"/>
          </w:tcPr>
          <w:p>
            <w:pPr>
              <w:spacing w:line="276" w:lineRule="auto"/>
            </w:pPr>
            <w:r>
              <w:rPr>
                <w:rFonts w:ascii="Calibri" w:hAnsi="Calibri"/>
              </w:rPr>
              <w:t>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1426</w:t>
            </w:r>
          </w:p>
        </w:tc>
        <w:tc>
          <w:tcPr>
            <w:tcW w:type="dxa" w:w="1728"/>
          </w:tcPr>
          <w:p>
            <w:pPr>
              <w:spacing w:line="276" w:lineRule="auto"/>
            </w:pPr>
            <w:r>
              <w:rPr>
                <w:rFonts w:ascii="Calibri" w:hAnsi="Calibri"/>
              </w:rPr>
              <w:t>128.34</w:t>
            </w:r>
          </w:p>
        </w:tc>
        <w:tc>
          <w:tcPr>
            <w:tcW w:type="dxa" w:w="1728"/>
          </w:tcPr>
          <w:p>
            <w:pPr>
              <w:spacing w:line="276" w:lineRule="auto"/>
            </w:pPr>
            <w:r>
              <w:rPr>
                <w:rFonts w:ascii="Calibri" w:hAnsi="Calibri"/>
              </w:rPr>
              <w:t>9.0%</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Mean</w:t>
            </w:r>
          </w:p>
        </w:tc>
        <w:tc>
          <w:tcPr>
            <w:tcW w:type="dxa" w:w="1234"/>
          </w:tcPr>
          <w:p>
            <w:pPr>
              <w:spacing w:line="276" w:lineRule="auto"/>
            </w:pPr>
            <w:r>
              <w:rPr>
                <w:rFonts w:ascii="Calibri" w:hAnsi="Calibri"/>
              </w:rPr>
              <w:t>CV (%)</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