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sz w:val="22"/>
        </w:rPr>
        <w:t>Catalog Number: IMSKLK1KT</w:t>
        <w:br/>
        <w:t>Lot Number: 20250424</w:t>
      </w:r>
    </w:p>
    <w:p>
      <w:pPr>
        <w:spacing w:line="276" w:lineRule="auto"/>
        <w:sectPr>
          <w:footerReference w:type="default" r:id="rId9"/>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pStyle w:val="Heading2"/>
        <w:spacing w:line="276" w:lineRule="auto"/>
      </w:pPr>
      <w:r>
        <w:rPr>
          <w:rFonts w:ascii="Calibri" w:hAnsi="Calibri"/>
          <w:color w:val="0046B4"/>
        </w:rPr>
        <w:t>BACKGROUND</w:t>
      </w:r>
    </w:p>
    <w:p>
      <w:pPr>
        <w:pStyle w:val="Normal"/>
        <w:spacing w:line="276" w:lineRule="auto"/>
      </w:pPr>
      <w:r>
        <w:rPr>
          <w:rFonts w:ascii="Calibri" w:hAnsi="Calibri"/>
          <w:sz w:val="22"/>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sz w:val="22"/>
        </w:rPr>
        <w:t>1. Prepare all reagents, samples, and standards according to the instructions.</w:t>
      </w:r>
    </w:p>
    <w:p>
      <w:pPr>
        <w:pStyle w:val="Normal"/>
        <w:spacing w:line="276" w:lineRule="auto"/>
      </w:pPr>
      <w:r>
        <w:rPr>
          <w:rFonts w:ascii="Calibri" w:hAnsi="Calibri"/>
          <w:sz w:val="22"/>
        </w:rPr>
        <w:t>2. Confirm that you have the appropriate non-supplied equipment available.</w:t>
      </w:r>
    </w:p>
    <w:p>
      <w:pPr>
        <w:pStyle w:val="Normal"/>
        <w:spacing w:line="276" w:lineRule="auto"/>
      </w:pPr>
      <w:r>
        <w:rPr>
          <w:rFonts w:ascii="Calibri" w:hAnsi="Calibri"/>
          <w:sz w:val="22"/>
        </w:rPr>
        <w:t>3. Spin down all components to the bottom of the tube before opening.</w:t>
      </w:r>
    </w:p>
    <w:p>
      <w:pPr>
        <w:pStyle w:val="Normal"/>
        <w:spacing w:line="276" w:lineRule="auto"/>
      </w:pPr>
      <w:r>
        <w:rPr>
          <w:rFonts w:ascii="Calibri" w:hAnsi="Calibri"/>
          <w:sz w:val="22"/>
        </w:rPr>
        <w:t>4. Don't let the 96-well plate dry out as this will inactivate active components.</w:t>
      </w:r>
    </w:p>
    <w:p>
      <w:pPr>
        <w:pStyle w:val="Normal"/>
        <w:spacing w:line="276" w:lineRule="auto"/>
      </w:pPr>
      <w:r>
        <w:rPr>
          <w:rFonts w:ascii="Calibri" w:hAnsi="Calibri"/>
          <w:sz w:val="22"/>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sz w:val="22"/>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sz w:val="22"/>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sz w:val="22"/>
        </w:rPr>
        <w:t>Three samples of known concentration were tested on one plate to assess intra-assay precision.</w:t>
      </w:r>
    </w:p>
    <w:p>
      <w:pPr>
        <w:pStyle w:val="Normal"/>
        <w:spacing w:line="276" w:lineRule="auto"/>
      </w:pPr>
      <w:r>
        <w:rPr>
          <w:rFonts w:ascii="Calibri" w:hAnsi="Calibri"/>
          <w:sz w:val="22"/>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sz w:val="22"/>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sz w:val="22"/>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sz w:val="22"/>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sz w:val="22"/>
        </w:rPr>
        <w:t>This standard curve is for demonstration only. A standard curve must be run with each assay.</w:t>
      </w:r>
    </w:p>
    <w:p>
      <w:pPr>
        <w:pStyle w:val="Heading2"/>
        <w:spacing w:line="276" w:lineRule="auto"/>
      </w:pPr>
      <w:r>
        <w:rPr>
          <w:rFonts w:ascii="Calibri" w:hAnsi="Calibri"/>
          <w:color w:val="0046B4"/>
        </w:rPr>
        <w:t>DISCLAIMER</w:t>
      </w:r>
    </w:p>
    <w:p>
      <w:pPr>
        <w:spacing w:line="276" w:lineRule="auto" w:after="120"/>
      </w:pPr>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t>Made by Sophie Gall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