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EK1586</w:t>
      </w:r>
      <w:r>
        <w:tab/>
      </w:r>
      <w:r>
        <w:tab/>
        <w:t xml:space="preserve">LOT NO: LOT#_______</w:t>
      </w:r>
    </w:p>
    <w:p w14:paraId="73A99FC1" w14:textId="77777777" w:rsidR="005668F0" w:rsidRDefault="00000000">
      <w:pPr>
        <w:pStyle w:val="Heading2"/>
      </w:pPr>
      <w:r>
        <w:t>INTENDED USE</w:t>
      </w:r>
    </w:p>
    <w:p w14:paraId="4D629624" w14:textId="77777777" w:rsidR="005668F0" w:rsidRDefault="00000000">
      <w:r>
        <w:t xml:space="preserve"/>
      </w:r>
    </w:p>
    <w:p w14:paraId="5A26B3A0" w14:textId="77777777" w:rsidR="005668F0" w:rsidRDefault="00000000">
      <w:pPr>
        <w:pStyle w:val="Heading2"/>
      </w:pPr>
      <w:r>
        <w:t>BACKGROUND</w:t>
      </w:r>
    </w:p>
    <w:p w14:paraId="19C5E515" w14:textId="77777777" w:rsidR="005668F0" w:rsidRDefault="00000000">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r>
    </w:p>
    <w:p w14:paraId="57F215F1" w14:textId="77777777" w:rsidR="005668F0" w:rsidRDefault="00000000">
      <w:pPr>
        <w:pStyle w:val="Heading2"/>
      </w:pPr>
      <w:r>
        <w:t>PRINCIPLE OF THE ASSAY</w:t>
      </w:r>
    </w:p>
    <w:p w14:paraId="7D40AB0B" w14:textId="77777777" w:rsidR="005668F0" w:rsidRDefault="00000000">
      <w:r>
        <w:t xml:space="preserve"/>
        <w:br/>
        <w:t xml:space="preserve"/>
        <w:b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2160"/>
        <w:gridCol w:w="2160"/>
        <w:gridCol w:w="2160"/>
        <w:gridCol w:w="216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Specificity</w:t>
            </w:r>
          </w:p>
        </w:tc>
        <w:tc>
          <w:tcPr>
            <w:tcW w:w="4320" w:type="dxa"/>
          </w:tcPr>
          <w:p w14:paraId="71082EEB" w14:textId="77777777" w:rsidR="005668F0" w:rsidRDefault="00000000">
            <w:r>
              <w:t xml:space="preserve">Natural and recombinant Mouse Klk1Standard Protein</w:t>
            </w:r>
          </w:p>
        </w:tc>
        <w:tc>
          <w:tcPr>
            <w:tcW w:w="4320" w:type="dxa"/>
          </w:tcPr>
          <w:p w14:paraId="71082EEB" w14:textId="77777777" w:rsidR="005668F0" w:rsidRDefault="00000000">
            <w:r>
              <w:t xml:space="preserve">Expression system for standard: NS0; Immunogen sequence: I25-D261Cross-reactivity</w:t>
            </w:r>
          </w:p>
        </w:tc>
        <w:tc>
          <w:tcPr>
            <w:tcW w:w="4320" w:type="dxa"/>
          </w:tcPr>
          <w:p w14:paraId="71082EEB" w14:textId="77777777" w:rsidR="005668F0" w:rsidRDefault="00000000">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 'Automated plate washer (optional)', 'Pipettes and pipette tips capable of precisely dispensing 0.5 µl through 1 ml volumes of aqueous solutions. Multichannel pipettes are recommended for a large numbers of samples.']</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
        <w:br/>
        <w:t xml:space="preserve">        Bring all reagents to room temperature before use.</w:t>
        <w:br/>
        <w:t xml:space="preserve">        </w:t>
        <w:br/>
        <w:t xml:space="preserve">        Wash Buffer: Dilute Wash Buffer (25X) with distilled water. For example, if preparing 500 ml of Wash Buffer, dilute 20 ml of Wash Buffer (25X) into 480 ml of distilled water.</w:t>
        <w:br/>
        <w:t xml:space="preserve">        </w:t>
        <w:br/>
        <w:t xml:space="preserve">        Standard: Reconstitute the standard with standard diluent according to the label instructions. This reconstitution produces a stock solution. Let the standard stand for a minimum of 15 minutes with gentle agitation prior to making dilutions.</w:t>
        <w:br/>
        <w:t xml:space="preserve">        </w:t>
        <w:br/>
        <w:t xml:space="preserve">        Detection Reagent A and B: Dilute to the working concentration using Assay Diluent A and B, respectively.</w:t>
        <w:br/>
        <w:t xml:space="preserve">        </w:t>
      </w:r>
    </w:p>
    <w:p w14:paraId="05AE0B9F" w14:textId="77777777" w:rsidR="005668F0" w:rsidRDefault="00000000">
      <w:pPr>
        <w:pStyle w:val="Heading2"/>
      </w:pPr>
      <w:r>
        <w:t>DILUTION OF STANDARD</w:t>
      </w:r>
    </w:p>
    <w:p w14:paraId="01008B7D" w14:textId="77777777" w:rsidR="005668F0" w:rsidRDefault="00000000">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br/>
        <w:t xml:space="preserve"/>
        <w:br/>
        <w:t xml:space="preserve">Avoid using the reagents from different batches together.</w:t>
        <w:br/>
        <w:t xml:space="preserve"/>
        <w:br/>
        <w:t xml:space="preserve">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br/>
        <w:t xml:space="preserve"/>
        <w:br/>
        <w:t xml:space="preserve">Kit Components/Materials Provided</w:t>
        <w:br/>
        <w:t xml:space="preserve"/>
        <w:br/>
        <w:t xml:space="preserve">Required Materials That Are Not Supplied</w:t>
        <w:br/>
        <w:t xml:space="preserve"/>
        <w:b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br/>
        <w:t xml:space="preserve"/>
        <w:br/>
        <w:t xml:space="preserve">Sample Preparation and Storage</w:t>
        <w:br/>
        <w:t xml:space="preserve"/>
        <w:br/>
        <w:t xml:space="preserve">These sample collection instructions and storage conditions are intended as a general guideline, and the sample stability has not been evaluated.</w:t>
        <w:br/>
        <w:t xml:space="preserve"/>
        <w:br/>
        <w:t xml:space="preserve">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br/>
        <w:t xml:space="preserve"/>
        <w:br/>
        <w:t xml:space="preserve">Sample Collection Notes</w:t>
        <w:br/>
        <w:t xml:space="preserve"/>
        <w:b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br/>
        <w:t xml:space="preserve"/>
        <w:br/>
        <w:t xml:space="preserve">Sample concentrations should be predicted before being used in the assay. If the sample concentration is not within the range of the standard curve, users must determine the optimal sample dilutions for their particular experiments.</w:t>
        <w:br/>
        <w:t xml:space="preserve"/>
        <w:br/>
        <w:t xml:space="preserve">Innovative Research is responsible for the quality and performance of the kit components but is NOT responsible for the performance of customer supplied samples used with the kit.</w:t>
        <w:br/>
        <w:t xml:space="preserve"/>
        <w:br/>
        <w:t xml:space="preserve">Sample Dilution Guideline</w:t>
        <w:br/>
        <w:t xml:space="preserve"/>
        <w:br/>
        <w:t xml:space="preserve">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