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pStyle w:val="Heading2"/>
        <w:spacing w:line="276" w:lineRule="auto"/>
      </w:pPr>
      <w:r>
        <w:rPr>
          <w:rFonts w:ascii="Calibri" w:hAnsi="Calibri"/>
        </w:rPr>
        <w:t>TECHNICAL DETAILS</w:t>
      </w: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