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Calibri" w:hAnsi="Calibri"/>
          <w:b/>
          <w:sz w:val="28"/>
        </w:rPr>
        <w:t xml:space="preserve">Mouse KLK1/Kallikrein 1 ELISA Kit</w:t>
      </w:r>
    </w:p>
    <w:p>
      <w:pPr>
        <w:jc w:val="center"/>
      </w:pPr>
      <w:r>
        <w:rPr>
          <w:b/>
        </w:rPr>
        <w:t xml:space="preserve">CATALOG NO: </w:t>
      </w:r>
      <w:r>
        <w:t xml:space="preserve">IMSKLK1KT</w:t>
      </w:r>
      <w:r>
        <w:rPr>
          <w:b/>
        </w:rPr>
        <w:t xml:space="preserve"> LOT NO: </w:t>
      </w:r>
      <w:r>
        <w:t xml:space="preserve">Sample</w:t>
      </w:r>
    </w:p>
    <w:p>
      <w:pPr>
        <w:pStyle w:val="Heading2"/>
      </w:pPr>
      <w:r>
        <w:t>INTENDED USE</w:t>
      </w:r>
    </w:p>
    <w:p>
      <w:r>
        <w:t xml:space="preserve"/>
      </w:r>
    </w:p>
    <w:p>
      <w:pPr>
        <w:pStyle w:val="Heading2"/>
      </w:pPr>
      <w:r>
        <w:t xml:space="preserve">BACKGROUND ON Mouse KLK1/Kallikrein 1 ELISA Kit</w:t>
      </w:r>
    </w:p>
    <w:p>
      <w:r>
        <w:t xml:space="preserve">Repeat steps a-b 2 additional times.</w:t>
        <w:br/>
        <w:t xml:space="preserve"/>
        <w:br/>
        <w:t xml:space="preserve">Discard the wash buffer in the wells into an appropriate waste receptacle. Then, invert the plate on the benchtop onto a paper towel and tap the plate to gently blot any remaining liquid.</w:t>
        <w:br/>
        <w:t xml:space="preserve"/>
        <w:br/>
        <w:t xml:space="preserve">Add 100 µl of the prepared 1x Avidin-Biotin-Peroxidase Complex into each well. Cover with the plate sealer provided and incubate for 40 minutes at RT (or 30 minutes at 37°C).</w:t>
        <w:br/>
        <w:t xml:space="preserve"/>
        <w:br/>
        <w:t xml:space="preserve">Wash the plate 5 times with the 1x wash buffer:</w:t>
        <w:br/>
        <w:t xml:space="preserve"/>
        <w:br/>
        <w:t xml:space="preserve">Discard the liquid in the wells into an appropriate waste receptacle. Then, invert the plate on the benchtop onto a paper towel and tap the plate to gently blot any remaining liquid. It is recommended that the wells are not allowed to completely dry at any time.</w:t>
        <w:br/>
        <w:t xml:space="preserve"/>
        <w:br/>
        <w:t xml:space="preserve">Add 300 µl of the 1x wash buffer to each assay well. (For cleaner background incubate for 60 seconds between each wash).</w:t>
        <w:br/>
        <w:t xml:space="preserve"/>
        <w:br/>
        <w:t xml:space="preserve">Repeat steps a-b 4 additional times.</w:t>
      </w:r>
    </w:p>
    <w:p>
      <w:pPr>
        <w:pStyle w:val="Heading2"/>
      </w:pPr>
      <w:r>
        <w:t>PRINCIPLE OF THE ASSAY</w:t>
      </w:r>
    </w:p>
    <w:p>
      <w:r>
        <w:t xml:space="preserve"/>
        <w:br/>
        <w:t xml:space="preserve"/>
        <w:b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w:t>
      </w:r>
    </w:p>
    <w:p>
      <w:pPr>
        <w:pStyle w:val="Heading2"/>
      </w:pPr>
      <w:r>
        <w:t>OVERVIEW</w:t>
      </w:r>
    </w:p>
    <w:p>
      <w:pPr>
        <w:pStyle w:val="Heading2"/>
      </w:pPr>
      <w:r>
        <w:t>TECHNICAL DETAILS</w:t>
      </w:r>
    </w:p>
    <w:p>
      <w:pPr>
        <w:pStyle w:val="Heading2"/>
      </w:pPr>
      <w:r>
        <w:t>PREPARATIONS BEFORE ASSAY</w:t>
      </w:r>
    </w:p>
    <w:p>
      <w:pPr>
        <w:pStyle w:val="Heading2"/>
      </w:pPr>
      <w:r>
        <w:t>KIT COMPONENTS/MATERIALS PROVIDED</w:t>
      </w:r>
    </w:p>
    <w:p>
      <w:pPr>
        <w:pStyle w:val="Heading2"/>
      </w:pPr>
      <w:r>
        <w:t>REQUIRED MATERIALS THAT ARE NOT SUPPLIED</w:t>
      </w:r>
    </w:p>
    <w:p>
      <w:r>
        <w:t xml:space="preserve">['Microplate reader capable of reading absorbance at 450 nm. Incubator.', 'Automated plate washer (optional)', 'Pipettes and pipette tips capable of precisely dispensing 0.5 µl through 1 ml volumes of aqueous solutions. Multichannel pipettes are recommended for a large numbers of samples.']</w:t>
      </w:r>
    </w:p>
    <w:p>
      <w:pPr>
        <w:pStyle w:val="Heading2"/>
      </w:pPr>
      <w:r>
        <w:t>TYPICAL DATA</w:t>
      </w:r>
    </w:p>
    <w:p>
      <w:pPr>
        <w:pStyle w:val="Heading2"/>
      </w:pPr>
      <w:r>
        <w:t xml:space="preserve">Mouse KLK1/Kallikrein 1 ELISA Kit STANDARD CURVE EXAMPLE</w:t>
      </w:r>
    </w:p>
    <w:p>
      <w:r>
        <w:t>This standard curve was generated for demonstration purpose only. A standard curve must be run with each assay.</w:t>
      </w:r>
    </w:p>
    <w:tbl>
      <w:tblPr>
        <w:tblStyle w:val="TableGrid"/>
        <w:tblW w:type="auto" w:w="0"/>
        <w:tblLook w:firstColumn="1" w:firstRow="1" w:lastColumn="0" w:lastRow="0" w:noHBand="0" w:noVBand="1" w:val="04A0"/>
      </w:tblPr>
      <w:tblGrid>
        <w:gridCol w:w="4320"/>
        <w:gridCol w:w="4320"/>
      </w:tblGrid>
      <w:tr>
        <w:tc>
          <w:tcPr>
            <w:tcW w:type="dxa" w:w="4320"/>
          </w:tcPr>
          <w:p>
            <w:r>
              <w:rPr>
                <w:b/>
              </w:rPr>
              <w:t>Concentration</w:t>
            </w:r>
          </w:p>
        </w:tc>
        <w:tc>
          <w:tcPr>
            <w:tcW w:type="dxa" w:w="4320"/>
          </w:tcPr>
          <w:p>
            <w:r>
              <w:rPr>
                <w:b/>
              </w:rPr>
              <w:t>OD Value</w:t>
            </w:r>
          </w:p>
        </w:tc>
      </w:tr>
      <w:tr>
        <w:tc>
          <w:tcPr>
            <w:tcW w:type="dxa" w:w="4320"/>
          </w:tcPr>
          <w:p>
            <w:r>
              <w:t xml:space="preserve">0.0</w:t>
            </w:r>
          </w:p>
        </w:tc>
        <w:tc>
          <w:tcPr>
            <w:tcW w:type="dxa" w:w="4320"/>
          </w:tcPr>
          <w:p>
            <w:r>
              <w:t xml:space="preserve">0.061</w:t>
            </w:r>
          </w:p>
        </w:tc>
      </w:tr>
      <w:tr>
        <w:tc>
          <w:tcPr>
            <w:tcW w:type="dxa" w:w="4320"/>
          </w:tcPr>
          <w:p>
            <w:r>
              <w:t xml:space="preserve"/>
            </w:r>
          </w:p>
        </w:tc>
        <w:tc>
          <w:tcPr>
            <w:tcW w:type="dxa" w:w="4320"/>
          </w:tcPr>
          <w:p>
            <w:r>
              <w:t xml:space="preserve"/>
            </w:r>
          </w:p>
        </w:tc>
      </w:tr>
      <w:tr>
        <w:tc>
          <w:tcPr>
            <w:tcW w:type="dxa" w:w="4320"/>
          </w:tcPr>
          <w:p>
            <w:r>
              <w:t xml:space="preserve"/>
            </w:r>
          </w:p>
        </w:tc>
        <w:tc>
          <w:tcPr>
            <w:tcW w:type="dxa" w:w="4320"/>
          </w:tcPr>
          <w:p>
            <w:r>
              <w:t xml:space="preserve"/>
            </w:r>
          </w:p>
        </w:tc>
      </w:tr>
      <w:tr>
        <w:tc>
          <w:tcPr>
            <w:tcW w:type="dxa" w:w="4320"/>
          </w:tcPr>
          <w:p>
            <w:r>
              <w:t xml:space="preserve"/>
            </w:r>
          </w:p>
        </w:tc>
        <w:tc>
          <w:tcPr>
            <w:tcW w:type="dxa" w:w="4320"/>
          </w:tcPr>
          <w:p>
            <w:r>
              <w:t xml:space="preserve"/>
            </w:r>
          </w:p>
        </w:tc>
      </w:tr>
      <w:tr>
        <w:tc>
          <w:tcPr>
            <w:tcW w:type="dxa" w:w="4320"/>
          </w:tcPr>
          <w:p>
            <w:r>
              <w:t xml:space="preserve"/>
            </w:r>
          </w:p>
        </w:tc>
        <w:tc>
          <w:tcPr>
            <w:tcW w:type="dxa" w:w="4320"/>
          </w:tcPr>
          <w:p>
            <w:r>
              <w:t xml:space="preserve"/>
            </w:r>
          </w:p>
        </w:tc>
      </w:tr>
      <w:tr>
        <w:tc>
          <w:tcPr>
            <w:tcW w:type="dxa" w:w="4320"/>
          </w:tcPr>
          <w:p>
            <w:r>
              <w:t xml:space="preserve"/>
            </w:r>
          </w:p>
        </w:tc>
        <w:tc>
          <w:tcPr>
            <w:tcW w:type="dxa" w:w="4320"/>
          </w:tcPr>
          <w:p>
            <w:r>
              <w:t xml:space="preserve"/>
            </w:r>
          </w:p>
        </w:tc>
      </w:tr>
      <w:tr>
        <w:tc>
          <w:tcPr>
            <w:tcW w:type="dxa" w:w="4320"/>
          </w:tcPr>
          <w:p>
            <w:r>
              <w:t xml:space="preserve"/>
            </w:r>
          </w:p>
        </w:tc>
        <w:tc>
          <w:tcPr>
            <w:tcW w:type="dxa" w:w="4320"/>
          </w:tcPr>
          <w:p>
            <w:r>
              <w:t xml:space="preserve"/>
            </w:r>
          </w:p>
        </w:tc>
      </w:tr>
      <w:tr>
        <w:tc>
          <w:tcPr>
            <w:tcW w:type="dxa" w:w="4320"/>
          </w:tcPr>
          <w:p>
            <w:r>
              <w:t xml:space="preserve"/>
            </w:r>
          </w:p>
        </w:tc>
        <w:tc>
          <w:tcPr>
            <w:tcW w:type="dxa" w:w="4320"/>
          </w:tcPr>
          <w:p>
            <w:r>
              <w:t xml:space="preserve"/>
            </w:r>
          </w:p>
        </w:tc>
      </w:tr>
    </w:tbl>
    <w:p>
      <w:pPr>
        <w:pStyle w:val="Heading2"/>
      </w:pPr>
      <w:r>
        <w:t>INTRA/INTER-ASSAY VARIABILITY</w:t>
      </w:r>
    </w:p>
    <w:p>
      <w:r>
        <w:t>Intra-Assay Precision (Precision within an assay): Three samples of known concentration were tested on one plate to assess intra-assay precision.</w:t>
      </w:r>
    </w:p>
    <w:p>
      <w:r>
        <w:t>Inter-Assay Precision (Precision across assays): Three samples of known concentration were tested in separate assays to assess inter- assay precision.</w:t>
      </w:r>
    </w:p>
    <w:p>
      <w:pPr>
        <w:pStyle w:val="Heading2"/>
      </w:pPr>
      <w:r>
        <w:t>REPRODUCIBILITY</w:t>
      </w:r>
    </w:p>
    <w:p>
      <w:r>
        <w:t>*number of samples for each test n=16.</w:t>
      </w:r>
    </w:p>
    <w:p>
      <w:pPr>
        <w:pStyle w:val="Heading2"/>
      </w:pPr>
      <w:r>
        <w:t>PREPARATION BEFORE THE EXPERIMENT</w:t>
      </w:r>
    </w:p>
    <w:p>
      <w:r>
        <w:t xml:space="preserve"/>
      </w:r>
    </w:p>
    <w:p>
      <w:pPr>
        <w:pStyle w:val="Heading2"/>
      </w:pPr>
      <w:r>
        <w:t xml:space="preserve">DILUTION OF Mouse KLK1/Kallikrein 1 ELISA Kit STANDARD</w:t>
      </w:r>
    </w:p>
    <w:p>
      <w:r>
        <w:t xml:space="preserve"/>
        <w:br/>
        <w:t xml:space="preserve">        1. Label 7 tubes, one for each standard: 4000 pg/ml, 2000 pg/ml, 1000 pg/ml, 500 pg/ml, 250 pg/ml, 125 pg/ml, and 62.5 pg/ml.</w:t>
        <w:br/>
        <w:t xml:space="preserve">        2. Pipette 300 µl of the Sample Diluent into each tube.</w:t>
        <w:br/>
        <w:t xml:space="preserve">        3. Pipette 300 µl of the reconstituted standard into the first tube and mix to create the 4000 pg/ml standard.</w:t>
        <w:br/>
        <w:t xml:space="preserve">        4. Pipette 300 µl from the 4000 pg/ml tube into the second tube and mix to create the 2000 pg/ml standard.</w:t>
        <w:br/>
        <w:t xml:space="preserve">        5. Continue this process for the remaining tubes.</w:t>
        <w:br/>
        <w:t xml:space="preserve">        6. The Sample Diluent serves as the zero standard (0 pg/ml).</w:t>
        <w:br/>
        <w:t xml:space="preserve">        </w:t>
      </w:r>
    </w:p>
    <w:p>
      <w:pPr>
        <w:pStyle w:val="Heading2"/>
      </w:pPr>
      <w:r>
        <w:t>SAMPLE PREPARATION AND STORAGE</w:t>
      </w:r>
    </w:p>
    <w:p>
      <w:r>
        <w:t xml:space="preserve">Innovative Research recommends that samples are used immediately upon preparation.</w:t>
        <w:br/>
        <w:t xml:space="preserve"/>
        <w:br/>
        <w:t xml:space="preserve">Avoid repeated freeze/thaw cycles for all samples.</w:t>
        <w:br/>
        <w:t xml:space="preserve"/>
        <w:br/>
        <w:t xml:space="preserve">In the event that a sample type not listed above is intended to be used with the kit, it is recommended that the customer conduct validation experiments in order to be confident in the results.</w:t>
        <w:br/>
        <w:t xml:space="preserve"/>
        <w:br/>
        <w:t xml:space="preserve">Due to chemical interference, the use of tissue or cell extraction samples prepared by chemical lysis buffers may result in inaccurate results.</w:t>
        <w:br/>
        <w:t xml:space="preserve"/>
        <w:br/>
        <w:t xml:space="preserve">Due to factors including cell viability, cell number, or sampling time, samples from cell culture supernatant may not be detected by the kit.</w:t>
        <w:br/>
        <w:t xml:space="preserve"/>
        <w:br/>
        <w:t xml:space="preserve">Samples should be brought to room temperature (18-25°C) before performing the assay without the use of extra heating.</w:t>
      </w:r>
    </w:p>
    <w:p>
      <w:pPr>
        <w:pStyle w:val="Heading2"/>
      </w:pPr>
      <w:r>
        <w:t>SAMPLE COLLECTION NOTES</w:t>
      </w:r>
    </w:p>
    <w:p>
      <w:pPr>
        <w:pStyle w:val="Heading2"/>
      </w:pPr>
      <w:r>
        <w:t>SAMPLE DILUTION GUIDELINE</w:t>
      </w:r>
    </w:p>
    <w:p>
      <w:pPr>
        <w:pStyle w:val="Heading2"/>
      </w:pPr>
      <w:r>
        <w:t>ASSAY PROCEDURE</w:t>
      </w:r>
    </w:p>
    <w:p>
      <w:r>
        <w:t xml:space="preserve">{% for step in assay_protocol %}</w:t>
      </w:r>
    </w:p>
    <w:p>
      <w:r>
        <w:t xml:space="preserve">{{ step }}</w:t>
      </w:r>
    </w:p>
    <w:p>
      <w:r>
        <w:t xml:space="preserve">{% endfor %}</w:t>
      </w:r>
    </w:p>
    <w:p>
      <w:pPr>
        <w:pStyle w:val="Heading2"/>
      </w:pPr>
      <w:r>
        <w:t>DATA ANALYSIS</w:t>
      </w:r>
    </w:p>
    <w:p>
      <w:r>
        <w:t xml:space="preserve">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w:t>
        <w:br/>
        <w:t xml:space="preserve"/>
        <w:b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w:t>
        <w:br/>
        <w:t xml:space="preserve"/>
        <w:br/>
        <w:t xml:space="preserve">PubMed ID: 10.1186/s12014-021-09335-9, Proteomics and functional study reveal kallikrein-6 enhances communicating hydrocephalus Visit bosterbio.com/mouse-klk1-picokine-trade-elisa-kit-ek1586-innovative research.html to see all 1 publications. </w:t>
      </w:r>
    </w:p>
    <w:p>
      <w:pPr>
        <w:pStyle w:val="Heading2"/>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Style"/>
      <w:jc w:val="left"/>
    </w:pPr>
    <w:r>
      <w:t>www.innov-research.com</w:t>
    </w:r>
  </w:p>
  <w:p>
    <w:pPr>
      <w:jc w:val="left"/>
    </w:pPr>
    <w:r>
      <w:t>Ph: 248.896.0145 | Fx: 248.896.0149</w:t>
    </w:r>
  </w:p>
  <w:p>
    <w:pPr>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olor w:val="000080"/>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HeaderStyle">
    <w:name w:val="Header Style"/>
    <w:rPr>
      <w:rFonts w:ascii="Calibri" w:hAnsi="Calibri"/>
      <w:b/>
      <w:color w:val="00008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