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EK2038</w:t>
      </w:r>
    </w:p>
    <w:p>
      <w:pPr>
        <w:pStyle w:val="Heading2"/>
        <w:jc w:val="right"/>
      </w:pPr>
      <w:r>
        <w:rPr>
          <w:color w:val="0046B4"/>
        </w:rPr>
        <w:t xml:space="preserve">LOT NO: </w:t>
      </w:r>
      <w:r>
        <w:t xml:space="preserve">LOT#_______</w:t>
      </w:r>
    </w:p>
    <w:p>
      <w:pPr>
        <w:pStyle w:val="Heading2"/>
      </w:pPr>
      <w:r>
        <w:t>INTENDED USE</w:t>
      </w:r>
    </w:p>
    <w:p>
      <w:r>
        <w:t xml:space="preserve">For the quantitation of Human TCN2 concentrations in cell culture supernatants, serum, plasma (heparin, EDTA) and urine.</w:t>
      </w:r>
    </w:p>
    <w:p>
      <w:r>
        <w:br w:type="page"/>
      </w:r>
    </w:p>
    <w:p>
      <w:pPr>
        <w:pStyle w:val="Heading2"/>
      </w:pPr>
      <w:r>
        <w:t>BACKGROUND</w:t>
      </w:r>
    </w:p>
    <w:p>
      <w:r>
        <w:t xml:space="preserve">TCN2 (Transcobalamin II; also TC-2 or TC) is a 42-44 kDa, monomeric, secreted member of the eukaryotic cobalamin transport family of molecules. This gene is mapped to 22q12.2. This gene encodes a member of the vitamin B12-binding protein family. This family of proteins, alternatively referred to as R binders, is expressed in various tissues and secretions. This plasma protein binds cobalamin and mediates the transport of cobalamin into cells. This protein and other mammalian cobalamin-binding proteins, such as transcobalamin I and gastric intrisic factor, may have evolved by duplication of a common ancestral gene. Alternative splicing results in multiple transcript variants. Human TCN2/Transcobalamin-2 ELISA Kit</w:t>
      </w:r>
    </w:p>
    <w:p>
      <w:pPr>
        <w:pStyle w:val="Heading2"/>
      </w:pPr>
      <w:r>
        <w:t>PRINCIPLE OF THE ASSAY</w:t>
      </w:r>
    </w:p>
    <w:p>
      <w:r>
        <w:t xml:space="preserve">The Innovative Research Human TCN2 Pre-Coated ELISA (Enzyme-Linked Immunosorbent Assay) kit is a solid-phase immunoassay specially designed to measure Human TCN2 with a 96-well strip plate that is pre-coated with antibody specific for TCN2. The detection antibody is a biotinylated antibody specific for TCN2. The capture antibody is a monoclonal antibody from mouse and the detection antibody is a biotinylated polyclonal antibody from goat. The kit includes Human TCN2 protein as standards. To measure Human TCN2,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Human TCN2 in the sample. Read the absorbance of the yellow product in each well using a plate reader, and benchmark the sample wells' readings against the standard curve to determine the concentration of Human TCN2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Human TCN2/Transcobalamin-2 ELISA Kit</w:t>
            </w:r>
          </w:p>
        </w:tc>
      </w:tr>
      <w:tr>
        <w:tc>
          <w:tcPr>
            <w:tcW w:type="dxa" w:w="3600"/>
          </w:tcPr>
          <w:p>
            <w:r>
              <w:t>Reactive Species</w:t>
            </w:r>
          </w:p>
        </w:tc>
        <w:tc>
          <w:tcPr>
            <w:tcW w:type="dxa" w:w="5040"/>
          </w:tcPr>
          <w:p>
            <w:r>
              <w:t xml:space="preserve">This kit is for the detection of Human TCN2. No significant cross-reactivity or interference between TCN2 and its analogs was observed. This claim is limited by existing techniques; therefore, cross- reactivity may exist with untested analogs.</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Human TCN2 ELISA Kit  (96 Tests). Quantitate Human TCN2 in cell culture supernatants, serum, plasma (heparin, EDTA) and urine. Sensitivity: 50pg/ml.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50 pg/ml</w:t>
            </w:r>
          </w:p>
        </w:tc>
      </w:tr>
      <w:tr>
        <w:tc>
          <w:tcPr>
            <w:tcW w:type="dxa" w:w="3600"/>
          </w:tcPr>
          <w:p>
            <w:r>
              <w:t>Detection Range</w:t>
            </w:r>
          </w:p>
        </w:tc>
        <w:tc>
          <w:tcPr>
            <w:tcW w:type="dxa" w:w="5040"/>
          </w:tcPr>
          <w:p>
            <w:r>
              <w:t xml:space="preserve">156 pg/ml - 10,000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P20062</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The capture antibody is a monoclonal antibody from mouse and the detection antibody is a biotinylated polyclonal antibody from goat.</w:t>
            </w:r>
          </w:p>
        </w:tc>
      </w:tr>
      <w:tr>
        <w:tc>
          <w:tcPr>
            <w:tcW w:type="dxa" w:w="4320"/>
          </w:tcPr>
          <w:p>
            <w:r>
              <w:t>Specificity</w:t>
            </w:r>
          </w:p>
        </w:tc>
        <w:tc>
          <w:tcPr>
            <w:tcW w:type="dxa" w:w="4320"/>
          </w:tcPr>
          <w:p>
            <w:r>
              <w:t xml:space="preserve">Natural and recombinant Human TCN2</w:t>
            </w:r>
          </w:p>
        </w:tc>
      </w:tr>
      <w:tr>
        <w:tc>
          <w:tcPr>
            <w:tcW w:type="dxa" w:w="4320"/>
          </w:tcPr>
          <w:p>
            <w:r>
              <w:t>Standard Protein</w:t>
            </w:r>
          </w:p>
        </w:tc>
        <w:tc>
          <w:tcPr>
            <w:tcW w:type="dxa" w:w="4320"/>
          </w:tcPr>
          <w:p>
            <w:r>
              <w:t xml:space="preserve">Expression system for standard: NS0; Immunogen sequence: E19-W427</w:t>
            </w:r>
          </w:p>
        </w:tc>
      </w:tr>
      <w:tr>
        <w:tc>
          <w:tcPr>
            <w:tcW w:type="dxa" w:w="4320"/>
          </w:tcPr>
          <w:p>
            <w:r>
              <w:t>Cross-reactivity</w:t>
            </w:r>
          </w:p>
        </w:tc>
        <w:tc>
          <w:tcPr>
            <w:tcW w:type="dxa" w:w="4320"/>
          </w:tcPr>
          <w:p>
            <w:r>
              <w:t xml:space="preserve">This kit is for the detection of Human TCN2. No significant cross-reactivity or interference between TCN2 and its analogs was observed. This claim is limited by existing techniques; therefore, cross- reactivity may exist with untested analogs.</w:t>
            </w:r>
          </w:p>
        </w:tc>
      </w:tr>
    </w:tbl>
    <w:p>
      <w:r>
        <w:t xml:space="preserve"/>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tr>
            <w:tc>
              <w:p>Anti-Human TCN2 Pre-coated 96-well Strip Microplate</w:p>
            </w:tc>
            <w:tc>
              <w:p>1</w:p>
            </w:tc>
          </w:tr>
          <w:tr>
            <w:tc>
              <w:p>Human TCN2 Standard</w:p>
            </w:tc>
            <w:tc>
              <w:p>2</w:p>
            </w:tc>
          </w:tr>
          <w:tr>
            <w:tc>
              <w:p>Human TCN2 Biotinylated Antibody (100x)</w:p>
            </w:tc>
            <w:tc>
              <w:p>1</w:p>
            </w:tc>
          </w:tr>
          <w:tr>
            <w:tc>
              <w:p>Avidin-Biotin-Peroxidase Complex (100x)</w:p>
            </w:tc>
            <w:tc>
              <w:p>1</w:p>
            </w:tc>
          </w:tr>
          <w:tr>
            <w:tc>
              <w:p>Sample Diluent</w:p>
            </w:tc>
            <w:tc>
              <w:p>1</w:p>
            </w:tc>
          </w:tr>
          <w:tr>
            <w:tc>
              <w:p>Antibody Diluent</w:p>
            </w:tc>
            <w:tc>
              <w:p>1</w:p>
            </w:tc>
          </w:tr>
          <w:tr>
            <w:tc>
              <w:p>Avidin-Biotin-Peroxidase Diluent</w:p>
            </w:tc>
            <w:tc>
              <w:p>1</w:p>
            </w:tc>
          </w:tr>
          <w:tr>
            <w:tc>
              <w:p>Color Developing Reagent (TMB)</w:p>
            </w:tc>
            <w:tc>
              <w:p>1</w:p>
            </w:tc>
          </w:tr>
          <w:tr>
            <w:tc>
              <w:p>Stop Solution</w:p>
            </w:tc>
            <w:tc>
              <w:p>1</w:p>
            </w:tc>
          </w:tr>
          <w:tr>
            <w:tc>
              <w:p>Wash Buffer (25x)</w:p>
            </w:tc>
            <w:tc>
              <w:p>1</w:p>
            </w:tc>
          </w:tr>
          <w:tr>
            <w:tc>
              <w:p>Plate Sealers</w:p>
            </w:tc>
            <w:tc>
              <w:p>4</w:p>
            </w:tc>
          </w:tr>
        </w:t>
      </w:r>
    </w:p>
    <w:p>
      <w:pPr>
        <w:pStyle w:val="Heading2"/>
      </w:pPr>
      <w: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w:t>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'0.129'}]</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Anti-Human TCN2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TCN2 TCN2 (Transcobalamin II; also TC-2 or TC) is a 42-44 kDa, monomeric, secreted member of the eukaryotic cobalamin transport family of molecules. This gene is mapped to 22q12.2. This gene encodes a member of the vitamin B12-binding protein family. This family of proteins, alternatively referred to as R binders, is expressed in various tissues and secretions. This plasma protein binds cobalamin and mediates the transport of cobalamin into cells. This protein and other mammalian cobalamin-binding proteins, such as transcobalamin I and gastric intrisic factor, may have evolved by duplication of a common ancestral gene. Alternative splicing results in multiple transcript variants. Human TCN2/Transcobalamin-2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