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jc w:val="center"/>
      </w:pPr>
      <w:r>
        <w:rPr>
          <w:b/>
        </w:rPr>
        <w:t xml:space="preserve">CATALOG NO: </w:t>
      </w:r>
      <w:r>
        <w:t xml:space="preserve">EK1586</w:t>
      </w:r>
      <w:r>
        <w:rPr>
          <w:b/>
        </w:rPr>
        <w:t xml:space="preserve">   LOT NO: </w:t>
      </w:r>
      <w:r>
        <w:t xml:space="preserve">LOT#_______</w:t>
      </w:r>
    </w:p>
    <w:p>
      <w:pPr>
        <w:pStyle w:val="Heading2"/>
      </w:pPr>
      <w:r>
        <w:t>INTENDED USE</w:t>
      </w:r>
    </w:p>
    <w:p>
      <w:r>
        <w:t xml:space="preserve"/>
      </w:r>
    </w:p>
    <w:p>
      <w:r>
        <w:br w:type="page"/>
      </w:r>
    </w:p>
    <w:p>
      <w:pPr>
        <w:pStyle w:val="Heading2"/>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w:t>
        <w:br/>
        <w:t xml:space="preserve"/>
        <w:br/>
        <w:t xml:space="preserve">Reactive Species: Mouse</w:t>
        <w:br/>
        <w:t xml:space="preserve"/>
        <w:br/>
        <w:t xml:space="preserve">Size: 96 wells/kit, with removable strips.</w:t>
        <w:br/>
        <w:t xml:space="preserve"/>
        <w:b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12 pg/ml</w:t>
        <w:br/>
        <w:t xml:space="preserve"/>
        <w:br/>
        <w:t xml:space="preserve">Detection Range: 62.5 pg/ml - 4,000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P15947</w:t>
        <w:br/>
        <w:t xml:space="preserve"/>
        <w:br/>
        <w:t xml:space="preserve">Capture/Detection Antibodies: The capture antibody is monoclonal antibody from rat and the detection antibody is polyclonal antibody from goat.</w:t>
        <w:br/>
        <w:t xml:space="preserve"/>
        <w:br/>
        <w:t xml:space="preserve">Specificity: Natural and recombinant Mouse Klk1</w:t>
        <w:br/>
        <w:t xml:space="preserve"/>
        <w:br/>
        <w:t xml:space="preserve">Standard Protein: Expression system for standard: NS0; Immunogen sequence: I25-D261</w:t>
        <w:br/>
        <w:t xml:space="preserve"/>
        <w:b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008B"/>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