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IMSKLK1KT</w:t>
      </w:r>
      <w:r>
        <w:tab/>
      </w:r>
      <w:r>
        <w:tab/>
        <w:t xml:space="preserve">LOT NO: 20250424</w:t>
      </w:r>
    </w:p>
    <w:p w14:paraId="73A99FC1" w14:textId="77777777" w:rsidR="005668F0" w:rsidRDefault="00000000">
      <w:pPr>
        <w:pStyle w:val="Heading2"/>
      </w:pPr>
      <w:r>
        <w:t>INTENDED USE</w:t>
      </w:r>
    </w:p>
    <w:p w14:paraId="4D629624" w14:textId="77777777" w:rsidR="005668F0" w:rsidRDefault="00000000">
      <w:r>
        <w:t xml:space="preserve"/>
      </w:r>
    </w:p>
    <w:p w14:paraId="5A26B3A0" w14:textId="77777777" w:rsidR="005668F0" w:rsidRDefault="00000000">
      <w:pPr>
        <w:pStyle w:val="Heading2"/>
      </w:pPr>
      <w:r>
        <w:t>BACKGROUND</w:t>
      </w:r>
    </w:p>
    <w:p w14:paraId="19C5E515" w14:textId="77777777" w:rsidR="005668F0" w:rsidRDefault="00000000">
      <w:r>
        <w:t xml:space="preserve"/>
        <w:br/>
        <w:t xml:space="preserve">    Kallikreins are a group of serine proteases with diverse physiological functions. </w:t>
        <w:br/>
        <w:t xml:space="preserve">    Kallikrein 1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14:paraId="57F215F1" w14:textId="77777777" w:rsidR="005668F0" w:rsidRDefault="00000000">
      <w:pPr>
        <w:pStyle w:val="Heading2"/>
      </w:pPr>
      <w:r>
        <w:t>PRINCIPLE OF THE ASSAY</w:t>
      </w:r>
    </w:p>
    <w:p w14:paraId="7D40AB0B" w14:textId="77777777" w:rsidR="005668F0" w:rsidRDefault="00000000">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