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preparations_numbered }}</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reagents_table_html|safe }}</w:t>
      </w:r>
    </w:p>
    <w:p>
      <w:pPr>
        <w:pStyle w:val="Heading2"/>
      </w:pPr>
      <w:r>
        <w:t>MATERIALS REQUIRED BUT NOT PROVIDED</w:t>
      </w:r>
    </w:p>
    <w:p>
      <w:r>
        <w:t>{{ required_materials_list_html|safe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standard_curve_table_html|safe }}</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r>
        <w:t>{{ assay_protocol_html|safe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