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kit_name }}</w:t>
      </w:r>
    </w:p>
    <w:p>
      <w:pPr>
        <w:pStyle w:val="Heading2"/>
        <w:jc w:val="left"/>
      </w:pPr>
      <w:r>
        <w:rPr>
          <w:color w:val="0046B4"/>
        </w:rPr>
        <w:t xml:space="preserve">CATALOG NO: </w:t>
      </w:r>
      <w:r>
        <w:t>{{ catalog_number }}</w:t>
      </w:r>
    </w:p>
    <w:p>
      <w:pPr>
        <w:pStyle w:val="Heading2"/>
        <w:jc w:val="right"/>
      </w:pPr>
      <w:r>
        <w:rPr>
          <w:color w:val="0046B4"/>
        </w:rPr>
        <w:t xml:space="preserve">LOT NO: </w:t>
      </w:r>
      <w:r>
        <w:t>{{ lot_number }}</w:t>
      </w:r>
    </w:p>
    <w:p>
      <w:pPr>
        <w:pStyle w:val="Heading2"/>
      </w:pPr>
      <w:r>
        <w:t>INTENDED USE</w:t>
      </w:r>
    </w:p>
    <w:p>
      <w:r>
        <w:t>{{ intended_use }}</w:t>
      </w:r>
    </w:p>
    <w:p>
      <w:r>
        <w:br w:type="page"/>
      </w:r>
    </w:p>
    <w:p>
      <w:pPr>
        <w:pStyle w:val="Heading2"/>
      </w:pPr>
      <w:r>
        <w:t>BACKGROUND</w:t>
      </w:r>
    </w:p>
    <w:p>
      <w:r>
        <w:t>{{ background }}</w:t>
      </w:r>
    </w:p>
    <w:p>
      <w:pPr>
        <w:pStyle w:val="Heading2"/>
      </w:pPr>
      <w:r>
        <w:t>PRINCIPLE OF THE ASSAY</w:t>
      </w:r>
    </w:p>
    <w:p>
      <w:r>
        <w:t>{{ assay_principle }}</w:t>
      </w:r>
    </w:p>
    <w:p>
      <w:pPr>
        <w:pStyle w:val="Heading2"/>
      </w:pPr>
      <w:r>
        <w:t>OVERVIEW</w:t>
      </w:r>
    </w:p>
    <w:p>
      <w:r>
        <w:t>{{ overview }}</w:t>
      </w:r>
    </w:p>
    <w:p>
      <w:pPr>
        <w:pStyle w:val="Heading2"/>
      </w:pPr>
      <w:r>
        <w:t>TECHNICAL DETAILS</w:t>
      </w:r>
    </w:p>
    <w:p>
      <w:r>
        <w:t>{{ technical_details }}</w:t>
      </w:r>
    </w:p>
    <w:p>
      <w:pPr>
        <w:pStyle w:val="Heading2"/>
      </w:pPr>
      <w:r>
        <w:t>PREPARATIONS BEFORE ASSAY</w:t>
      </w:r>
    </w:p>
    <w:p>
      <w:r>
        <w:t>{{ preparations_before_assay }}</w:t>
      </w:r>
    </w:p>
    <w:p>
      <w:pPr>
        <w:pStyle w:val="Heading2"/>
      </w:pPr>
      <w:r>
        <w:t>KIT COMPONENTS/MATERIALS PROVIDED</w:t>
      </w:r>
    </w:p>
    <w:tbl>
      <w:tblPr>
        <w:tblStyle w:val="TableGrid"/>
        <w:tblW w:type="auto" w:w="0"/>
        <w:tblLayout w:type="autofit"/>
        <w:tblLook w:firstColumn="1" w:firstRow="1" w:lastColumn="0" w:lastRow="0" w:noHBand="0" w:noVBand="1" w:val="04A0"/>
      </w:tblPr>
      <w:tblGrid>
        <w:gridCol w:w="5400"/>
        <w:gridCol w:w="5400"/>
      </w:tblGrid>
      <w:tr>
        <w:tc>
          <w:tcPr>
            <w:tcW w:type="dxa" w:w="5760"/>
          </w:tcPr>
          <w:p>
            <w:r>
              <w:rPr>
                <w:b/>
              </w:rPr>
              <w:t>Component</w:t>
            </w:r>
          </w:p>
        </w:tc>
        <w:tc>
          <w:tcPr>
            <w:tcW w:type="dxa" w:w="2880"/>
          </w:tcPr>
          <w:p>
            <w:r>
              <w:rPr>
                <w:b/>
              </w:rPr>
              <w:t>Quantity</w:t>
            </w:r>
          </w:p>
        </w:tc>
      </w:tr>
    </w:tbl>
    <w:p>
      <w:r>
        <w:t>{{ reagents_table_html|safe }}</w:t>
      </w:r>
    </w:p>
    <w:p>
      <w:pPr>
        <w:pStyle w:val="Heading2"/>
      </w:pPr>
      <w:r>
        <w:t>MATERIALS REQUIRED BUT NOT PROVIDED</w:t>
      </w:r>
    </w:p>
    <w:p>
      <w:r>
        <w:t>{{ required_materials_list_html|safe }}</w:t>
      </w:r>
    </w:p>
    <w:p>
      <w:pPr>
        <w:pStyle w:val="Heading2"/>
      </w:pPr>
      <w:r>
        <w:t>REAGENT PREPARATION</w:t>
      </w:r>
    </w:p>
    <w:p>
      <w:r>
        <w:t>{{ reagent_preparation }}</w:t>
      </w:r>
    </w:p>
    <w:p>
      <w:pPr>
        <w:pStyle w:val="Heading2"/>
      </w:pPr>
      <w:r>
        <w:t>SAMPLE PREPARATION</w:t>
      </w:r>
    </w:p>
    <w:p>
      <w:r>
        <w:t>{{ sample_preparation }}</w:t>
      </w:r>
    </w:p>
    <w:p>
      <w:pPr>
        <w:pStyle w:val="Heading2"/>
      </w:pPr>
      <w:r>
        <w:t>DILUTION OF STANDARD</w:t>
      </w:r>
    </w:p>
    <w:p>
      <w:r>
        <w:t>{{ dilution_of_standard }}</w:t>
      </w:r>
    </w:p>
    <w:p>
      <w:pPr>
        <w:pStyle w:val="Heading2"/>
      </w:pPr>
      <w:r>
        <w:t>TYPICAL DATA / STANDARD CURVE</w:t>
      </w:r>
    </w:p>
    <w:p>
      <w:r>
        <w:t>This standard curve is provided for demonstration only. A standard curve should be generated for each set of samples assayed.</w:t>
      </w:r>
    </w:p>
    <w:tbl>
      <w:tblPr>
        <w:tblStyle w:val="TableGrid"/>
        <w:tblW w:type="auto" w:w="0"/>
        <w:tblLayout w:type="autofit"/>
        <w:tblLook w:firstColumn="1" w:firstRow="1" w:lastColumn="0" w:lastRow="0" w:noHBand="0" w:noVBand="1" w:val="04A0"/>
      </w:tblPr>
      <w:tblGrid>
        <w:gridCol w:w="5400"/>
        <w:gridCol w:w="5400"/>
      </w:tblGrid>
      <w:tr>
        <w:tc>
          <w:tcPr>
            <w:tcW w:type="dxa" w:w="5400"/>
          </w:tcPr>
          <w:p>
            <w:r>
              <w:rPr>
                <w:b/>
              </w:rPr>
              <w:t>Concentration (pg/ml)</w:t>
            </w:r>
          </w:p>
        </w:tc>
        <w:tc>
          <w:tcPr>
            <w:tcW w:type="dxa" w:w="5400"/>
          </w:tcPr>
          <w:p>
            <w:r>
              <w:rPr>
                <w:b/>
              </w:rPr>
              <w:t>O.D.</w:t>
            </w:r>
          </w:p>
        </w:tc>
      </w:tr>
    </w:tbl>
    <w:p>
      <w:r>
        <w:t>{{ standard_curve_table_html|safe }}</w:t>
      </w:r>
    </w:p>
    <w:p>
      <w:pPr>
        <w:pStyle w:val="Heading2"/>
      </w:pPr>
      <w:r>
        <w:t>INTRA/INTER-ASSAY VARIABILITY</w:t>
      </w:r>
    </w:p>
    <w:p>
      <w:r>
        <w:t>- Intra-Assay Precision: Three samples of known concentration were tested on one plate to assess intra-assay precision.</w:t>
      </w:r>
    </w:p>
    <w:p>
      <w:r>
        <w:t>- Inter-Assay Precision: Three samples of known concentration were tested in separate assays to assess inter-assay precision.</w:t>
      </w:r>
    </w:p>
    <w:p>
      <w:r>
        <w:t>{{ variability_data }}</w:t>
      </w:r>
    </w:p>
    <w:p>
      <w:pPr>
        <w:pStyle w:val="Heading2"/>
      </w:pPr>
      <w:r>
        <w:t>ASSAY PROTOCOL</w:t>
      </w:r>
    </w:p>
    <w:p>
      <w:r>
        <w:t>{{ assay_protocol_html|safe }}</w:t>
      </w:r>
    </w:p>
    <w:p>
      <w:pPr>
        <w:pStyle w:val="Heading2"/>
      </w:pPr>
      <w:r>
        <w:t>DATA ANALYSIS</w:t>
      </w:r>
    </w:p>
    <w:p>
      <w:r>
        <w:t>{{ data_analysis }}</w:t>
      </w:r>
    </w:p>
    <w:p>
      <w:pPr>
        <w:pStyle w:val="Heading2"/>
      </w:pPr>
      <w:r>
        <w:t>DISCLAIMER</w:t>
      </w:r>
    </w:p>
    <w:p>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foot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InfoStyle"/>
      <w:jc w:val="left"/>
    </w:pPr>
    <w:r>
      <w:t>www.innov-research.com</w:t>
    </w:r>
  </w:p>
  <w:p>
    <w:pPr>
      <w:pStyle w:val="FooterInfoStyle"/>
      <w:jc w:val="left"/>
    </w:pPr>
    <w:r>
      <w:t>Ph: 248.896.0145 | Fx: 248.896.0149</w:t>
    </w:r>
  </w:p>
  <w:p>
    <w:pPr>
      <w:pStyle w:val="FooterCompanyStyle"/>
      <w:jc w:val="right"/>
    </w:pPr>
    <w:r>
      <w:t>Innovative Research, Inc.</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line="276" w:lineRule="auto"/>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jc w:val="center"/>
      <w:outlineLvl w:val="0"/>
    </w:pPr>
    <w:rPr>
      <w:rFonts w:asciiTheme="majorHAnsi" w:eastAsiaTheme="majorEastAsia" w:hAnsiTheme="majorHAnsi" w:cstheme="majorBidi" w:ascii="Calibri" w:hAnsi="Calibri"/>
      <w:b/>
      <w:bCs/>
      <w:color w:val="365F91" w:themeColor="accent1" w:themeShade="BF"/>
      <w:sz w:val="7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aps/>
      <w:color w:val="0046B4"/>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ind w:left="360" w:hanging="360"/>
      <w:contextualSpacing/>
    </w:pPr>
    <w:rPr>
      <w:rFonts w:ascii="Calibri" w:hAnsi="Calibri"/>
      <w:sz w:val="22"/>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FooterCompanyStyle">
    <w:name w:val="Footer Company Style"/>
    <w:rPr>
      <w:rFonts w:ascii="Calibri" w:hAnsi="Calibri"/>
      <w:b/>
      <w:sz w:val="48"/>
    </w:rPr>
  </w:style>
  <w:style w:type="paragraph" w:customStyle="1" w:styleId="FooterInfoStyle">
    <w:name w:val="Footer Info Style"/>
    <w:rPr>
      <w:rFonts w:ascii="Open Sans Light" w:hAnsi="Open Sans Light"/>
      <w:sz w:val="24"/>
    </w:rPr>
  </w:style>
  <w:style w:type="table" w:customStyle="1" w:styleId="CleanTableStyle">
    <w:name w:val="Clean Table Style"/>
    <w:basedOn w:val="TableGri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