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280"/>
        <w:jc w:val="center"/>
      </w:pPr>
      <w:r>
        <w:rPr>
          <w:rFonts w:ascii="Calibri" w:hAnsi="Calibri"/>
          <w:b/>
          <w:color w:val="976C28"/>
          <w:sz w:val="28"/>
        </w:rPr>
        <w:t>GLOOMTHORN</w:t>
      </w:r>
    </w:p>
    <w:p>
      <w:pPr>
        <w:spacing w:after="200"/>
        <w:jc w:val="center"/>
      </w:pPr>
      <w:r>
        <w:rPr>
          <w:rFonts w:ascii="Calibri" w:hAnsi="Calibri"/>
          <w:b/>
          <w:color w:val="1E4539"/>
          <w:sz w:val="60"/>
        </w:rPr>
        <w:t>Story Mode Tutorial Design</w:t>
      </w:r>
    </w:p>
    <w:p>
      <w:pPr>
        <w:spacing w:after="560"/>
        <w:jc w:val="center"/>
      </w:pPr>
      <w:r>
        <w:rPr>
          <w:rFonts w:ascii="Calibri" w:hAnsi="Calibri"/>
          <w:color w:val="2E5B4B"/>
          <w:sz w:val="30"/>
        </w:rPr>
        <w:t>A single-player campaign for the 8x8 tactical card game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7EEE9"/>
          </w:tcPr>
          <w:p>
            <w:pPr>
              <w:spacing w:after="40"/>
            </w:pPr>
            <w:r>
              <w:rPr>
                <w:rFonts w:ascii="Calibri" w:hAnsi="Calibri"/>
                <w:b/>
                <w:color w:val="976C28"/>
                <w:sz w:val="22"/>
              </w:rPr>
              <w:t>Design intent</w:t>
            </w:r>
          </w:p>
          <w:p>
            <w:pPr>
              <w:spacing w:after="0" w:line="288" w:lineRule="auto"/>
            </w:pPr>
            <w:r>
              <w:rPr>
                <w:rFonts w:ascii="Calibri" w:hAnsi="Calibri"/>
                <w:color w:val="272A28"/>
                <w:sz w:val="21"/>
              </w:rPr>
              <w:t>Teach the real multiplayer rules through short story scenarios, beginning with the Blackthorn starter roster and increasing complexity one decision at a time.</w:t>
            </w:r>
          </w:p>
        </w:tc>
      </w:tr>
    </w:tbl>
    <w:p>
      <w:pPr>
        <w:spacing w:after="40"/>
      </w:pPr>
    </w:p>
    <w:p>
      <w:pPr>
        <w:spacing w:before="480"/>
        <w:jc w:val="center"/>
      </w:pPr>
      <w:r>
        <w:rPr>
          <w:rFonts w:ascii="Calibri" w:hAnsi="Calibri"/>
          <w:i/>
          <w:color w:val="666C68"/>
          <w:sz w:val="22"/>
        </w:rPr>
        <w:t>Narrative structure: Gloomthorn - Book One - Revised Edition</w:t>
      </w:r>
    </w:p>
    <w:p>
      <w:pPr>
        <w:jc w:val="center"/>
      </w:pPr>
      <w:r>
        <w:rPr>
          <w:rFonts w:ascii="Calibri" w:hAnsi="Calibri"/>
          <w:color w:val="666C68"/>
          <w:sz w:val="22"/>
        </w:rPr>
        <w:t>Implementation scope: playable opening arc, Chapters 1-7</w:t>
      </w:r>
    </w:p>
    <w:p>
      <w:r>
        <w:br w:type="page"/>
      </w:r>
    </w:p>
    <w:p>
      <w:pPr>
        <w:pStyle w:val="Heading1"/>
      </w:pPr>
      <w:r>
        <w:t>Design Summary</w:t>
      </w:r>
    </w:p>
    <w:p>
      <w:r>
        <w:t>Story Mode is the game's single-player tutorial and narrative campaign. Its authored setups feed directly into the authoritative multiplayer GameEngine, preserving the same card definitions, health, powers, movement rules, targeting, damage, concealment, control, costs, traits, victory checks, and deployment interactions. Mirewatch decisions use the multiplayer AI, so the tutorial never teaches a substitute ruleset that must later be unlearned.</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E9D7"/>
          </w:tcPr>
          <w:p>
            <w:pPr>
              <w:spacing w:after="40"/>
            </w:pPr>
            <w:r>
              <w:rPr>
                <w:rFonts w:ascii="Calibri" w:hAnsi="Calibri"/>
                <w:b/>
                <w:color w:val="976C28"/>
                <w:sz w:val="22"/>
              </w:rPr>
              <w:t>Narrative point of view</w:t>
            </w:r>
          </w:p>
          <w:p>
            <w:pPr>
              <w:spacing w:after="0" w:line="288" w:lineRule="auto"/>
            </w:pPr>
            <w:r>
              <w:rPr>
                <w:rFonts w:ascii="Calibri" w:hAnsi="Calibri"/>
                <w:color w:val="272A28"/>
                <w:sz w:val="21"/>
              </w:rPr>
              <w:t>The opening lessons place the player inside Blackthorn field doctrine. This satisfies the need to begin with the Blackthorn starter deck while making the moral tension explicit: the player learns how the occupying Company thinks before the story increasingly centers Reed, Erevan, Donella, and Mirewatch's resistance.</w:t>
            </w:r>
          </w:p>
        </w:tc>
      </w:tr>
    </w:tbl>
    <w:p>
      <w:pPr>
        <w:spacing w:after="40"/>
      </w:pPr>
    </w:p>
    <w:p>
      <w:pPr>
        <w:pStyle w:val="Heading2"/>
      </w:pPr>
      <w:r>
        <w:t>Learning Model</w:t>
      </w:r>
    </w:p>
    <w:p>
      <w:pPr>
        <w:pStyle w:val="ListBullet"/>
        <w:spacing w:after="80" w:line="300" w:lineRule="auto"/>
        <w:ind w:left="540" w:hanging="271"/>
      </w:pPr>
      <w:r>
        <w:rPr>
          <w:rFonts w:ascii="Calibri" w:hAnsi="Calibri"/>
          <w:color w:val="272A28"/>
        </w:rPr>
        <w:t>One new concept per early mission; later missions recombine earlier concepts.</w:t>
      </w:r>
    </w:p>
    <w:p>
      <w:pPr>
        <w:pStyle w:val="ListBullet"/>
        <w:spacing w:after="80" w:line="300" w:lineRule="auto"/>
        <w:ind w:left="540" w:hanging="271"/>
      </w:pPr>
      <w:r>
        <w:rPr>
          <w:rFonts w:ascii="Calibri" w:hAnsi="Calibri"/>
          <w:color w:val="272A28"/>
        </w:rPr>
        <w:t>Gold objective markers show the immediate goal without drawing a route for the player.</w:t>
      </w:r>
    </w:p>
    <w:p>
      <w:pPr>
        <w:pStyle w:val="ListBullet"/>
        <w:spacing w:after="80" w:line="300" w:lineRule="auto"/>
        <w:ind w:left="540" w:hanging="271"/>
      </w:pPr>
      <w:r>
        <w:rPr>
          <w:rFonts w:ascii="Calibri" w:hAnsi="Calibri"/>
          <w:color w:val="272A28"/>
        </w:rPr>
        <w:t>Green and red legal-square highlights remain the primary rules language.</w:t>
      </w:r>
    </w:p>
    <w:p>
      <w:pPr>
        <w:pStyle w:val="ListBullet"/>
        <w:spacing w:after="80" w:line="300" w:lineRule="auto"/>
        <w:ind w:left="540" w:hanging="271"/>
      </w:pPr>
      <w:r>
        <w:rPr>
          <w:rFonts w:ascii="Calibri" w:hAnsi="Calibri"/>
          <w:color w:val="272A28"/>
        </w:rPr>
        <w:t>Every normal move, attack, card play, or activated power hands the next action to the opponent. Command, Relentless, and discard timing retain their normal multiplayer exceptions.</w:t>
      </w:r>
    </w:p>
    <w:p>
      <w:pPr>
        <w:pStyle w:val="ListBullet"/>
        <w:spacing w:after="80" w:line="300" w:lineRule="auto"/>
        <w:ind w:left="540" w:hanging="271"/>
      </w:pPr>
      <w:r>
        <w:rPr>
          <w:rFonts w:ascii="Calibri" w:hAnsi="Calibri"/>
          <w:color w:val="272A28"/>
        </w:rPr>
        <w:t>Mirewatch chooses one legal response at a time, including attacks, cards, movement, stance changes, concealment, and summoning when those options improve its position.</w:t>
      </w:r>
    </w:p>
    <w:p>
      <w:pPr>
        <w:pStyle w:val="ListBullet"/>
        <w:spacing w:after="80" w:line="300" w:lineRule="auto"/>
        <w:ind w:left="540" w:hanging="271"/>
      </w:pPr>
      <w:r>
        <w:rPr>
          <w:rFonts w:ascii="Calibri" w:hAnsi="Calibri"/>
          <w:color w:val="272A28"/>
        </w:rPr>
        <w:t>Character dialogue supplies motive and tone; the coaching panel supplies the actionable instruction.</w:t>
      </w:r>
    </w:p>
    <w:p>
      <w:pPr>
        <w:pStyle w:val="ListBullet"/>
        <w:spacing w:after="80" w:line="300" w:lineRule="auto"/>
        <w:ind w:left="540" w:hanging="271"/>
      </w:pPr>
      <w:r>
        <w:rPr>
          <w:rFonts w:ascii="Calibri" w:hAnsi="Calibri"/>
          <w:color w:val="272A28"/>
        </w:rPr>
        <w:t>Restart Mission is always available. Failure costs time, not campaign progress.</w:t>
      </w:r>
    </w:p>
    <w:p>
      <w:pPr>
        <w:pStyle w:val="ListBullet"/>
        <w:spacing w:after="80" w:line="300" w:lineRule="auto"/>
        <w:ind w:left="540" w:hanging="271"/>
      </w:pPr>
      <w:r>
        <w:rPr>
          <w:rFonts w:ascii="Calibri" w:hAnsi="Calibri"/>
          <w:color w:val="272A28"/>
        </w:rPr>
        <w:t>Completion persists locally and unlocks the next chapter briefing.</w:t>
      </w:r>
    </w:p>
    <w:p>
      <w:r>
        <w:br w:type="page"/>
      </w:r>
    </w:p>
    <w:p>
      <w:pPr>
        <w:pStyle w:val="Heading2"/>
      </w:pPr>
      <w:r>
        <w:t>Implemented Campaign at a Glance</w:t>
      </w:r>
    </w:p>
    <w:tbl>
      <w:tblPr>
        <w:tblStyle w:val="TableGrid"/>
        <w:tblW w:type="dxa" w:w="9360"/>
        <w:tblLayout w:type="fixed"/>
        <w:tblLook w:firstColumn="1" w:firstRow="1" w:lastColumn="0" w:lastRow="0" w:noHBand="0" w:noVBand="1" w:val="04A0"/>
        <w:tblInd w:w="120" w:type="dxa"/>
      </w:tblPr>
      <w:tblGrid>
        <w:gridCol w:w="720"/>
        <w:gridCol w:w="3120"/>
        <w:gridCol w:w="2520"/>
        <w:gridCol w:w="3000"/>
      </w:tblGrid>
      <w:tr>
        <w:tc>
          <w:tcPr>
            <w:tcW w:type="dxa" w:w="720"/>
            <w:tcMar>
              <w:top w:w="80" w:type="dxa"/>
              <w:start w:w="120" w:type="dxa"/>
              <w:bottom w:w="80" w:type="dxa"/>
              <w:end w:w="120" w:type="dxa"/>
            </w:tcMar>
            <w:vAlign w:val="center"/>
            <w:shd w:fill="E7EEE9"/>
          </w:tcPr>
          <w:p>
            <w:pPr>
              <w:jc w:val="center"/>
            </w:pPr>
            <w:r>
              <w:rPr>
                <w:rFonts w:ascii="Calibri" w:hAnsi="Calibri"/>
                <w:b/>
                <w:color w:val="1E4539"/>
                <w:sz w:val="20"/>
              </w:rPr>
              <w:t>#</w:t>
            </w:r>
          </w:p>
        </w:tc>
        <w:tc>
          <w:tcPr>
            <w:tcW w:type="dxa" w:w="3120"/>
            <w:tcMar>
              <w:top w:w="80" w:type="dxa"/>
              <w:start w:w="120" w:type="dxa"/>
              <w:bottom w:w="80" w:type="dxa"/>
              <w:end w:w="120" w:type="dxa"/>
            </w:tcMar>
            <w:vAlign w:val="center"/>
            <w:shd w:fill="E7EEE9"/>
          </w:tcPr>
          <w:p>
            <w:pPr>
              <w:jc w:val="left"/>
            </w:pPr>
            <w:r>
              <w:rPr>
                <w:rFonts w:ascii="Calibri" w:hAnsi="Calibri"/>
                <w:b/>
                <w:color w:val="1E4539"/>
                <w:sz w:val="20"/>
              </w:rPr>
              <w:t>Mission</w:t>
            </w:r>
          </w:p>
        </w:tc>
        <w:tc>
          <w:tcPr>
            <w:tcW w:type="dxa" w:w="2520"/>
            <w:tcMar>
              <w:top w:w="80" w:type="dxa"/>
              <w:start w:w="120" w:type="dxa"/>
              <w:bottom w:w="80" w:type="dxa"/>
              <w:end w:w="120" w:type="dxa"/>
            </w:tcMar>
            <w:vAlign w:val="center"/>
            <w:shd w:fill="E7EEE9"/>
          </w:tcPr>
          <w:p>
            <w:pPr>
              <w:jc w:val="left"/>
            </w:pPr>
            <w:r>
              <w:rPr>
                <w:rFonts w:ascii="Calibri" w:hAnsi="Calibri"/>
                <w:b/>
                <w:color w:val="1E4539"/>
                <w:sz w:val="20"/>
              </w:rPr>
              <w:t>Primary lesson</w:t>
            </w:r>
          </w:p>
        </w:tc>
        <w:tc>
          <w:tcPr>
            <w:tcW w:type="dxa" w:w="3000"/>
            <w:tcMar>
              <w:top w:w="80" w:type="dxa"/>
              <w:start w:w="120" w:type="dxa"/>
              <w:bottom w:w="80" w:type="dxa"/>
              <w:end w:w="120" w:type="dxa"/>
            </w:tcMar>
            <w:vAlign w:val="center"/>
            <w:shd w:fill="E7EEE9"/>
          </w:tcPr>
          <w:p>
            <w:pPr>
              <w:jc w:val="left"/>
            </w:pPr>
            <w:r>
              <w:rPr>
                <w:rFonts w:ascii="Calibri" w:hAnsi="Calibri"/>
                <w:b/>
                <w:color w:val="1E4539"/>
                <w:sz w:val="20"/>
              </w:rPr>
              <w:t>Completion</w:t>
            </w:r>
          </w:p>
        </w:tc>
      </w:tr>
      <w:tr>
        <w:tc>
          <w:tcPr>
            <w:tcW w:type="dxa" w:w="720"/>
            <w:tcMar>
              <w:top w:w="80" w:type="dxa"/>
              <w:start w:w="120" w:type="dxa"/>
              <w:bottom w:w="80" w:type="dxa"/>
              <w:end w:w="120" w:type="dxa"/>
            </w:tcMar>
            <w:vAlign w:val="center"/>
          </w:tcPr>
          <w:p>
            <w:pPr>
              <w:jc w:val="center"/>
            </w:pPr>
            <w:r>
              <w:rPr>
                <w:rFonts w:ascii="Calibri" w:hAnsi="Calibri"/>
                <w:color w:val="272A28"/>
                <w:sz w:val="19"/>
              </w:rPr>
              <w:t>1</w:t>
            </w:r>
          </w:p>
        </w:tc>
        <w:tc>
          <w:tcPr>
            <w:tcW w:type="dxa" w:w="3120"/>
            <w:tcMar>
              <w:top w:w="80" w:type="dxa"/>
              <w:start w:w="120" w:type="dxa"/>
              <w:bottom w:w="80" w:type="dxa"/>
              <w:end w:w="120" w:type="dxa"/>
            </w:tcMar>
            <w:vAlign w:val="center"/>
          </w:tcPr>
          <w:p>
            <w:pPr>
              <w:jc w:val="left"/>
            </w:pPr>
            <w:r>
              <w:rPr>
                <w:rFonts w:ascii="Calibri" w:hAnsi="Calibri"/>
                <w:color w:val="272A28"/>
                <w:sz w:val="19"/>
              </w:rPr>
              <w:t>The Pearl Above the Stage</w:t>
            </w:r>
          </w:p>
        </w:tc>
        <w:tc>
          <w:tcPr>
            <w:tcW w:type="dxa" w:w="2520"/>
            <w:tcMar>
              <w:top w:w="80" w:type="dxa"/>
              <w:start w:w="120" w:type="dxa"/>
              <w:bottom w:w="80" w:type="dxa"/>
              <w:end w:w="120" w:type="dxa"/>
            </w:tcMar>
            <w:vAlign w:val="center"/>
          </w:tcPr>
          <w:p>
            <w:pPr>
              <w:jc w:val="left"/>
            </w:pPr>
            <w:r>
              <w:rPr>
                <w:rFonts w:ascii="Calibri" w:hAnsi="Calibri"/>
                <w:color w:val="272A28"/>
                <w:sz w:val="19"/>
              </w:rPr>
              <w:t>Selection and movement</w:t>
            </w:r>
          </w:p>
        </w:tc>
        <w:tc>
          <w:tcPr>
            <w:tcW w:type="dxa" w:w="3000"/>
            <w:tcMar>
              <w:top w:w="80" w:type="dxa"/>
              <w:start w:w="120" w:type="dxa"/>
              <w:bottom w:w="80" w:type="dxa"/>
              <w:end w:w="120" w:type="dxa"/>
            </w:tcMar>
            <w:vAlign w:val="center"/>
          </w:tcPr>
          <w:p>
            <w:pPr>
              <w:jc w:val="left"/>
            </w:pPr>
            <w:r>
              <w:rPr>
                <w:rFonts w:ascii="Calibri" w:hAnsi="Calibri"/>
                <w:color w:val="272A28"/>
                <w:sz w:val="19"/>
              </w:rPr>
              <w:t>Braun occupies both marked squares in order.</w:t>
            </w:r>
          </w:p>
        </w:tc>
      </w:tr>
      <w:tr>
        <w:tc>
          <w:tcPr>
            <w:tcW w:type="dxa" w:w="720"/>
            <w:tcMar>
              <w:top w:w="80" w:type="dxa"/>
              <w:start w:w="120" w:type="dxa"/>
              <w:bottom w:w="80" w:type="dxa"/>
              <w:end w:w="120" w:type="dxa"/>
            </w:tcMar>
            <w:vAlign w:val="center"/>
          </w:tcPr>
          <w:p>
            <w:pPr>
              <w:jc w:val="center"/>
            </w:pPr>
            <w:r>
              <w:rPr>
                <w:rFonts w:ascii="Calibri" w:hAnsi="Calibri"/>
                <w:color w:val="272A28"/>
                <w:sz w:val="19"/>
              </w:rPr>
              <w:t>2</w:t>
            </w:r>
          </w:p>
        </w:tc>
        <w:tc>
          <w:tcPr>
            <w:tcW w:type="dxa" w:w="3120"/>
            <w:tcMar>
              <w:top w:w="80" w:type="dxa"/>
              <w:start w:w="120" w:type="dxa"/>
              <w:bottom w:w="80" w:type="dxa"/>
              <w:end w:w="120" w:type="dxa"/>
            </w:tcMar>
            <w:vAlign w:val="center"/>
          </w:tcPr>
          <w:p>
            <w:pPr>
              <w:jc w:val="left"/>
            </w:pPr>
            <w:r>
              <w:rPr>
                <w:rFonts w:ascii="Calibri" w:hAnsi="Calibri"/>
                <w:color w:val="272A28"/>
                <w:sz w:val="19"/>
              </w:rPr>
              <w:t>A Cage with a Bill of Sale</w:t>
            </w:r>
          </w:p>
        </w:tc>
        <w:tc>
          <w:tcPr>
            <w:tcW w:type="dxa" w:w="2520"/>
            <w:tcMar>
              <w:top w:w="80" w:type="dxa"/>
              <w:start w:w="120" w:type="dxa"/>
              <w:bottom w:w="80" w:type="dxa"/>
              <w:end w:w="120" w:type="dxa"/>
            </w:tcMar>
            <w:vAlign w:val="center"/>
          </w:tcPr>
          <w:p>
            <w:pPr>
              <w:jc w:val="left"/>
            </w:pPr>
            <w:r>
              <w:rPr>
                <w:rFonts w:ascii="Calibri" w:hAnsi="Calibri"/>
                <w:color w:val="272A28"/>
                <w:sz w:val="19"/>
              </w:rPr>
              <w:t>Melee attacks and damage</w:t>
            </w:r>
          </w:p>
        </w:tc>
        <w:tc>
          <w:tcPr>
            <w:tcW w:type="dxa" w:w="3000"/>
            <w:tcMar>
              <w:top w:w="80" w:type="dxa"/>
              <w:start w:w="120" w:type="dxa"/>
              <w:bottom w:w="80" w:type="dxa"/>
              <w:end w:w="120" w:type="dxa"/>
            </w:tcMar>
            <w:vAlign w:val="center"/>
          </w:tcPr>
          <w:p>
            <w:pPr>
              <w:jc w:val="left"/>
            </w:pPr>
            <w:r>
              <w:rPr>
                <w:rFonts w:ascii="Calibri" w:hAnsi="Calibri"/>
                <w:color w:val="272A28"/>
                <w:sz w:val="19"/>
              </w:rPr>
              <w:t>The bull gator is destroyed.</w:t>
            </w:r>
          </w:p>
        </w:tc>
      </w:tr>
      <w:tr>
        <w:tc>
          <w:tcPr>
            <w:tcW w:type="dxa" w:w="720"/>
            <w:tcMar>
              <w:top w:w="80" w:type="dxa"/>
              <w:start w:w="120" w:type="dxa"/>
              <w:bottom w:w="80" w:type="dxa"/>
              <w:end w:w="120" w:type="dxa"/>
            </w:tcMar>
            <w:vAlign w:val="center"/>
          </w:tcPr>
          <w:p>
            <w:pPr>
              <w:jc w:val="center"/>
            </w:pPr>
            <w:r>
              <w:rPr>
                <w:rFonts w:ascii="Calibri" w:hAnsi="Calibri"/>
                <w:color w:val="272A28"/>
                <w:sz w:val="19"/>
              </w:rPr>
              <w:t>3</w:t>
            </w:r>
          </w:p>
        </w:tc>
        <w:tc>
          <w:tcPr>
            <w:tcW w:type="dxa" w:w="3120"/>
            <w:tcMar>
              <w:top w:w="80" w:type="dxa"/>
              <w:start w:w="120" w:type="dxa"/>
              <w:bottom w:w="80" w:type="dxa"/>
              <w:end w:w="120" w:type="dxa"/>
            </w:tcMar>
            <w:vAlign w:val="center"/>
          </w:tcPr>
          <w:p>
            <w:pPr>
              <w:jc w:val="left"/>
            </w:pPr>
            <w:r>
              <w:rPr>
                <w:rFonts w:ascii="Calibri" w:hAnsi="Calibri"/>
                <w:color w:val="272A28"/>
                <w:sz w:val="19"/>
              </w:rPr>
              <w:t>The Customs Bell</w:t>
            </w:r>
          </w:p>
        </w:tc>
        <w:tc>
          <w:tcPr>
            <w:tcW w:type="dxa" w:w="2520"/>
            <w:tcMar>
              <w:top w:w="80" w:type="dxa"/>
              <w:start w:w="120" w:type="dxa"/>
              <w:bottom w:w="80" w:type="dxa"/>
              <w:end w:w="120" w:type="dxa"/>
            </w:tcMar>
            <w:vAlign w:val="center"/>
          </w:tcPr>
          <w:p>
            <w:pPr>
              <w:jc w:val="left"/>
            </w:pPr>
            <w:r>
              <w:rPr>
                <w:rFonts w:ascii="Calibri" w:hAnsi="Calibri"/>
                <w:color w:val="272A28"/>
                <w:sz w:val="19"/>
              </w:rPr>
              <w:t>Aim, fire, and lower weapon</w:t>
            </w:r>
          </w:p>
        </w:tc>
        <w:tc>
          <w:tcPr>
            <w:tcW w:type="dxa" w:w="3000"/>
            <w:tcMar>
              <w:top w:w="80" w:type="dxa"/>
              <w:start w:w="120" w:type="dxa"/>
              <w:bottom w:w="80" w:type="dxa"/>
              <w:end w:w="120" w:type="dxa"/>
            </w:tcMar>
            <w:vAlign w:val="center"/>
          </w:tcPr>
          <w:p>
            <w:pPr>
              <w:jc w:val="left"/>
            </w:pPr>
            <w:r>
              <w:rPr>
                <w:rFonts w:ascii="Calibri" w:hAnsi="Calibri"/>
                <w:color w:val="272A28"/>
                <w:sz w:val="19"/>
              </w:rPr>
              <w:t>The Sharpshooter has aimed and the smuggler is destroyed by a legal ranged attack.</w:t>
            </w:r>
          </w:p>
        </w:tc>
      </w:tr>
      <w:tr>
        <w:tc>
          <w:tcPr>
            <w:tcW w:type="dxa" w:w="720"/>
            <w:tcMar>
              <w:top w:w="80" w:type="dxa"/>
              <w:start w:w="120" w:type="dxa"/>
              <w:bottom w:w="80" w:type="dxa"/>
              <w:end w:w="120" w:type="dxa"/>
            </w:tcMar>
            <w:vAlign w:val="center"/>
          </w:tcPr>
          <w:p>
            <w:pPr>
              <w:jc w:val="center"/>
            </w:pPr>
            <w:r>
              <w:rPr>
                <w:rFonts w:ascii="Calibri" w:hAnsi="Calibri"/>
                <w:color w:val="272A28"/>
                <w:sz w:val="19"/>
              </w:rPr>
              <w:t>4</w:t>
            </w:r>
          </w:p>
        </w:tc>
        <w:tc>
          <w:tcPr>
            <w:tcW w:type="dxa" w:w="3120"/>
            <w:tcMar>
              <w:top w:w="80" w:type="dxa"/>
              <w:start w:w="120" w:type="dxa"/>
              <w:bottom w:w="80" w:type="dxa"/>
              <w:end w:w="120" w:type="dxa"/>
            </w:tcMar>
            <w:vAlign w:val="center"/>
          </w:tcPr>
          <w:p>
            <w:pPr>
              <w:jc w:val="left"/>
            </w:pPr>
            <w:r>
              <w:rPr>
                <w:rFonts w:ascii="Calibri" w:hAnsi="Calibri"/>
                <w:color w:val="272A28"/>
                <w:sz w:val="19"/>
              </w:rPr>
              <w:t>The Town Beneath the Company</w:t>
            </w:r>
          </w:p>
        </w:tc>
        <w:tc>
          <w:tcPr>
            <w:tcW w:type="dxa" w:w="2520"/>
            <w:tcMar>
              <w:top w:w="80" w:type="dxa"/>
              <w:start w:w="120" w:type="dxa"/>
              <w:bottom w:w="80" w:type="dxa"/>
              <w:end w:w="120" w:type="dxa"/>
            </w:tcMar>
            <w:vAlign w:val="center"/>
          </w:tcPr>
          <w:p>
            <w:pPr>
              <w:jc w:val="left"/>
            </w:pPr>
            <w:r>
              <w:rPr>
                <w:rFonts w:ascii="Calibri" w:hAnsi="Calibri"/>
                <w:color w:val="272A28"/>
                <w:sz w:val="19"/>
              </w:rPr>
              <w:t>Cards, deployment, and controlled ground</w:t>
            </w:r>
          </w:p>
        </w:tc>
        <w:tc>
          <w:tcPr>
            <w:tcW w:type="dxa" w:w="3000"/>
            <w:tcMar>
              <w:top w:w="80" w:type="dxa"/>
              <w:start w:w="120" w:type="dxa"/>
              <w:bottom w:w="80" w:type="dxa"/>
              <w:end w:w="120" w:type="dxa"/>
            </w:tcMar>
            <w:vAlign w:val="center"/>
          </w:tcPr>
          <w:p>
            <w:pPr>
              <w:jc w:val="left"/>
            </w:pPr>
            <w:r>
              <w:rPr>
                <w:rFonts w:ascii="Calibri" w:hAnsi="Calibri"/>
                <w:color w:val="272A28"/>
                <w:sz w:val="19"/>
              </w:rPr>
              <w:t>A Blackthorn Debt Collector exists on the board.</w:t>
            </w:r>
          </w:p>
        </w:tc>
      </w:tr>
      <w:tr>
        <w:tc>
          <w:tcPr>
            <w:tcW w:type="dxa" w:w="720"/>
            <w:tcMar>
              <w:top w:w="80" w:type="dxa"/>
              <w:start w:w="120" w:type="dxa"/>
              <w:bottom w:w="80" w:type="dxa"/>
              <w:end w:w="120" w:type="dxa"/>
            </w:tcMar>
            <w:vAlign w:val="center"/>
          </w:tcPr>
          <w:p>
            <w:pPr>
              <w:jc w:val="center"/>
            </w:pPr>
            <w:r>
              <w:rPr>
                <w:rFonts w:ascii="Calibri" w:hAnsi="Calibri"/>
                <w:color w:val="272A28"/>
                <w:sz w:val="19"/>
              </w:rPr>
              <w:t>5</w:t>
            </w:r>
          </w:p>
        </w:tc>
        <w:tc>
          <w:tcPr>
            <w:tcW w:type="dxa" w:w="3120"/>
            <w:tcMar>
              <w:top w:w="80" w:type="dxa"/>
              <w:start w:w="120" w:type="dxa"/>
              <w:bottom w:w="80" w:type="dxa"/>
              <w:end w:w="120" w:type="dxa"/>
            </w:tcMar>
            <w:vAlign w:val="center"/>
          </w:tcPr>
          <w:p>
            <w:pPr>
              <w:jc w:val="left"/>
            </w:pPr>
            <w:r>
              <w:rPr>
                <w:rFonts w:ascii="Calibri" w:hAnsi="Calibri"/>
                <w:color w:val="272A28"/>
                <w:sz w:val="19"/>
              </w:rPr>
              <w:t>Terms and Conditions</w:t>
            </w:r>
          </w:p>
        </w:tc>
        <w:tc>
          <w:tcPr>
            <w:tcW w:type="dxa" w:w="2520"/>
            <w:tcMar>
              <w:top w:w="80" w:type="dxa"/>
              <w:start w:w="120" w:type="dxa"/>
              <w:bottom w:w="80" w:type="dxa"/>
              <w:end w:w="120" w:type="dxa"/>
            </w:tcMar>
            <w:vAlign w:val="center"/>
          </w:tcPr>
          <w:p>
            <w:pPr>
              <w:jc w:val="left"/>
            </w:pPr>
            <w:r>
              <w:rPr>
                <w:rFonts w:ascii="Calibri" w:hAnsi="Calibri"/>
                <w:color w:val="272A28"/>
                <w:sz w:val="19"/>
              </w:rPr>
              <w:t>Activated powers, stealth, summoning, and control</w:t>
            </w:r>
          </w:p>
        </w:tc>
        <w:tc>
          <w:tcPr>
            <w:tcW w:type="dxa" w:w="3000"/>
            <w:tcMar>
              <w:top w:w="80" w:type="dxa"/>
              <w:start w:w="120" w:type="dxa"/>
              <w:bottom w:w="80" w:type="dxa"/>
              <w:end w:w="120" w:type="dxa"/>
            </w:tcMar>
            <w:vAlign w:val="center"/>
          </w:tcPr>
          <w:p>
            <w:pPr>
              <w:jc w:val="left"/>
            </w:pPr>
            <w:r>
              <w:rPr>
                <w:rFonts w:ascii="Calibri" w:hAnsi="Calibri"/>
                <w:color w:val="272A28"/>
                <w:sz w:val="19"/>
              </w:rPr>
              <w:t>Hide and Create Lumberjack have both been used, and Blackthorn controls at least fourteen squares.</w:t>
            </w:r>
          </w:p>
        </w:tc>
      </w:tr>
      <w:tr>
        <w:tc>
          <w:tcPr>
            <w:tcW w:type="dxa" w:w="720"/>
            <w:tcMar>
              <w:top w:w="80" w:type="dxa"/>
              <w:start w:w="120" w:type="dxa"/>
              <w:bottom w:w="80" w:type="dxa"/>
              <w:end w:w="120" w:type="dxa"/>
            </w:tcMar>
            <w:vAlign w:val="center"/>
          </w:tcPr>
          <w:p>
            <w:pPr>
              <w:jc w:val="center"/>
            </w:pPr>
            <w:r>
              <w:rPr>
                <w:rFonts w:ascii="Calibri" w:hAnsi="Calibri"/>
                <w:color w:val="272A28"/>
                <w:sz w:val="19"/>
              </w:rPr>
              <w:t>6</w:t>
            </w:r>
          </w:p>
        </w:tc>
        <w:tc>
          <w:tcPr>
            <w:tcW w:type="dxa" w:w="3120"/>
            <w:tcMar>
              <w:top w:w="80" w:type="dxa"/>
              <w:start w:w="120" w:type="dxa"/>
              <w:bottom w:w="80" w:type="dxa"/>
              <w:end w:w="120" w:type="dxa"/>
            </w:tcMar>
            <w:vAlign w:val="center"/>
          </w:tcPr>
          <w:p>
            <w:pPr>
              <w:jc w:val="left"/>
            </w:pPr>
            <w:r>
              <w:rPr>
                <w:rFonts w:ascii="Calibri" w:hAnsi="Calibri"/>
                <w:color w:val="272A28"/>
                <w:sz w:val="19"/>
              </w:rPr>
              <w:t>Hospitality Is a Weapon</w:t>
            </w:r>
          </w:p>
        </w:tc>
        <w:tc>
          <w:tcPr>
            <w:tcW w:type="dxa" w:w="2520"/>
            <w:tcMar>
              <w:top w:w="80" w:type="dxa"/>
              <w:start w:w="120" w:type="dxa"/>
              <w:bottom w:w="80" w:type="dxa"/>
              <w:end w:w="120" w:type="dxa"/>
            </w:tcMar>
            <w:vAlign w:val="center"/>
          </w:tcPr>
          <w:p>
            <w:pPr>
              <w:jc w:val="left"/>
            </w:pPr>
            <w:r>
              <w:rPr>
                <w:rFonts w:ascii="Calibri" w:hAnsi="Calibri"/>
                <w:color w:val="272A28"/>
                <w:sz w:val="19"/>
              </w:rPr>
              <w:t>Combined arms</w:t>
            </w:r>
          </w:p>
        </w:tc>
        <w:tc>
          <w:tcPr>
            <w:tcW w:type="dxa" w:w="3000"/>
            <w:tcMar>
              <w:top w:w="80" w:type="dxa"/>
              <w:start w:w="120" w:type="dxa"/>
              <w:bottom w:w="80" w:type="dxa"/>
              <w:end w:w="120" w:type="dxa"/>
            </w:tcMar>
            <w:vAlign w:val="center"/>
          </w:tcPr>
          <w:p>
            <w:pPr>
              <w:jc w:val="left"/>
            </w:pPr>
            <w:r>
              <w:rPr>
                <w:rFonts w:ascii="Calibri" w:hAnsi="Calibri"/>
                <w:color w:val="272A28"/>
                <w:sz w:val="19"/>
              </w:rPr>
              <w:t>No Mirewatch pieces remain.</w:t>
            </w:r>
          </w:p>
        </w:tc>
      </w:tr>
      <w:tr>
        <w:tc>
          <w:tcPr>
            <w:tcW w:type="dxa" w:w="720"/>
            <w:tcMar>
              <w:top w:w="80" w:type="dxa"/>
              <w:start w:w="120" w:type="dxa"/>
              <w:bottom w:w="80" w:type="dxa"/>
              <w:end w:w="120" w:type="dxa"/>
            </w:tcMar>
            <w:vAlign w:val="center"/>
          </w:tcPr>
          <w:p>
            <w:pPr>
              <w:jc w:val="center"/>
            </w:pPr>
            <w:r>
              <w:rPr>
                <w:rFonts w:ascii="Calibri" w:hAnsi="Calibri"/>
                <w:color w:val="272A28"/>
                <w:sz w:val="19"/>
              </w:rPr>
              <w:t>7</w:t>
            </w:r>
          </w:p>
        </w:tc>
        <w:tc>
          <w:tcPr>
            <w:tcW w:type="dxa" w:w="3120"/>
            <w:tcMar>
              <w:top w:w="80" w:type="dxa"/>
              <w:start w:w="120" w:type="dxa"/>
              <w:bottom w:w="80" w:type="dxa"/>
              <w:end w:w="120" w:type="dxa"/>
            </w:tcMar>
            <w:vAlign w:val="center"/>
          </w:tcPr>
          <w:p>
            <w:pPr>
              <w:jc w:val="left"/>
            </w:pPr>
            <w:r>
              <w:rPr>
                <w:rFonts w:ascii="Calibri" w:hAnsi="Calibri"/>
                <w:color w:val="272A28"/>
                <w:sz w:val="19"/>
              </w:rPr>
              <w:t>The Bluewater Below</w:t>
            </w:r>
          </w:p>
        </w:tc>
        <w:tc>
          <w:tcPr>
            <w:tcW w:type="dxa" w:w="2520"/>
            <w:tcMar>
              <w:top w:w="80" w:type="dxa"/>
              <w:start w:w="120" w:type="dxa"/>
              <w:bottom w:w="80" w:type="dxa"/>
              <w:end w:w="120" w:type="dxa"/>
            </w:tcMar>
            <w:vAlign w:val="center"/>
          </w:tcPr>
          <w:p>
            <w:pPr>
              <w:jc w:val="left"/>
            </w:pPr>
            <w:r>
              <w:rPr>
                <w:rFonts w:ascii="Calibri" w:hAnsi="Calibri"/>
                <w:color w:val="272A28"/>
                <w:sz w:val="19"/>
              </w:rPr>
              <w:t>Priority targets and protection</w:t>
            </w:r>
          </w:p>
        </w:tc>
        <w:tc>
          <w:tcPr>
            <w:tcW w:type="dxa" w:w="3000"/>
            <w:tcMar>
              <w:top w:w="80" w:type="dxa"/>
              <w:start w:w="120" w:type="dxa"/>
              <w:bottom w:w="80" w:type="dxa"/>
              <w:end w:w="120" w:type="dxa"/>
            </w:tcMar>
            <w:vAlign w:val="center"/>
          </w:tcPr>
          <w:p>
            <w:pPr>
              <w:jc w:val="left"/>
            </w:pPr>
            <w:r>
              <w:rPr>
                <w:rFonts w:ascii="Calibri" w:hAnsi="Calibri"/>
                <w:color w:val="272A28"/>
                <w:sz w:val="19"/>
              </w:rPr>
              <w:t>Donella of the Marsh is defeated.</w:t>
            </w:r>
          </w:p>
        </w:tc>
      </w:tr>
      <w:tr>
        <w:tc>
          <w:tcPr>
            <w:tcW w:type="dxa" w:w="720"/>
            <w:tcMar>
              <w:top w:w="80" w:type="dxa"/>
              <w:start w:w="120" w:type="dxa"/>
              <w:bottom w:w="80" w:type="dxa"/>
              <w:end w:w="120" w:type="dxa"/>
            </w:tcMar>
            <w:vAlign w:val="center"/>
          </w:tcPr>
          <w:p>
            <w:pPr>
              <w:jc w:val="center"/>
            </w:pPr>
            <w:r>
              <w:rPr>
                <w:rFonts w:ascii="Calibri" w:hAnsi="Calibri"/>
                <w:color w:val="272A28"/>
                <w:sz w:val="19"/>
              </w:rPr>
              <w:t>8</w:t>
            </w:r>
          </w:p>
        </w:tc>
        <w:tc>
          <w:tcPr>
            <w:tcW w:type="dxa" w:w="3120"/>
            <w:tcMar>
              <w:top w:w="80" w:type="dxa"/>
              <w:start w:w="120" w:type="dxa"/>
              <w:bottom w:w="80" w:type="dxa"/>
              <w:end w:w="120" w:type="dxa"/>
            </w:tcMar>
            <w:vAlign w:val="center"/>
          </w:tcPr>
          <w:p>
            <w:pPr>
              <w:jc w:val="left"/>
            </w:pPr>
            <w:r>
              <w:rPr>
                <w:rFonts w:ascii="Calibri" w:hAnsi="Calibri"/>
                <w:color w:val="272A28"/>
                <w:sz w:val="19"/>
              </w:rPr>
              <w:t>How to Rob an Office Everyone Is Watching</w:t>
            </w:r>
          </w:p>
        </w:tc>
        <w:tc>
          <w:tcPr>
            <w:tcW w:type="dxa" w:w="2520"/>
            <w:tcMar>
              <w:top w:w="80" w:type="dxa"/>
              <w:start w:w="120" w:type="dxa"/>
              <w:bottom w:w="80" w:type="dxa"/>
              <w:end w:w="120" w:type="dxa"/>
            </w:tcMar>
            <w:vAlign w:val="center"/>
          </w:tcPr>
          <w:p>
            <w:pPr>
              <w:jc w:val="left"/>
            </w:pPr>
            <w:r>
              <w:rPr>
                <w:rFonts w:ascii="Calibri" w:hAnsi="Calibri"/>
                <w:color w:val="272A28"/>
                <w:sz w:val="19"/>
              </w:rPr>
              <w:t>Full tactical encounter</w:t>
            </w:r>
          </w:p>
        </w:tc>
        <w:tc>
          <w:tcPr>
            <w:tcW w:type="dxa" w:w="3000"/>
            <w:tcMar>
              <w:top w:w="80" w:type="dxa"/>
              <w:start w:w="120" w:type="dxa"/>
              <w:bottom w:w="80" w:type="dxa"/>
              <w:end w:w="120" w:type="dxa"/>
            </w:tcMar>
            <w:vAlign w:val="center"/>
          </w:tcPr>
          <w:p>
            <w:pPr>
              <w:jc w:val="left"/>
            </w:pPr>
            <w:r>
              <w:rPr>
                <w:rFonts w:ascii="Calibri" w:hAnsi="Calibri"/>
                <w:color w:val="272A28"/>
                <w:sz w:val="19"/>
              </w:rPr>
              <w:t>No Mirewatch pieces remain.</w:t>
            </w:r>
          </w:p>
        </w:tc>
      </w:tr>
    </w:tbl>
    <w:p>
      <w:r>
        <w:br w:type="page"/>
      </w:r>
    </w:p>
    <w:p>
      <w:pPr>
        <w:pStyle w:val="Heading2"/>
      </w:pPr>
      <w:r>
        <w:t>Presentation Pattern</w:t>
      </w:r>
    </w:p>
    <w:p>
      <w:r>
        <w:t>Each mission opens with three click-through briefing beats. A large character portrait establishes the speaker, a speech bubble carries adapted dialogue, and a compact lesson plate states the mechanic and objective. The board then repeats the objective in a persistent coach panel.</w:t>
      </w:r>
    </w:p>
    <w:p>
      <w:pPr>
        <w:jc w:val="center"/>
      </w:pPr>
      <w:r>
        <w:drawing>
          <wp:inline xmlns:a="http://schemas.openxmlformats.org/drawingml/2006/main" xmlns:pic="http://schemas.openxmlformats.org/drawingml/2006/picture">
            <wp:extent cx="5257800" cy="2957512"/>
            <wp:docPr id="1" name="Picture 1"/>
            <wp:cNvGraphicFramePr>
              <a:graphicFrameLocks noChangeAspect="1"/>
            </wp:cNvGraphicFramePr>
            <a:graphic>
              <a:graphicData uri="http://schemas.openxmlformats.org/drawingml/2006/picture">
                <pic:pic>
                  <pic:nvPicPr>
                    <pic:cNvPr id="0" name="01-story-briefing.png"/>
                    <pic:cNvPicPr/>
                  </pic:nvPicPr>
                  <pic:blipFill>
                    <a:blip r:embed="rId11"/>
                    <a:stretch>
                      <a:fillRect/>
                    </a:stretch>
                  </pic:blipFill>
                  <pic:spPr>
                    <a:xfrm>
                      <a:off x="0" y="0"/>
                      <a:ext cx="5257800" cy="2957512"/>
                    </a:xfrm>
                    <a:prstGeom prst="rect"/>
                  </pic:spPr>
                </pic:pic>
              </a:graphicData>
            </a:graphic>
          </wp:inline>
        </w:drawing>
      </w:r>
    </w:p>
    <w:p>
      <w:pPr>
        <w:jc w:val="center"/>
      </w:pPr>
      <w:r>
        <w:rPr>
          <w:i/>
          <w:color w:val="666C68"/>
        </w:rPr>
        <w:t>Figure 1. Character-led mission briefing with explicit lesson and objective.</w:t>
      </w:r>
    </w:p>
    <w:p>
      <w:pPr>
        <w:jc w:val="center"/>
      </w:pPr>
      <w:r>
        <w:drawing>
          <wp:inline xmlns:a="http://schemas.openxmlformats.org/drawingml/2006/main" xmlns:pic="http://schemas.openxmlformats.org/drawingml/2006/picture">
            <wp:extent cx="5257800" cy="2957512"/>
            <wp:docPr id="2" name="Picture 2"/>
            <wp:cNvGraphicFramePr>
              <a:graphicFrameLocks noChangeAspect="1"/>
            </wp:cNvGraphicFramePr>
            <a:graphic>
              <a:graphicData uri="http://schemas.openxmlformats.org/drawingml/2006/picture">
                <pic:pic>
                  <pic:nvPicPr>
                    <pic:cNvPr id="0" name="02-story-deployment.png"/>
                    <pic:cNvPicPr/>
                  </pic:nvPicPr>
                  <pic:blipFill>
                    <a:blip r:embed="rId12"/>
                    <a:stretch>
                      <a:fillRect/>
                    </a:stretch>
                  </pic:blipFill>
                  <pic:spPr>
                    <a:xfrm>
                      <a:off x="0" y="0"/>
                      <a:ext cx="5257800" cy="2957512"/>
                    </a:xfrm>
                    <a:prstGeom prst="rect"/>
                  </pic:spPr>
                </pic:pic>
              </a:graphicData>
            </a:graphic>
          </wp:inline>
        </w:drawing>
      </w:r>
    </w:p>
    <w:p>
      <w:pPr>
        <w:jc w:val="center"/>
      </w:pPr>
      <w:r>
        <w:rPr>
          <w:i/>
          <w:color w:val="666C68"/>
        </w:rPr>
        <w:t>Figure 2. Deployment lesson using the live hand, controlled squares, and objective marker.</w:t>
      </w:r>
    </w:p>
    <w:p>
      <w:r>
        <w:br w:type="page"/>
      </w:r>
    </w:p>
    <w:p>
      <w:pPr>
        <w:pStyle w:val="Heading1"/>
      </w:pPr>
      <w:r>
        <w:t>Playable Opening Arc</w:t>
      </w:r>
    </w:p>
    <w:p>
      <w:r>
        <w:t>The following eight missions are implemented in the client. Dialogue is original tutorial copy adapted to the novel's events and characters; it is not presented as verbatim novel text.</w:t>
      </w:r>
    </w:p>
    <w:p>
      <w:pPr>
        <w:pStyle w:val="Heading2"/>
      </w:pPr>
      <w:r>
        <w:t>Mission 1: The Pearl Above the Stage</w:t>
      </w:r>
    </w:p>
    <w:p>
      <w:pPr>
        <w:keepNext w:val="0"/>
        <w:spacing w:after="120" w:line="300" w:lineRule="auto"/>
      </w:pPr>
      <w:r>
        <w:rPr>
          <w:rFonts w:ascii="Calibri" w:hAnsi="Calibri"/>
          <w:b/>
          <w:color w:val="1E4539"/>
        </w:rPr>
        <w:t xml:space="preserve">Story source: </w:t>
      </w:r>
      <w:r>
        <w:rPr>
          <w:rFonts w:ascii="Calibri" w:hAnsi="Calibri"/>
          <w:color w:val="272A28"/>
        </w:rPr>
        <w:t>Book One, Chapter 1</w:t>
      </w:r>
    </w:p>
    <w:p>
      <w:pPr>
        <w:keepNext w:val="0"/>
        <w:spacing w:after="120" w:line="300" w:lineRule="auto"/>
      </w:pPr>
      <w:r>
        <w:rPr>
          <w:rFonts w:ascii="Calibri" w:hAnsi="Calibri"/>
          <w:b/>
          <w:color w:val="1E4539"/>
        </w:rPr>
        <w:t xml:space="preserve">Mechanic: </w:t>
      </w:r>
      <w:r>
        <w:rPr>
          <w:rFonts w:ascii="Calibri" w:hAnsi="Calibri"/>
          <w:color w:val="272A28"/>
        </w:rPr>
        <w:t>Selection and movement</w:t>
      </w:r>
    </w:p>
    <w:p>
      <w:pPr>
        <w:keepNext w:val="0"/>
        <w:spacing w:after="120" w:line="300" w:lineRule="auto"/>
      </w:pPr>
      <w:r>
        <w:rPr>
          <w:rFonts w:ascii="Calibri" w:hAnsi="Calibri"/>
          <w:b/>
          <w:color w:val="1E4539"/>
        </w:rPr>
        <w:t xml:space="preserve">Playable roster: </w:t>
      </w:r>
      <w:r>
        <w:rPr>
          <w:rFonts w:ascii="Calibri" w:hAnsi="Calibri"/>
          <w:color w:val="272A28"/>
        </w:rPr>
        <w:t>Braun Stonefist</w:t>
      </w:r>
    </w:p>
    <w:p>
      <w:pPr>
        <w:keepNext w:val="0"/>
        <w:spacing w:after="120" w:line="300" w:lineRule="auto"/>
      </w:pPr>
      <w:r>
        <w:rPr>
          <w:rFonts w:ascii="Calibri" w:hAnsi="Calibri"/>
          <w:b/>
          <w:color w:val="1E4539"/>
        </w:rPr>
        <w:t xml:space="preserve">Board setup: </w:t>
      </w:r>
      <w:r>
        <w:rPr>
          <w:rFonts w:ascii="Calibri" w:hAnsi="Calibri"/>
          <w:color w:val="272A28"/>
        </w:rPr>
        <w:t>Braun begins on Blackthorn's home edge. Two objective squares form a short diagonal route.</w:t>
      </w:r>
    </w:p>
    <w:p>
      <w:pPr>
        <w:keepNext w:val="0"/>
        <w:spacing w:after="120" w:line="300" w:lineRule="auto"/>
      </w:pPr>
      <w:r>
        <w:rPr>
          <w:rFonts w:ascii="Calibri" w:hAnsi="Calibri"/>
          <w:b/>
          <w:color w:val="1E4539"/>
        </w:rPr>
        <w:t xml:space="preserve">Narrative purpose: </w:t>
      </w:r>
      <w:r>
        <w:rPr>
          <w:rFonts w:ascii="Calibri" w:hAnsi="Calibri"/>
          <w:color w:val="272A28"/>
        </w:rPr>
        <w:t>The player begins inside Blackthorn doctrine so the faction controlling Mirewatch also teaches the board's basic language. Victor frames position as ownership; Braun demonstrates it.</w:t>
      </w:r>
    </w:p>
    <w:p>
      <w:pPr>
        <w:pStyle w:val="Heading3"/>
      </w:pPr>
      <w:r>
        <w:t>Player sequence</w:t>
      </w:r>
    </w:p>
    <w:p>
      <w:pPr>
        <w:pStyle w:val="ListBullet"/>
        <w:spacing w:after="80" w:line="300" w:lineRule="auto"/>
        <w:ind w:left="540" w:hanging="271"/>
      </w:pPr>
      <w:r>
        <w:rPr>
          <w:rFonts w:ascii="Calibri" w:hAnsi="Calibri"/>
          <w:color w:val="272A28"/>
        </w:rPr>
        <w:t>Select Braun to reveal his legal destinations.</w:t>
      </w:r>
    </w:p>
    <w:p>
      <w:pPr>
        <w:pStyle w:val="ListBullet"/>
        <w:spacing w:after="80" w:line="300" w:lineRule="auto"/>
        <w:ind w:left="540" w:hanging="271"/>
      </w:pPr>
      <w:r>
        <w:rPr>
          <w:rFonts w:ascii="Calibri" w:hAnsi="Calibri"/>
          <w:color w:val="272A28"/>
        </w:rPr>
        <w:t>Move to the first gold objective square.</w:t>
      </w:r>
    </w:p>
    <w:p>
      <w:pPr>
        <w:pStyle w:val="ListBullet"/>
        <w:spacing w:after="80" w:line="300" w:lineRule="auto"/>
        <w:ind w:left="540" w:hanging="271"/>
      </w:pPr>
      <w:r>
        <w:rPr>
          <w:rFonts w:ascii="Calibri" w:hAnsi="Calibri"/>
          <w:color w:val="272A28"/>
        </w:rPr>
        <w:t>Let Mirewatch take one action, then move to the second marker.</w:t>
      </w:r>
    </w:p>
    <w:p>
      <w:pPr>
        <w:keepNext w:val="0"/>
        <w:spacing w:after="120" w:line="300" w:lineRule="auto"/>
      </w:pPr>
      <w:r>
        <w:rPr>
          <w:rFonts w:ascii="Calibri" w:hAnsi="Calibri"/>
          <w:b/>
          <w:color w:val="1E4539"/>
        </w:rPr>
        <w:t xml:space="preserve">Success: </w:t>
      </w:r>
      <w:r>
        <w:rPr>
          <w:rFonts w:ascii="Calibri" w:hAnsi="Calibri"/>
          <w:color w:val="272A28"/>
        </w:rPr>
        <w:t>Braun occupies both marked squares in order.</w:t>
      </w:r>
    </w:p>
    <w:p>
      <w:pPr>
        <w:keepNext w:val="0"/>
        <w:spacing w:after="120" w:line="300" w:lineRule="auto"/>
      </w:pPr>
      <w:r>
        <w:rPr>
          <w:rFonts w:ascii="Calibri" w:hAnsi="Calibri"/>
          <w:b/>
          <w:color w:val="1E4539"/>
        </w:rPr>
        <w:t xml:space="preserve">Recovery: </w:t>
      </w:r>
      <w:r>
        <w:rPr>
          <w:rFonts w:ascii="Calibri" w:hAnsi="Calibri"/>
          <w:color w:val="272A28"/>
        </w:rPr>
        <w:t>Illegal destinations leave the board unchanged and the objective marker remains visible.</w:t>
      </w:r>
    </w:p>
    <w:p>
      <w:r>
        <w:br w:type="page"/>
      </w:r>
    </w:p>
    <w:p>
      <w:pPr>
        <w:pStyle w:val="Heading2"/>
      </w:pPr>
      <w:r>
        <w:t>Mission 2: A Cage with a Bill of Sale</w:t>
      </w:r>
    </w:p>
    <w:p>
      <w:pPr>
        <w:keepNext w:val="0"/>
        <w:spacing w:after="120" w:line="300" w:lineRule="auto"/>
      </w:pPr>
      <w:r>
        <w:rPr>
          <w:rFonts w:ascii="Calibri" w:hAnsi="Calibri"/>
          <w:b/>
          <w:color w:val="1E4539"/>
        </w:rPr>
        <w:t xml:space="preserve">Story source: </w:t>
      </w:r>
      <w:r>
        <w:rPr>
          <w:rFonts w:ascii="Calibri" w:hAnsi="Calibri"/>
          <w:color w:val="272A28"/>
        </w:rPr>
        <w:t>Book One, Chapter 2</w:t>
      </w:r>
    </w:p>
    <w:p>
      <w:pPr>
        <w:keepNext w:val="0"/>
        <w:spacing w:after="120" w:line="300" w:lineRule="auto"/>
      </w:pPr>
      <w:r>
        <w:rPr>
          <w:rFonts w:ascii="Calibri" w:hAnsi="Calibri"/>
          <w:b/>
          <w:color w:val="1E4539"/>
        </w:rPr>
        <w:t xml:space="preserve">Mechanic: </w:t>
      </w:r>
      <w:r>
        <w:rPr>
          <w:rFonts w:ascii="Calibri" w:hAnsi="Calibri"/>
          <w:color w:val="272A28"/>
        </w:rPr>
        <w:t>Melee attacks and damage</w:t>
      </w:r>
    </w:p>
    <w:p>
      <w:pPr>
        <w:keepNext w:val="0"/>
        <w:spacing w:after="120" w:line="300" w:lineRule="auto"/>
      </w:pPr>
      <w:r>
        <w:rPr>
          <w:rFonts w:ascii="Calibri" w:hAnsi="Calibri"/>
          <w:b/>
          <w:color w:val="1E4539"/>
        </w:rPr>
        <w:t xml:space="preserve">Playable roster: </w:t>
      </w:r>
      <w:r>
        <w:rPr>
          <w:rFonts w:ascii="Calibri" w:hAnsi="Calibri"/>
          <w:color w:val="272A28"/>
        </w:rPr>
        <w:t>Blackthorn Lumberjack vs. Bull Gator</w:t>
      </w:r>
    </w:p>
    <w:p>
      <w:pPr>
        <w:keepNext w:val="0"/>
        <w:spacing w:after="120" w:line="300" w:lineRule="auto"/>
      </w:pPr>
      <w:r>
        <w:rPr>
          <w:rFonts w:ascii="Calibri" w:hAnsi="Calibri"/>
          <w:b/>
          <w:color w:val="1E4539"/>
        </w:rPr>
        <w:t xml:space="preserve">Board setup: </w:t>
      </w:r>
      <w:r>
        <w:rPr>
          <w:rFonts w:ascii="Calibri" w:hAnsi="Calibri"/>
          <w:color w:val="272A28"/>
        </w:rPr>
        <w:t>The Lumberjack begins adjacent to a weakened harnessed bull gator on the Mirewatch road.</w:t>
      </w:r>
    </w:p>
    <w:p>
      <w:pPr>
        <w:keepNext w:val="0"/>
        <w:spacing w:after="120" w:line="300" w:lineRule="auto"/>
      </w:pPr>
      <w:r>
        <w:rPr>
          <w:rFonts w:ascii="Calibri" w:hAnsi="Calibri"/>
          <w:b/>
          <w:color w:val="1E4539"/>
        </w:rPr>
        <w:t xml:space="preserve">Narrative purpose: </w:t>
      </w:r>
      <w:r>
        <w:rPr>
          <w:rFonts w:ascii="Calibri" w:hAnsi="Calibri"/>
          <w:color w:val="272A28"/>
        </w:rPr>
        <w:t>The road attack from Chapter 2 becomes the first combat lesson. The Company treats a living creature as damaged equipment, reinforcing Blackthorn's worldview without rewriting the novel's protagonists.</w:t>
      </w:r>
    </w:p>
    <w:p>
      <w:pPr>
        <w:pStyle w:val="Heading3"/>
      </w:pPr>
      <w:r>
        <w:t>Player sequence</w:t>
      </w:r>
    </w:p>
    <w:p>
      <w:pPr>
        <w:pStyle w:val="ListBullet"/>
        <w:spacing w:after="80" w:line="300" w:lineRule="auto"/>
        <w:ind w:left="540" w:hanging="271"/>
      </w:pPr>
      <w:r>
        <w:rPr>
          <w:rFonts w:ascii="Calibri" w:hAnsi="Calibri"/>
          <w:color w:val="272A28"/>
        </w:rPr>
        <w:t>Select the Lumberjack and identify the red attack square.</w:t>
      </w:r>
    </w:p>
    <w:p>
      <w:pPr>
        <w:pStyle w:val="ListBullet"/>
        <w:spacing w:after="80" w:line="300" w:lineRule="auto"/>
        <w:ind w:left="540" w:hanging="271"/>
      </w:pPr>
      <w:r>
        <w:rPr>
          <w:rFonts w:ascii="Calibri" w:hAnsi="Calibri"/>
          <w:color w:val="272A28"/>
        </w:rPr>
        <w:t>Attack the adjacent gator.</w:t>
      </w:r>
    </w:p>
    <w:p>
      <w:pPr>
        <w:pStyle w:val="ListBullet"/>
        <w:spacing w:after="80" w:line="300" w:lineRule="auto"/>
        <w:ind w:left="540" w:hanging="271"/>
      </w:pPr>
      <w:r>
        <w:rPr>
          <w:rFonts w:ascii="Calibri" w:hAnsi="Calibri"/>
          <w:color w:val="272A28"/>
        </w:rPr>
        <w:t>Observe damage, death animation, and removal from the board.</w:t>
      </w:r>
    </w:p>
    <w:p>
      <w:pPr>
        <w:keepNext w:val="0"/>
        <w:spacing w:after="120" w:line="300" w:lineRule="auto"/>
      </w:pPr>
      <w:r>
        <w:rPr>
          <w:rFonts w:ascii="Calibri" w:hAnsi="Calibri"/>
          <w:b/>
          <w:color w:val="1E4539"/>
        </w:rPr>
        <w:t xml:space="preserve">Success: </w:t>
      </w:r>
      <w:r>
        <w:rPr>
          <w:rFonts w:ascii="Calibri" w:hAnsi="Calibri"/>
          <w:color w:val="272A28"/>
        </w:rPr>
        <w:t>The bull gator is destroyed.</w:t>
      </w:r>
    </w:p>
    <w:p>
      <w:pPr>
        <w:keepNext w:val="0"/>
        <w:spacing w:after="120" w:line="300" w:lineRule="auto"/>
      </w:pPr>
      <w:r>
        <w:rPr>
          <w:rFonts w:ascii="Calibri" w:hAnsi="Calibri"/>
          <w:b/>
          <w:color w:val="1E4539"/>
        </w:rPr>
        <w:t xml:space="preserve">Recovery: </w:t>
      </w:r>
      <w:r>
        <w:rPr>
          <w:rFonts w:ascii="Calibri" w:hAnsi="Calibri"/>
          <w:color w:val="272A28"/>
        </w:rPr>
        <w:t>The target remains highlighted until destroyed; Restart Mission restores the setup.</w:t>
      </w:r>
    </w:p>
    <w:p>
      <w:r>
        <w:br w:type="page"/>
      </w:r>
    </w:p>
    <w:p>
      <w:pPr>
        <w:pStyle w:val="Heading2"/>
      </w:pPr>
      <w:r>
        <w:t>Mission 3: The Customs Bell</w:t>
      </w:r>
    </w:p>
    <w:p>
      <w:pPr>
        <w:keepNext w:val="0"/>
        <w:spacing w:after="120" w:line="300" w:lineRule="auto"/>
      </w:pPr>
      <w:r>
        <w:rPr>
          <w:rFonts w:ascii="Calibri" w:hAnsi="Calibri"/>
          <w:b/>
          <w:color w:val="1E4539"/>
        </w:rPr>
        <w:t xml:space="preserve">Story source: </w:t>
      </w:r>
      <w:r>
        <w:rPr>
          <w:rFonts w:ascii="Calibri" w:hAnsi="Calibri"/>
          <w:color w:val="272A28"/>
        </w:rPr>
        <w:t>Book One, Chapter 2</w:t>
      </w:r>
    </w:p>
    <w:p>
      <w:pPr>
        <w:keepNext w:val="0"/>
        <w:spacing w:after="120" w:line="300" w:lineRule="auto"/>
      </w:pPr>
      <w:r>
        <w:rPr>
          <w:rFonts w:ascii="Calibri" w:hAnsi="Calibri"/>
          <w:b/>
          <w:color w:val="1E4539"/>
        </w:rPr>
        <w:t xml:space="preserve">Mechanic: </w:t>
      </w:r>
      <w:r>
        <w:rPr>
          <w:rFonts w:ascii="Calibri" w:hAnsi="Calibri"/>
          <w:color w:val="272A28"/>
        </w:rPr>
        <w:t>Aim, fire, and lower weapon</w:t>
      </w:r>
    </w:p>
    <w:p>
      <w:pPr>
        <w:keepNext w:val="0"/>
        <w:spacing w:after="120" w:line="300" w:lineRule="auto"/>
      </w:pPr>
      <w:r>
        <w:rPr>
          <w:rFonts w:ascii="Calibri" w:hAnsi="Calibri"/>
          <w:b/>
          <w:color w:val="1E4539"/>
        </w:rPr>
        <w:t xml:space="preserve">Playable roster: </w:t>
      </w:r>
      <w:r>
        <w:rPr>
          <w:rFonts w:ascii="Calibri" w:hAnsi="Calibri"/>
          <w:color w:val="272A28"/>
        </w:rPr>
        <w:t>Goblin Sharpshooter vs. Resistance Smuggler</w:t>
      </w:r>
    </w:p>
    <w:p>
      <w:pPr>
        <w:keepNext w:val="0"/>
        <w:spacing w:after="120" w:line="300" w:lineRule="auto"/>
      </w:pPr>
      <w:r>
        <w:rPr>
          <w:rFonts w:ascii="Calibri" w:hAnsi="Calibri"/>
          <w:b/>
          <w:color w:val="1E4539"/>
        </w:rPr>
        <w:t xml:space="preserve">Board setup: </w:t>
      </w:r>
      <w:r>
        <w:rPr>
          <w:rFonts w:ascii="Calibri" w:hAnsi="Calibri"/>
          <w:color w:val="272A28"/>
        </w:rPr>
        <w:t>The Sharpshooter and smuggler share an unobstructed rank at range three.</w:t>
      </w:r>
    </w:p>
    <w:p>
      <w:pPr>
        <w:keepNext w:val="0"/>
        <w:spacing w:after="120" w:line="300" w:lineRule="auto"/>
      </w:pPr>
      <w:r>
        <w:rPr>
          <w:rFonts w:ascii="Calibri" w:hAnsi="Calibri"/>
          <w:b/>
          <w:color w:val="1E4539"/>
        </w:rPr>
        <w:t xml:space="preserve">Narrative purpose: </w:t>
      </w:r>
      <w:r>
        <w:rPr>
          <w:rFonts w:ascii="Calibri" w:hAnsi="Calibri"/>
          <w:color w:val="272A28"/>
        </w:rPr>
        <w:t>Reed and Donella's disguised cage reaches Blackthorn customs. The bell rings, and the tutorial shifts from close combat to the danger of being seen across open ground.</w:t>
      </w:r>
    </w:p>
    <w:p>
      <w:pPr>
        <w:pStyle w:val="Heading3"/>
      </w:pPr>
      <w:r>
        <w:t>Player sequence</w:t>
      </w:r>
    </w:p>
    <w:p>
      <w:pPr>
        <w:pStyle w:val="ListBullet"/>
        <w:spacing w:after="80" w:line="300" w:lineRule="auto"/>
        <w:ind w:left="540" w:hanging="271"/>
      </w:pPr>
      <w:r>
        <w:rPr>
          <w:rFonts w:ascii="Calibri" w:hAnsi="Calibri"/>
          <w:color w:val="272A28"/>
        </w:rPr>
        <w:t>Select the Sharpshooter and use Aim; this hands one action to Mirewatch.</w:t>
      </w:r>
    </w:p>
    <w:p>
      <w:pPr>
        <w:pStyle w:val="ListBullet"/>
        <w:spacing w:after="80" w:line="300" w:lineRule="auto"/>
        <w:ind w:left="540" w:hanging="271"/>
      </w:pPr>
      <w:r>
        <w:rPr>
          <w:rFonts w:ascii="Calibri" w:hAnsi="Calibri"/>
          <w:color w:val="272A28"/>
        </w:rPr>
        <w:t>On Blackthorn's next action, fire down the unobstructed three-square rank.</w:t>
      </w:r>
    </w:p>
    <w:p>
      <w:pPr>
        <w:pStyle w:val="ListBullet"/>
        <w:spacing w:after="80" w:line="300" w:lineRule="auto"/>
        <w:ind w:left="540" w:hanging="271"/>
      </w:pPr>
      <w:r>
        <w:rPr>
          <w:rFonts w:ascii="Calibri" w:hAnsi="Calibri"/>
          <w:color w:val="272A28"/>
        </w:rPr>
        <w:t>Use Lower Weapon when the Sharpshooter must return to its movement state.</w:t>
      </w:r>
    </w:p>
    <w:p>
      <w:pPr>
        <w:keepNext w:val="0"/>
        <w:spacing w:after="120" w:line="300" w:lineRule="auto"/>
      </w:pPr>
      <w:r>
        <w:rPr>
          <w:rFonts w:ascii="Calibri" w:hAnsi="Calibri"/>
          <w:b/>
          <w:color w:val="1E4539"/>
        </w:rPr>
        <w:t xml:space="preserve">Success: </w:t>
      </w:r>
      <w:r>
        <w:rPr>
          <w:rFonts w:ascii="Calibri" w:hAnsi="Calibri"/>
          <w:color w:val="272A28"/>
        </w:rPr>
        <w:t>The Sharpshooter has aimed and the smuggler is destroyed by a legal ranged attack.</w:t>
      </w:r>
    </w:p>
    <w:p>
      <w:pPr>
        <w:keepNext w:val="0"/>
        <w:spacing w:after="120" w:line="300" w:lineRule="auto"/>
      </w:pPr>
      <w:r>
        <w:rPr>
          <w:rFonts w:ascii="Calibri" w:hAnsi="Calibri"/>
          <w:b/>
          <w:color w:val="1E4539"/>
        </w:rPr>
        <w:t xml:space="preserve">Recovery: </w:t>
      </w:r>
      <w:r>
        <w:rPr>
          <w:rFonts w:ascii="Calibri" w:hAnsi="Calibri"/>
          <w:color w:val="272A28"/>
        </w:rPr>
        <w:t>The contextual button continues to show Lower Weapon while the gun remains raised.</w:t>
      </w:r>
    </w:p>
    <w:p>
      <w:r>
        <w:br w:type="page"/>
      </w:r>
    </w:p>
    <w:p>
      <w:pPr>
        <w:pStyle w:val="Heading2"/>
      </w:pPr>
      <w:r>
        <w:t>Mission 4: The Town Beneath the Company</w:t>
      </w:r>
    </w:p>
    <w:p>
      <w:pPr>
        <w:keepNext w:val="0"/>
        <w:spacing w:after="120" w:line="300" w:lineRule="auto"/>
      </w:pPr>
      <w:r>
        <w:rPr>
          <w:rFonts w:ascii="Calibri" w:hAnsi="Calibri"/>
          <w:b/>
          <w:color w:val="1E4539"/>
        </w:rPr>
        <w:t xml:space="preserve">Story source: </w:t>
      </w:r>
      <w:r>
        <w:rPr>
          <w:rFonts w:ascii="Calibri" w:hAnsi="Calibri"/>
          <w:color w:val="272A28"/>
        </w:rPr>
        <w:t>Book One, Chapter 3</w:t>
      </w:r>
    </w:p>
    <w:p>
      <w:pPr>
        <w:keepNext w:val="0"/>
        <w:spacing w:after="120" w:line="300" w:lineRule="auto"/>
      </w:pPr>
      <w:r>
        <w:rPr>
          <w:rFonts w:ascii="Calibri" w:hAnsi="Calibri"/>
          <w:b/>
          <w:color w:val="1E4539"/>
        </w:rPr>
        <w:t xml:space="preserve">Mechanic: </w:t>
      </w:r>
      <w:r>
        <w:rPr>
          <w:rFonts w:ascii="Calibri" w:hAnsi="Calibri"/>
          <w:color w:val="272A28"/>
        </w:rPr>
        <w:t>Cards, deployment, and controlled ground</w:t>
      </w:r>
    </w:p>
    <w:p>
      <w:pPr>
        <w:keepNext w:val="0"/>
        <w:spacing w:after="120" w:line="300" w:lineRule="auto"/>
      </w:pPr>
      <w:r>
        <w:rPr>
          <w:rFonts w:ascii="Calibri" w:hAnsi="Calibri"/>
          <w:b/>
          <w:color w:val="1E4539"/>
        </w:rPr>
        <w:t xml:space="preserve">Playable roster: </w:t>
      </w:r>
      <w:r>
        <w:rPr>
          <w:rFonts w:ascii="Calibri" w:hAnsi="Calibri"/>
          <w:color w:val="272A28"/>
        </w:rPr>
        <w:t>Braun Stonefist and Blackthorn Debt Collector</w:t>
      </w:r>
    </w:p>
    <w:p>
      <w:pPr>
        <w:keepNext w:val="0"/>
        <w:spacing w:after="120" w:line="300" w:lineRule="auto"/>
      </w:pPr>
      <w:r>
        <w:rPr>
          <w:rFonts w:ascii="Calibri" w:hAnsi="Calibri"/>
          <w:b/>
          <w:color w:val="1E4539"/>
        </w:rPr>
        <w:t xml:space="preserve">Board setup: </w:t>
      </w:r>
      <w:r>
        <w:rPr>
          <w:rFonts w:ascii="Calibri" w:hAnsi="Calibri"/>
          <w:color w:val="272A28"/>
        </w:rPr>
        <w:t>Braun controls the home edge. The Debt Collector appears in hand and one legal home square is marked.</w:t>
      </w:r>
    </w:p>
    <w:p>
      <w:pPr>
        <w:keepNext w:val="0"/>
        <w:spacing w:after="120" w:line="300" w:lineRule="auto"/>
      </w:pPr>
      <w:r>
        <w:rPr>
          <w:rFonts w:ascii="Calibri" w:hAnsi="Calibri"/>
          <w:b/>
          <w:color w:val="1E4539"/>
        </w:rPr>
        <w:t xml:space="preserve">Narrative purpose: </w:t>
      </w:r>
      <w:r>
        <w:rPr>
          <w:rFonts w:ascii="Calibri" w:hAnsi="Calibri"/>
          <w:color w:val="272A28"/>
        </w:rPr>
        <w:t>Mirewatch's pumps, wages, ferries, and ledgers all point to Blackthorn. Deployment is presented as the Company turning controlled ground into an office.</w:t>
      </w:r>
    </w:p>
    <w:p>
      <w:pPr>
        <w:pStyle w:val="Heading3"/>
      </w:pPr>
      <w:r>
        <w:t>Player sequence</w:t>
      </w:r>
    </w:p>
    <w:p>
      <w:pPr>
        <w:pStyle w:val="ListBullet"/>
        <w:spacing w:after="80" w:line="300" w:lineRule="auto"/>
        <w:ind w:left="540" w:hanging="271"/>
      </w:pPr>
      <w:r>
        <w:rPr>
          <w:rFonts w:ascii="Calibri" w:hAnsi="Calibri"/>
          <w:color w:val="272A28"/>
        </w:rPr>
        <w:t>Select the Debt Collector card in hand.</w:t>
      </w:r>
    </w:p>
    <w:p>
      <w:pPr>
        <w:pStyle w:val="ListBullet"/>
        <w:spacing w:after="80" w:line="300" w:lineRule="auto"/>
        <w:ind w:left="540" w:hanging="271"/>
      </w:pPr>
      <w:r>
        <w:rPr>
          <w:rFonts w:ascii="Calibri" w:hAnsi="Calibri"/>
          <w:color w:val="272A28"/>
        </w:rPr>
        <w:t>Review the green deployment highlights.</w:t>
      </w:r>
    </w:p>
    <w:p>
      <w:pPr>
        <w:pStyle w:val="ListBullet"/>
        <w:spacing w:after="80" w:line="300" w:lineRule="auto"/>
        <w:ind w:left="540" w:hanging="271"/>
      </w:pPr>
      <w:r>
        <w:rPr>
          <w:rFonts w:ascii="Calibri" w:hAnsi="Calibri"/>
          <w:color w:val="272A28"/>
        </w:rPr>
        <w:t>Deploy on the marked, controlled home square.</w:t>
      </w:r>
    </w:p>
    <w:p>
      <w:pPr>
        <w:keepNext w:val="0"/>
        <w:spacing w:after="120" w:line="300" w:lineRule="auto"/>
      </w:pPr>
      <w:r>
        <w:rPr>
          <w:rFonts w:ascii="Calibri" w:hAnsi="Calibri"/>
          <w:b/>
          <w:color w:val="1E4539"/>
        </w:rPr>
        <w:t xml:space="preserve">Success: </w:t>
      </w:r>
      <w:r>
        <w:rPr>
          <w:rFonts w:ascii="Calibri" w:hAnsi="Calibri"/>
          <w:color w:val="272A28"/>
        </w:rPr>
        <w:t>A Blackthorn Debt Collector exists on the board.</w:t>
      </w:r>
    </w:p>
    <w:p>
      <w:pPr>
        <w:keepNext w:val="0"/>
        <w:spacing w:after="120" w:line="300" w:lineRule="auto"/>
      </w:pPr>
      <w:r>
        <w:rPr>
          <w:rFonts w:ascii="Calibri" w:hAnsi="Calibri"/>
          <w:b/>
          <w:color w:val="1E4539"/>
        </w:rPr>
        <w:t xml:space="preserve">Recovery: </w:t>
      </w:r>
      <w:r>
        <w:rPr>
          <w:rFonts w:ascii="Calibri" w:hAnsi="Calibri"/>
          <w:color w:val="272A28"/>
        </w:rPr>
        <w:t>Restart Mission returns the card to hand; invalid squares do not consume it.</w:t>
      </w:r>
    </w:p>
    <w:p>
      <w:r>
        <w:br w:type="page"/>
      </w:r>
    </w:p>
    <w:p>
      <w:pPr>
        <w:pStyle w:val="Heading2"/>
      </w:pPr>
      <w:r>
        <w:t>Mission 5: Terms and Conditions</w:t>
      </w:r>
    </w:p>
    <w:p>
      <w:pPr>
        <w:keepNext w:val="0"/>
        <w:spacing w:after="120" w:line="300" w:lineRule="auto"/>
      </w:pPr>
      <w:r>
        <w:rPr>
          <w:rFonts w:ascii="Calibri" w:hAnsi="Calibri"/>
          <w:b/>
          <w:color w:val="1E4539"/>
        </w:rPr>
        <w:t xml:space="preserve">Story source: </w:t>
      </w:r>
      <w:r>
        <w:rPr>
          <w:rFonts w:ascii="Calibri" w:hAnsi="Calibri"/>
          <w:color w:val="272A28"/>
        </w:rPr>
        <w:t>Book One, Chapter 4</w:t>
      </w:r>
    </w:p>
    <w:p>
      <w:pPr>
        <w:keepNext w:val="0"/>
        <w:spacing w:after="120" w:line="300" w:lineRule="auto"/>
      </w:pPr>
      <w:r>
        <w:rPr>
          <w:rFonts w:ascii="Calibri" w:hAnsi="Calibri"/>
          <w:b/>
          <w:color w:val="1E4539"/>
        </w:rPr>
        <w:t xml:space="preserve">Mechanic: </w:t>
      </w:r>
      <w:r>
        <w:rPr>
          <w:rFonts w:ascii="Calibri" w:hAnsi="Calibri"/>
          <w:color w:val="272A28"/>
        </w:rPr>
        <w:t>Activated powers, stealth, summoning, and control</w:t>
      </w:r>
    </w:p>
    <w:p>
      <w:pPr>
        <w:keepNext w:val="0"/>
        <w:spacing w:after="120" w:line="300" w:lineRule="auto"/>
      </w:pPr>
      <w:r>
        <w:rPr>
          <w:rFonts w:ascii="Calibri" w:hAnsi="Calibri"/>
          <w:b/>
          <w:color w:val="1E4539"/>
        </w:rPr>
        <w:t xml:space="preserve">Playable roster: </w:t>
      </w:r>
      <w:r>
        <w:rPr>
          <w:rFonts w:ascii="Calibri" w:hAnsi="Calibri"/>
          <w:color w:val="272A28"/>
        </w:rPr>
        <w:t>Blackthorn Foreman, Goblin Ambusher, Blackthorn Lumberjack</w:t>
      </w:r>
    </w:p>
    <w:p>
      <w:pPr>
        <w:keepNext w:val="0"/>
        <w:spacing w:after="120" w:line="300" w:lineRule="auto"/>
      </w:pPr>
      <w:r>
        <w:rPr>
          <w:rFonts w:ascii="Calibri" w:hAnsi="Calibri"/>
          <w:b/>
          <w:color w:val="1E4539"/>
        </w:rPr>
        <w:t xml:space="preserve">Board setup: </w:t>
      </w:r>
      <w:r>
        <w:rPr>
          <w:rFonts w:ascii="Calibri" w:hAnsi="Calibri"/>
          <w:color w:val="272A28"/>
        </w:rPr>
        <w:t>The Foreman, Ambusher, and Lumberjack begin in a compact formation opposite an active Mirewatch force.</w:t>
      </w:r>
    </w:p>
    <w:p>
      <w:pPr>
        <w:keepNext w:val="0"/>
        <w:spacing w:after="120" w:line="300" w:lineRule="auto"/>
      </w:pPr>
      <w:r>
        <w:rPr>
          <w:rFonts w:ascii="Calibri" w:hAnsi="Calibri"/>
          <w:b/>
          <w:color w:val="1E4539"/>
        </w:rPr>
        <w:t xml:space="preserve">Narrative purpose: </w:t>
      </w:r>
      <w:r>
        <w:rPr>
          <w:rFonts w:ascii="Calibri" w:hAnsi="Calibri"/>
          <w:color w:val="272A28"/>
        </w:rPr>
        <w:t>The novel's contracts and company rules become spatial pressure: Blackthorn controls choices by controlling the squares around them.</w:t>
      </w:r>
    </w:p>
    <w:p>
      <w:pPr>
        <w:pStyle w:val="Heading3"/>
      </w:pPr>
      <w:r>
        <w:t>Player sequence</w:t>
      </w:r>
    </w:p>
    <w:p>
      <w:pPr>
        <w:pStyle w:val="ListBullet"/>
        <w:spacing w:after="80" w:line="300" w:lineRule="auto"/>
        <w:ind w:left="540" w:hanging="271"/>
      </w:pPr>
      <w:r>
        <w:rPr>
          <w:rFonts w:ascii="Calibri" w:hAnsi="Calibri"/>
          <w:color w:val="272A28"/>
        </w:rPr>
        <w:t>Use Hide to dematerialize the Goblin Ambusher from the opponent's view.</w:t>
      </w:r>
    </w:p>
    <w:p>
      <w:pPr>
        <w:pStyle w:val="ListBullet"/>
        <w:spacing w:after="80" w:line="300" w:lineRule="auto"/>
        <w:ind w:left="540" w:hanging="271"/>
      </w:pPr>
      <w:r>
        <w:rPr>
          <w:rFonts w:ascii="Calibri" w:hAnsi="Calibri"/>
          <w:color w:val="272A28"/>
        </w:rPr>
        <w:t>Use the Foreman's Create Lumberjack power while its front square is open.</w:t>
      </w:r>
    </w:p>
    <w:p>
      <w:pPr>
        <w:pStyle w:val="ListBullet"/>
        <w:spacing w:after="80" w:line="300" w:lineRule="auto"/>
        <w:ind w:left="540" w:hanging="271"/>
      </w:pPr>
      <w:r>
        <w:rPr>
          <w:rFonts w:ascii="Calibri" w:hAnsi="Calibri"/>
          <w:color w:val="272A28"/>
        </w:rPr>
        <w:t>Preserve or expand Blackthorn control to at least fourteen squares while Mirewatch answers each action.</w:t>
      </w:r>
    </w:p>
    <w:p>
      <w:pPr>
        <w:keepNext w:val="0"/>
        <w:spacing w:after="120" w:line="300" w:lineRule="auto"/>
      </w:pPr>
      <w:r>
        <w:rPr>
          <w:rFonts w:ascii="Calibri" w:hAnsi="Calibri"/>
          <w:b/>
          <w:color w:val="1E4539"/>
        </w:rPr>
        <w:t xml:space="preserve">Success: </w:t>
      </w:r>
      <w:r>
        <w:rPr>
          <w:rFonts w:ascii="Calibri" w:hAnsi="Calibri"/>
          <w:color w:val="272A28"/>
        </w:rPr>
        <w:t>Hide and Create Lumberjack have both been used, and Blackthorn controls at least fourteen squares.</w:t>
      </w:r>
    </w:p>
    <w:p>
      <w:pPr>
        <w:keepNext w:val="0"/>
        <w:spacing w:after="120" w:line="300" w:lineRule="auto"/>
      </w:pPr>
      <w:r>
        <w:rPr>
          <w:rFonts w:ascii="Calibri" w:hAnsi="Calibri"/>
          <w:b/>
          <w:color w:val="1E4539"/>
        </w:rPr>
        <w:t xml:space="preserve">Recovery: </w:t>
      </w:r>
      <w:r>
        <w:rPr>
          <w:rFonts w:ascii="Calibri" w:hAnsi="Calibri"/>
          <w:color w:val="272A28"/>
        </w:rPr>
        <w:t>The live Lands counter and contextual power labels show which part of the objective remains.</w:t>
      </w:r>
    </w:p>
    <w:p>
      <w:r>
        <w:br w:type="page"/>
      </w:r>
    </w:p>
    <w:p>
      <w:pPr>
        <w:pStyle w:val="Heading2"/>
      </w:pPr>
      <w:r>
        <w:t>Mission 6: Hospitality Is a Weapon</w:t>
      </w:r>
    </w:p>
    <w:p>
      <w:pPr>
        <w:keepNext w:val="0"/>
        <w:spacing w:after="120" w:line="300" w:lineRule="auto"/>
      </w:pPr>
      <w:r>
        <w:rPr>
          <w:rFonts w:ascii="Calibri" w:hAnsi="Calibri"/>
          <w:b/>
          <w:color w:val="1E4539"/>
        </w:rPr>
        <w:t xml:space="preserve">Story source: </w:t>
      </w:r>
      <w:r>
        <w:rPr>
          <w:rFonts w:ascii="Calibri" w:hAnsi="Calibri"/>
          <w:color w:val="272A28"/>
        </w:rPr>
        <w:t>Book One, Chapter 5</w:t>
      </w:r>
    </w:p>
    <w:p>
      <w:pPr>
        <w:keepNext w:val="0"/>
        <w:spacing w:after="120" w:line="300" w:lineRule="auto"/>
      </w:pPr>
      <w:r>
        <w:rPr>
          <w:rFonts w:ascii="Calibri" w:hAnsi="Calibri"/>
          <w:b/>
          <w:color w:val="1E4539"/>
        </w:rPr>
        <w:t xml:space="preserve">Mechanic: </w:t>
      </w:r>
      <w:r>
        <w:rPr>
          <w:rFonts w:ascii="Calibri" w:hAnsi="Calibri"/>
          <w:color w:val="272A28"/>
        </w:rPr>
        <w:t>Combined arms</w:t>
      </w:r>
    </w:p>
    <w:p>
      <w:pPr>
        <w:keepNext w:val="0"/>
        <w:spacing w:after="120" w:line="300" w:lineRule="auto"/>
      </w:pPr>
      <w:r>
        <w:rPr>
          <w:rFonts w:ascii="Calibri" w:hAnsi="Calibri"/>
          <w:b/>
          <w:color w:val="1E4539"/>
        </w:rPr>
        <w:t xml:space="preserve">Playable roster: </w:t>
      </w:r>
      <w:r>
        <w:rPr>
          <w:rFonts w:ascii="Calibri" w:hAnsi="Calibri"/>
          <w:color w:val="272A28"/>
        </w:rPr>
        <w:t>Braun, Goblin Ambusher, Goblin Sharpshooter vs. two defenders</w:t>
      </w:r>
    </w:p>
    <w:p>
      <w:pPr>
        <w:keepNext w:val="0"/>
        <w:spacing w:after="120" w:line="300" w:lineRule="auto"/>
      </w:pPr>
      <w:r>
        <w:rPr>
          <w:rFonts w:ascii="Calibri" w:hAnsi="Calibri"/>
          <w:b/>
          <w:color w:val="1E4539"/>
        </w:rPr>
        <w:t xml:space="preserve">Board setup: </w:t>
      </w:r>
      <w:r>
        <w:rPr>
          <w:rFonts w:ascii="Calibri" w:hAnsi="Calibri"/>
          <w:color w:val="272A28"/>
        </w:rPr>
        <w:t>A close-range attacker and ranged attacker face an Informant and Bog Spearman on separate lanes.</w:t>
      </w:r>
    </w:p>
    <w:p>
      <w:pPr>
        <w:keepNext w:val="0"/>
        <w:spacing w:after="120" w:line="300" w:lineRule="auto"/>
      </w:pPr>
      <w:r>
        <w:rPr>
          <w:rFonts w:ascii="Calibri" w:hAnsi="Calibri"/>
          <w:b/>
          <w:color w:val="1E4539"/>
        </w:rPr>
        <w:t xml:space="preserve">Narrative purpose: </w:t>
      </w:r>
      <w:r>
        <w:rPr>
          <w:rFonts w:ascii="Calibri" w:hAnsi="Calibri"/>
          <w:color w:val="272A28"/>
        </w:rPr>
        <w:t>Polite rooms and offered shelter become tactical misdirection. The lesson asks the player to read the whole board rather than chase the nearest target.</w:t>
      </w:r>
    </w:p>
    <w:p>
      <w:pPr>
        <w:pStyle w:val="Heading3"/>
      </w:pPr>
      <w:r>
        <w:t>Player sequence</w:t>
      </w:r>
    </w:p>
    <w:p>
      <w:pPr>
        <w:pStyle w:val="ListBullet"/>
        <w:spacing w:after="80" w:line="300" w:lineRule="auto"/>
        <w:ind w:left="540" w:hanging="271"/>
      </w:pPr>
      <w:r>
        <w:rPr>
          <w:rFonts w:ascii="Calibri" w:hAnsi="Calibri"/>
          <w:color w:val="272A28"/>
        </w:rPr>
        <w:t>Use Braun or the Ambusher to pressure close targets.</w:t>
      </w:r>
    </w:p>
    <w:p>
      <w:pPr>
        <w:pStyle w:val="ListBullet"/>
        <w:spacing w:after="80" w:line="300" w:lineRule="auto"/>
        <w:ind w:left="540" w:hanging="271"/>
      </w:pPr>
      <w:r>
        <w:rPr>
          <w:rFonts w:ascii="Calibri" w:hAnsi="Calibri"/>
          <w:color w:val="272A28"/>
        </w:rPr>
        <w:t>Keep the Sharpshooter's lane clear.</w:t>
      </w:r>
    </w:p>
    <w:p>
      <w:pPr>
        <w:pStyle w:val="ListBullet"/>
        <w:spacing w:after="80" w:line="300" w:lineRule="auto"/>
        <w:ind w:left="540" w:hanging="271"/>
      </w:pPr>
      <w:r>
        <w:rPr>
          <w:rFonts w:ascii="Calibri" w:hAnsi="Calibri"/>
          <w:color w:val="272A28"/>
        </w:rPr>
        <w:t>Destroy both Mirewatch defenders.</w:t>
      </w:r>
    </w:p>
    <w:p>
      <w:pPr>
        <w:keepNext w:val="0"/>
        <w:spacing w:after="120" w:line="300" w:lineRule="auto"/>
      </w:pPr>
      <w:r>
        <w:rPr>
          <w:rFonts w:ascii="Calibri" w:hAnsi="Calibri"/>
          <w:b/>
          <w:color w:val="1E4539"/>
        </w:rPr>
        <w:t xml:space="preserve">Success: </w:t>
      </w:r>
      <w:r>
        <w:rPr>
          <w:rFonts w:ascii="Calibri" w:hAnsi="Calibri"/>
          <w:color w:val="272A28"/>
        </w:rPr>
        <w:t>No Mirewatch pieces remain.</w:t>
      </w:r>
    </w:p>
    <w:p>
      <w:pPr>
        <w:keepNext w:val="0"/>
        <w:spacing w:after="120" w:line="300" w:lineRule="auto"/>
      </w:pPr>
      <w:r>
        <w:rPr>
          <w:rFonts w:ascii="Calibri" w:hAnsi="Calibri"/>
          <w:b/>
          <w:color w:val="1E4539"/>
        </w:rPr>
        <w:t xml:space="preserve">Recovery: </w:t>
      </w:r>
      <w:r>
        <w:rPr>
          <w:rFonts w:ascii="Calibri" w:hAnsi="Calibri"/>
          <w:color w:val="272A28"/>
        </w:rPr>
        <w:t>The player may retry immediately; hints reinforce role separation rather than prescribe one solution.</w:t>
      </w:r>
    </w:p>
    <w:p>
      <w:r>
        <w:br w:type="page"/>
      </w:r>
    </w:p>
    <w:p>
      <w:pPr>
        <w:pStyle w:val="Heading2"/>
      </w:pPr>
      <w:r>
        <w:t>Mission 7: The Bluewater Below</w:t>
      </w:r>
    </w:p>
    <w:p>
      <w:pPr>
        <w:keepNext w:val="0"/>
        <w:spacing w:after="120" w:line="300" w:lineRule="auto"/>
      </w:pPr>
      <w:r>
        <w:rPr>
          <w:rFonts w:ascii="Calibri" w:hAnsi="Calibri"/>
          <w:b/>
          <w:color w:val="1E4539"/>
        </w:rPr>
        <w:t xml:space="preserve">Story source: </w:t>
      </w:r>
      <w:r>
        <w:rPr>
          <w:rFonts w:ascii="Calibri" w:hAnsi="Calibri"/>
          <w:color w:val="272A28"/>
        </w:rPr>
        <w:t>Book One, Chapter 6</w:t>
      </w:r>
    </w:p>
    <w:p>
      <w:pPr>
        <w:keepNext w:val="0"/>
        <w:spacing w:after="120" w:line="300" w:lineRule="auto"/>
      </w:pPr>
      <w:r>
        <w:rPr>
          <w:rFonts w:ascii="Calibri" w:hAnsi="Calibri"/>
          <w:b/>
          <w:color w:val="1E4539"/>
        </w:rPr>
        <w:t xml:space="preserve">Mechanic: </w:t>
      </w:r>
      <w:r>
        <w:rPr>
          <w:rFonts w:ascii="Calibri" w:hAnsi="Calibri"/>
          <w:color w:val="272A28"/>
        </w:rPr>
        <w:t>Priority targets and protection</w:t>
      </w:r>
    </w:p>
    <w:p>
      <w:pPr>
        <w:keepNext w:val="0"/>
        <w:spacing w:after="120" w:line="300" w:lineRule="auto"/>
      </w:pPr>
      <w:r>
        <w:rPr>
          <w:rFonts w:ascii="Calibri" w:hAnsi="Calibri"/>
          <w:b/>
          <w:color w:val="1E4539"/>
        </w:rPr>
        <w:t xml:space="preserve">Playable roster: </w:t>
      </w:r>
      <w:r>
        <w:rPr>
          <w:rFonts w:ascii="Calibri" w:hAnsi="Calibri"/>
          <w:color w:val="272A28"/>
        </w:rPr>
        <w:t>Four Blackthorn units vs. Donella and two escorts</w:t>
      </w:r>
    </w:p>
    <w:p>
      <w:pPr>
        <w:keepNext w:val="0"/>
        <w:spacing w:after="120" w:line="300" w:lineRule="auto"/>
      </w:pPr>
      <w:r>
        <w:rPr>
          <w:rFonts w:ascii="Calibri" w:hAnsi="Calibri"/>
          <w:b/>
          <w:color w:val="1E4539"/>
        </w:rPr>
        <w:t xml:space="preserve">Board setup: </w:t>
      </w:r>
      <w:r>
        <w:rPr>
          <w:rFonts w:ascii="Calibri" w:hAnsi="Calibri"/>
          <w:color w:val="272A28"/>
        </w:rPr>
        <w:t>Donella stands behind a Marshland Veteran and Bog Spearman. Blackthorn fields melee, ranged, and support-range pieces.</w:t>
      </w:r>
    </w:p>
    <w:p>
      <w:pPr>
        <w:keepNext w:val="0"/>
        <w:spacing w:after="120" w:line="300" w:lineRule="auto"/>
      </w:pPr>
      <w:r>
        <w:rPr>
          <w:rFonts w:ascii="Calibri" w:hAnsi="Calibri"/>
          <w:b/>
          <w:color w:val="1E4539"/>
        </w:rPr>
        <w:t xml:space="preserve">Narrative purpose: </w:t>
      </w:r>
      <w:r>
        <w:rPr>
          <w:rFonts w:ascii="Calibri" w:hAnsi="Calibri"/>
          <w:color w:val="272A28"/>
        </w:rPr>
        <w:t>Bluewater routes are promises kept beneath Blackthorn's maps. Donella embodies protection, making her the first explicit priority target.</w:t>
      </w:r>
    </w:p>
    <w:p>
      <w:pPr>
        <w:pStyle w:val="Heading3"/>
      </w:pPr>
      <w:r>
        <w:t>Player sequence</w:t>
      </w:r>
    </w:p>
    <w:p>
      <w:pPr>
        <w:pStyle w:val="ListBullet"/>
        <w:spacing w:after="80" w:line="300" w:lineRule="auto"/>
        <w:ind w:left="540" w:hanging="271"/>
      </w:pPr>
      <w:r>
        <w:rPr>
          <w:rFonts w:ascii="Calibri" w:hAnsi="Calibri"/>
          <w:color w:val="272A28"/>
        </w:rPr>
        <w:t>Identify which defenders block or punish each approach.</w:t>
      </w:r>
    </w:p>
    <w:p>
      <w:pPr>
        <w:pStyle w:val="ListBullet"/>
        <w:spacing w:after="80" w:line="300" w:lineRule="auto"/>
        <w:ind w:left="540" w:hanging="271"/>
      </w:pPr>
      <w:r>
        <w:rPr>
          <w:rFonts w:ascii="Calibri" w:hAnsi="Calibri"/>
          <w:color w:val="272A28"/>
        </w:rPr>
        <w:t>Remove enough of the escort to open safe attacks.</w:t>
      </w:r>
    </w:p>
    <w:p>
      <w:pPr>
        <w:pStyle w:val="ListBullet"/>
        <w:spacing w:after="80" w:line="300" w:lineRule="auto"/>
        <w:ind w:left="540" w:hanging="271"/>
      </w:pPr>
      <w:r>
        <w:rPr>
          <w:rFonts w:ascii="Calibri" w:hAnsi="Calibri"/>
          <w:color w:val="272A28"/>
        </w:rPr>
        <w:t>Concentrate damage on Donella.</w:t>
      </w:r>
    </w:p>
    <w:p>
      <w:pPr>
        <w:keepNext w:val="0"/>
        <w:spacing w:after="120" w:line="300" w:lineRule="auto"/>
      </w:pPr>
      <w:r>
        <w:rPr>
          <w:rFonts w:ascii="Calibri" w:hAnsi="Calibri"/>
          <w:b/>
          <w:color w:val="1E4539"/>
        </w:rPr>
        <w:t xml:space="preserve">Success: </w:t>
      </w:r>
      <w:r>
        <w:rPr>
          <w:rFonts w:ascii="Calibri" w:hAnsi="Calibri"/>
          <w:color w:val="272A28"/>
        </w:rPr>
        <w:t>Donella of the Marsh is defeated.</w:t>
      </w:r>
    </w:p>
    <w:p>
      <w:pPr>
        <w:keepNext w:val="0"/>
        <w:spacing w:after="120" w:line="300" w:lineRule="auto"/>
      </w:pPr>
      <w:r>
        <w:rPr>
          <w:rFonts w:ascii="Calibri" w:hAnsi="Calibri"/>
          <w:b/>
          <w:color w:val="1E4539"/>
        </w:rPr>
        <w:t xml:space="preserve">Recovery: </w:t>
      </w:r>
      <w:r>
        <w:rPr>
          <w:rFonts w:ascii="Calibri" w:hAnsi="Calibri"/>
          <w:color w:val="272A28"/>
        </w:rPr>
        <w:t>Donella remains gold-marked while alive; Restart Mission restores every escort.</w:t>
      </w:r>
    </w:p>
    <w:p>
      <w:r>
        <w:br w:type="page"/>
      </w:r>
    </w:p>
    <w:p>
      <w:pPr>
        <w:pStyle w:val="Heading2"/>
      </w:pPr>
      <w:r>
        <w:t>Mission 8: How to Rob an Office Everyone Is Watching</w:t>
      </w:r>
    </w:p>
    <w:p>
      <w:pPr>
        <w:keepNext w:val="0"/>
        <w:spacing w:after="120" w:line="300" w:lineRule="auto"/>
      </w:pPr>
      <w:r>
        <w:rPr>
          <w:rFonts w:ascii="Calibri" w:hAnsi="Calibri"/>
          <w:b/>
          <w:color w:val="1E4539"/>
        </w:rPr>
        <w:t xml:space="preserve">Story source: </w:t>
      </w:r>
      <w:r>
        <w:rPr>
          <w:rFonts w:ascii="Calibri" w:hAnsi="Calibri"/>
          <w:color w:val="272A28"/>
        </w:rPr>
        <w:t>Book One, Chapter 7</w:t>
      </w:r>
    </w:p>
    <w:p>
      <w:pPr>
        <w:keepNext w:val="0"/>
        <w:spacing w:after="120" w:line="300" w:lineRule="auto"/>
      </w:pPr>
      <w:r>
        <w:rPr>
          <w:rFonts w:ascii="Calibri" w:hAnsi="Calibri"/>
          <w:b/>
          <w:color w:val="1E4539"/>
        </w:rPr>
        <w:t xml:space="preserve">Mechanic: </w:t>
      </w:r>
      <w:r>
        <w:rPr>
          <w:rFonts w:ascii="Calibri" w:hAnsi="Calibri"/>
          <w:color w:val="272A28"/>
        </w:rPr>
        <w:t>Full tactical encounter</w:t>
      </w:r>
    </w:p>
    <w:p>
      <w:pPr>
        <w:keepNext w:val="0"/>
        <w:spacing w:after="120" w:line="300" w:lineRule="auto"/>
      </w:pPr>
      <w:r>
        <w:rPr>
          <w:rFonts w:ascii="Calibri" w:hAnsi="Calibri"/>
          <w:b/>
          <w:color w:val="1E4539"/>
        </w:rPr>
        <w:t xml:space="preserve">Playable roster: </w:t>
      </w:r>
      <w:r>
        <w:rPr>
          <w:rFonts w:ascii="Calibri" w:hAnsi="Calibri"/>
          <w:color w:val="272A28"/>
        </w:rPr>
        <w:t>Blackthorn starter squad vs. Reed, Erevan, and Donella</w:t>
      </w:r>
    </w:p>
    <w:p>
      <w:pPr>
        <w:keepNext w:val="0"/>
        <w:spacing w:after="120" w:line="300" w:lineRule="auto"/>
      </w:pPr>
      <w:r>
        <w:rPr>
          <w:rFonts w:ascii="Calibri" w:hAnsi="Calibri"/>
          <w:b/>
          <w:color w:val="1E4539"/>
        </w:rPr>
        <w:t xml:space="preserve">Board setup: </w:t>
      </w:r>
      <w:r>
        <w:rPr>
          <w:rFonts w:ascii="Calibri" w:hAnsi="Calibri"/>
          <w:color w:val="272A28"/>
        </w:rPr>
        <w:t>Five Blackthorn pieces face three named defenders across the full 8x8 board.</w:t>
      </w:r>
    </w:p>
    <w:p>
      <w:pPr>
        <w:keepNext w:val="0"/>
        <w:spacing w:after="120" w:line="300" w:lineRule="auto"/>
      </w:pPr>
      <w:r>
        <w:rPr>
          <w:rFonts w:ascii="Calibri" w:hAnsi="Calibri"/>
          <w:b/>
          <w:color w:val="1E4539"/>
        </w:rPr>
        <w:t xml:space="preserve">Narrative purpose: </w:t>
      </w:r>
      <w:r>
        <w:rPr>
          <w:rFonts w:ascii="Calibri" w:hAnsi="Calibri"/>
          <w:color w:val="272A28"/>
        </w:rPr>
        <w:t>The first arc culminates in the office heist. Reed's plan, Erevan's violence, Donella's protection, and Victor's pursuit all become legible as tactical roles.</w:t>
      </w:r>
    </w:p>
    <w:p>
      <w:pPr>
        <w:pStyle w:val="Heading3"/>
      </w:pPr>
      <w:r>
        <w:t>Player sequence</w:t>
      </w:r>
    </w:p>
    <w:p>
      <w:pPr>
        <w:pStyle w:val="ListBullet"/>
        <w:spacing w:after="80" w:line="300" w:lineRule="auto"/>
        <w:ind w:left="540" w:hanging="271"/>
      </w:pPr>
      <w:r>
        <w:rPr>
          <w:rFonts w:ascii="Calibri" w:hAnsi="Calibri"/>
          <w:color w:val="272A28"/>
        </w:rPr>
        <w:t>Establish firing lanes and protected approach squares.</w:t>
      </w:r>
    </w:p>
    <w:p>
      <w:pPr>
        <w:pStyle w:val="ListBullet"/>
        <w:spacing w:after="80" w:line="300" w:lineRule="auto"/>
        <w:ind w:left="540" w:hanging="271"/>
      </w:pPr>
      <w:r>
        <w:rPr>
          <w:rFonts w:ascii="Calibri" w:hAnsi="Calibri"/>
          <w:color w:val="272A28"/>
        </w:rPr>
        <w:t>Remove vulnerable defenders without exposing the Sharpshooter.</w:t>
      </w:r>
    </w:p>
    <w:p>
      <w:pPr>
        <w:pStyle w:val="ListBullet"/>
        <w:spacing w:after="80" w:line="300" w:lineRule="auto"/>
        <w:ind w:left="540" w:hanging="271"/>
      </w:pPr>
      <w:r>
        <w:rPr>
          <w:rFonts w:ascii="Calibri" w:hAnsi="Calibri"/>
          <w:color w:val="272A28"/>
        </w:rPr>
        <w:t>Defeat Reed, Erevan, and every remaining defender.</w:t>
      </w:r>
    </w:p>
    <w:p>
      <w:pPr>
        <w:keepNext w:val="0"/>
        <w:spacing w:after="120" w:line="300" w:lineRule="auto"/>
      </w:pPr>
      <w:r>
        <w:rPr>
          <w:rFonts w:ascii="Calibri" w:hAnsi="Calibri"/>
          <w:b/>
          <w:color w:val="1E4539"/>
        </w:rPr>
        <w:t xml:space="preserve">Success: </w:t>
      </w:r>
      <w:r>
        <w:rPr>
          <w:rFonts w:ascii="Calibri" w:hAnsi="Calibri"/>
          <w:color w:val="272A28"/>
        </w:rPr>
        <w:t>No Mirewatch pieces remain.</w:t>
      </w:r>
    </w:p>
    <w:p>
      <w:pPr>
        <w:keepNext w:val="0"/>
        <w:spacing w:after="120" w:line="300" w:lineRule="auto"/>
      </w:pPr>
      <w:r>
        <w:rPr>
          <w:rFonts w:ascii="Calibri" w:hAnsi="Calibri"/>
          <w:b/>
          <w:color w:val="1E4539"/>
        </w:rPr>
        <w:t xml:space="preserve">Recovery: </w:t>
      </w:r>
      <w:r>
        <w:rPr>
          <w:rFonts w:ascii="Calibri" w:hAnsi="Calibri"/>
          <w:color w:val="272A28"/>
        </w:rPr>
        <w:t>Restart Mission resets the complete encounter. Completion returns the player to the main menu.</w:t>
      </w:r>
    </w:p>
    <w:p>
      <w:r>
        <w:br w:type="page"/>
      </w:r>
    </w:p>
    <w:p>
      <w:pPr>
        <w:pStyle w:val="Heading1"/>
      </w:pPr>
      <w:r>
        <w:t>Book One Expansion Roadmap</w:t>
      </w:r>
    </w:p>
    <w:p>
      <w:r>
        <w:t>The opening arc deliberately stops after Chapter 7, once the player can read and operate the board. Later missions should continue the novel while shifting from instruction to authored tactical challenges.</w:t>
      </w:r>
    </w:p>
    <w:tbl>
      <w:tblPr>
        <w:tblStyle w:val="TableGrid"/>
        <w:tblW w:type="dxa" w:w="9360"/>
        <w:tblLayout w:type="fixed"/>
        <w:tblLook w:firstColumn="1" w:firstRow="1" w:lastColumn="0" w:lastRow="0" w:noHBand="0" w:noVBand="1" w:val="04A0"/>
        <w:tblInd w:w="120" w:type="dxa"/>
      </w:tblPr>
      <w:tblGrid>
        <w:gridCol w:w="1800"/>
        <w:gridCol w:w="1320"/>
        <w:gridCol w:w="2880"/>
        <w:gridCol w:w="3360"/>
      </w:tblGrid>
      <w:tr>
        <w:tc>
          <w:tcPr>
            <w:tcW w:type="dxa" w:w="1800"/>
            <w:tcMar>
              <w:top w:w="80" w:type="dxa"/>
              <w:start w:w="120" w:type="dxa"/>
              <w:bottom w:w="80" w:type="dxa"/>
              <w:end w:w="120" w:type="dxa"/>
            </w:tcMar>
            <w:vAlign w:val="center"/>
            <w:shd w:fill="E7EEE9"/>
          </w:tcPr>
          <w:p>
            <w:r>
              <w:rPr>
                <w:rFonts w:ascii="Calibri" w:hAnsi="Calibri"/>
                <w:b/>
                <w:color w:val="1E4539"/>
                <w:sz w:val="20"/>
              </w:rPr>
              <w:t>Campaign act</w:t>
            </w:r>
          </w:p>
        </w:tc>
        <w:tc>
          <w:tcPr>
            <w:tcW w:type="dxa" w:w="1320"/>
            <w:tcMar>
              <w:top w:w="80" w:type="dxa"/>
              <w:start w:w="120" w:type="dxa"/>
              <w:bottom w:w="80" w:type="dxa"/>
              <w:end w:w="120" w:type="dxa"/>
            </w:tcMar>
            <w:vAlign w:val="center"/>
            <w:shd w:fill="E7EEE9"/>
          </w:tcPr>
          <w:p>
            <w:r>
              <w:rPr>
                <w:rFonts w:ascii="Calibri" w:hAnsi="Calibri"/>
                <w:b/>
                <w:color w:val="1E4539"/>
                <w:sz w:val="20"/>
              </w:rPr>
              <w:t>Novel span</w:t>
            </w:r>
          </w:p>
        </w:tc>
        <w:tc>
          <w:tcPr>
            <w:tcW w:type="dxa" w:w="2880"/>
            <w:tcMar>
              <w:top w:w="80" w:type="dxa"/>
              <w:start w:w="120" w:type="dxa"/>
              <w:bottom w:w="80" w:type="dxa"/>
              <w:end w:w="120" w:type="dxa"/>
            </w:tcMar>
            <w:vAlign w:val="center"/>
            <w:shd w:fill="E7EEE9"/>
          </w:tcPr>
          <w:p>
            <w:r>
              <w:rPr>
                <w:rFonts w:ascii="Calibri" w:hAnsi="Calibri"/>
                <w:b/>
                <w:color w:val="1E4539"/>
                <w:sz w:val="20"/>
              </w:rPr>
              <w:t>Rules introduced</w:t>
            </w:r>
          </w:p>
        </w:tc>
        <w:tc>
          <w:tcPr>
            <w:tcW w:type="dxa" w:w="3360"/>
            <w:tcMar>
              <w:top w:w="80" w:type="dxa"/>
              <w:start w:w="120" w:type="dxa"/>
              <w:bottom w:w="80" w:type="dxa"/>
              <w:end w:w="120" w:type="dxa"/>
            </w:tcMar>
            <w:vAlign w:val="center"/>
            <w:shd w:fill="E7EEE9"/>
          </w:tcPr>
          <w:p>
            <w:r>
              <w:rPr>
                <w:rFonts w:ascii="Calibri" w:hAnsi="Calibri"/>
                <w:b/>
                <w:color w:val="1E4539"/>
                <w:sz w:val="20"/>
              </w:rPr>
              <w:t>Scenario spine</w:t>
            </w:r>
          </w:p>
        </w:tc>
      </w:tr>
      <w:tr>
        <w:tc>
          <w:tcPr>
            <w:tcW w:type="dxa" w:w="1800"/>
            <w:tcMar>
              <w:top w:w="80" w:type="dxa"/>
              <w:start w:w="120" w:type="dxa"/>
              <w:bottom w:w="80" w:type="dxa"/>
              <w:end w:w="120" w:type="dxa"/>
            </w:tcMar>
            <w:vAlign w:val="center"/>
          </w:tcPr>
          <w:p>
            <w:r>
              <w:rPr>
                <w:rFonts w:ascii="Calibri" w:hAnsi="Calibri"/>
                <w:color w:val="272A28"/>
                <w:sz w:val="19"/>
              </w:rPr>
              <w:t>Act II: Consequences</w:t>
            </w:r>
          </w:p>
        </w:tc>
        <w:tc>
          <w:tcPr>
            <w:tcW w:type="dxa" w:w="1320"/>
            <w:tcMar>
              <w:top w:w="80" w:type="dxa"/>
              <w:start w:w="120" w:type="dxa"/>
              <w:bottom w:w="80" w:type="dxa"/>
              <w:end w:w="120" w:type="dxa"/>
            </w:tcMar>
            <w:vAlign w:val="center"/>
          </w:tcPr>
          <w:p>
            <w:r>
              <w:rPr>
                <w:rFonts w:ascii="Calibri" w:hAnsi="Calibri"/>
                <w:color w:val="272A28"/>
                <w:sz w:val="19"/>
              </w:rPr>
              <w:t>Chapters 8-11</w:t>
            </w:r>
          </w:p>
        </w:tc>
        <w:tc>
          <w:tcPr>
            <w:tcW w:type="dxa" w:w="2880"/>
            <w:tcMar>
              <w:top w:w="80" w:type="dxa"/>
              <w:start w:w="120" w:type="dxa"/>
              <w:bottom w:w="80" w:type="dxa"/>
              <w:end w:w="120" w:type="dxa"/>
            </w:tcMar>
            <w:vAlign w:val="center"/>
          </w:tcPr>
          <w:p>
            <w:r>
              <w:rPr>
                <w:rFonts w:ascii="Calibri" w:hAnsi="Calibri"/>
                <w:color w:val="272A28"/>
                <w:sz w:val="19"/>
              </w:rPr>
              <w:t>Status effects, recovery, activated abilities, turn timing</w:t>
            </w:r>
          </w:p>
        </w:tc>
        <w:tc>
          <w:tcPr>
            <w:tcW w:type="dxa" w:w="3360"/>
            <w:tcMar>
              <w:top w:w="80" w:type="dxa"/>
              <w:start w:w="120" w:type="dxa"/>
              <w:bottom w:w="80" w:type="dxa"/>
              <w:end w:w="120" w:type="dxa"/>
            </w:tcMar>
            <w:vAlign w:val="center"/>
          </w:tcPr>
          <w:p>
            <w:r>
              <w:rPr>
                <w:rFonts w:ascii="Calibri" w:hAnsi="Calibri"/>
                <w:color w:val="272A28"/>
                <w:sz w:val="19"/>
              </w:rPr>
              <w:t>The Cost of Being Seen; The Man Who Wants Out; Twenty Debtors; The Lesson at Night</w:t>
            </w:r>
          </w:p>
        </w:tc>
      </w:tr>
      <w:tr>
        <w:tc>
          <w:tcPr>
            <w:tcW w:type="dxa" w:w="1800"/>
            <w:tcMar>
              <w:top w:w="80" w:type="dxa"/>
              <w:start w:w="120" w:type="dxa"/>
              <w:bottom w:w="80" w:type="dxa"/>
              <w:end w:w="120" w:type="dxa"/>
            </w:tcMar>
            <w:vAlign w:val="center"/>
          </w:tcPr>
          <w:p>
            <w:r>
              <w:rPr>
                <w:rFonts w:ascii="Calibri" w:hAnsi="Calibri"/>
                <w:color w:val="272A28"/>
                <w:sz w:val="19"/>
              </w:rPr>
              <w:t>Act III: The Shrouded Vault</w:t>
            </w:r>
          </w:p>
        </w:tc>
        <w:tc>
          <w:tcPr>
            <w:tcW w:type="dxa" w:w="1320"/>
            <w:tcMar>
              <w:top w:w="80" w:type="dxa"/>
              <w:start w:w="120" w:type="dxa"/>
              <w:bottom w:w="80" w:type="dxa"/>
              <w:end w:w="120" w:type="dxa"/>
            </w:tcMar>
            <w:vAlign w:val="center"/>
          </w:tcPr>
          <w:p>
            <w:r>
              <w:rPr>
                <w:rFonts w:ascii="Calibri" w:hAnsi="Calibri"/>
                <w:color w:val="272A28"/>
                <w:sz w:val="19"/>
              </w:rPr>
              <w:t>Chapters 12-16</w:t>
            </w:r>
          </w:p>
        </w:tc>
        <w:tc>
          <w:tcPr>
            <w:tcW w:type="dxa" w:w="2880"/>
            <w:tcMar>
              <w:top w:w="80" w:type="dxa"/>
              <w:start w:w="120" w:type="dxa"/>
              <w:bottom w:w="80" w:type="dxa"/>
              <w:end w:w="120" w:type="dxa"/>
            </w:tcMar>
            <w:vAlign w:val="center"/>
          </w:tcPr>
          <w:p>
            <w:r>
              <w:rPr>
                <w:rFonts w:ascii="Calibri" w:hAnsi="Calibri"/>
                <w:color w:val="272A28"/>
                <w:sz w:val="19"/>
              </w:rPr>
              <w:t>Spells, hidden information, multi-stage objectives, acceptable losses</w:t>
            </w:r>
          </w:p>
        </w:tc>
        <w:tc>
          <w:tcPr>
            <w:tcW w:type="dxa" w:w="3360"/>
            <w:tcMar>
              <w:top w:w="80" w:type="dxa"/>
              <w:start w:w="120" w:type="dxa"/>
              <w:bottom w:w="80" w:type="dxa"/>
              <w:end w:w="120" w:type="dxa"/>
            </w:tcMar>
            <w:vAlign w:val="center"/>
          </w:tcPr>
          <w:p>
            <w:r>
              <w:rPr>
                <w:rFonts w:ascii="Calibri" w:hAnsi="Calibri"/>
                <w:color w:val="272A28"/>
                <w:sz w:val="19"/>
              </w:rPr>
              <w:t>Invitations; A Beautiful Plan; No Plan Saves Everyone; The Mystery Was Published; Wounds That Vote</w:t>
            </w:r>
          </w:p>
        </w:tc>
      </w:tr>
      <w:tr>
        <w:tc>
          <w:tcPr>
            <w:tcW w:type="dxa" w:w="1800"/>
            <w:tcMar>
              <w:top w:w="80" w:type="dxa"/>
              <w:start w:w="120" w:type="dxa"/>
              <w:bottom w:w="80" w:type="dxa"/>
              <w:end w:w="120" w:type="dxa"/>
            </w:tcMar>
            <w:vAlign w:val="center"/>
          </w:tcPr>
          <w:p>
            <w:r>
              <w:rPr>
                <w:rFonts w:ascii="Calibri" w:hAnsi="Calibri"/>
                <w:color w:val="272A28"/>
                <w:sz w:val="19"/>
              </w:rPr>
              <w:t>Act IV: Charter Day</w:t>
            </w:r>
          </w:p>
        </w:tc>
        <w:tc>
          <w:tcPr>
            <w:tcW w:type="dxa" w:w="1320"/>
            <w:tcMar>
              <w:top w:w="80" w:type="dxa"/>
              <w:start w:w="120" w:type="dxa"/>
              <w:bottom w:w="80" w:type="dxa"/>
              <w:end w:w="120" w:type="dxa"/>
            </w:tcMar>
            <w:vAlign w:val="center"/>
          </w:tcPr>
          <w:p>
            <w:r>
              <w:rPr>
                <w:rFonts w:ascii="Calibri" w:hAnsi="Calibri"/>
                <w:color w:val="272A28"/>
                <w:sz w:val="19"/>
              </w:rPr>
              <w:t>Chapters 17-19</w:t>
            </w:r>
          </w:p>
        </w:tc>
        <w:tc>
          <w:tcPr>
            <w:tcW w:type="dxa" w:w="2880"/>
            <w:tcMar>
              <w:top w:w="80" w:type="dxa"/>
              <w:start w:w="120" w:type="dxa"/>
              <w:bottom w:w="80" w:type="dxa"/>
              <w:end w:w="120" w:type="dxa"/>
            </w:tcMar>
            <w:vAlign w:val="center"/>
          </w:tcPr>
          <w:p>
            <w:r>
              <w:rPr>
                <w:rFonts w:ascii="Calibri" w:hAnsi="Calibri"/>
                <w:color w:val="272A28"/>
                <w:sz w:val="19"/>
              </w:rPr>
              <w:t>Resources, structures, taxes, public control thresholds</w:t>
            </w:r>
          </w:p>
        </w:tc>
        <w:tc>
          <w:tcPr>
            <w:tcW w:type="dxa" w:w="3360"/>
            <w:tcMar>
              <w:top w:w="80" w:type="dxa"/>
              <w:start w:w="120" w:type="dxa"/>
              <w:bottom w:w="80" w:type="dxa"/>
              <w:end w:w="120" w:type="dxa"/>
            </w:tcMar>
            <w:vAlign w:val="center"/>
          </w:tcPr>
          <w:p>
            <w:r>
              <w:rPr>
                <w:rFonts w:ascii="Calibri" w:hAnsi="Calibri"/>
                <w:color w:val="272A28"/>
                <w:sz w:val="19"/>
              </w:rPr>
              <w:t>Making Credit; The Public Lie; Title Follows Burden</w:t>
            </w:r>
          </w:p>
        </w:tc>
      </w:tr>
      <w:tr>
        <w:tc>
          <w:tcPr>
            <w:tcW w:type="dxa" w:w="1800"/>
            <w:tcMar>
              <w:top w:w="80" w:type="dxa"/>
              <w:start w:w="120" w:type="dxa"/>
              <w:bottom w:w="80" w:type="dxa"/>
              <w:end w:w="120" w:type="dxa"/>
            </w:tcMar>
            <w:vAlign w:val="center"/>
          </w:tcPr>
          <w:p>
            <w:r>
              <w:rPr>
                <w:rFonts w:ascii="Calibri" w:hAnsi="Calibri"/>
                <w:color w:val="272A28"/>
                <w:sz w:val="19"/>
              </w:rPr>
              <w:t>Act V: Beyond Mirewatch</w:t>
            </w:r>
          </w:p>
        </w:tc>
        <w:tc>
          <w:tcPr>
            <w:tcW w:type="dxa" w:w="1320"/>
            <w:tcMar>
              <w:top w:w="80" w:type="dxa"/>
              <w:start w:w="120" w:type="dxa"/>
              <w:bottom w:w="80" w:type="dxa"/>
              <w:end w:w="120" w:type="dxa"/>
            </w:tcMar>
            <w:vAlign w:val="center"/>
          </w:tcPr>
          <w:p>
            <w:r>
              <w:rPr>
                <w:rFonts w:ascii="Calibri" w:hAnsi="Calibri"/>
                <w:color w:val="272A28"/>
                <w:sz w:val="19"/>
              </w:rPr>
              <w:t>Chapters 20-24</w:t>
            </w:r>
          </w:p>
        </w:tc>
        <w:tc>
          <w:tcPr>
            <w:tcW w:type="dxa" w:w="2880"/>
            <w:tcMar>
              <w:top w:w="80" w:type="dxa"/>
              <w:start w:w="120" w:type="dxa"/>
              <w:bottom w:w="80" w:type="dxa"/>
              <w:end w:w="120" w:type="dxa"/>
            </w:tcMar>
            <w:vAlign w:val="center"/>
          </w:tcPr>
          <w:p>
            <w:r>
              <w:rPr>
                <w:rFonts w:ascii="Calibri" w:hAnsi="Calibri"/>
                <w:color w:val="272A28"/>
                <w:sz w:val="19"/>
              </w:rPr>
              <w:t>Faction switching, traits, unusual movement, escort maps</w:t>
            </w:r>
          </w:p>
        </w:tc>
        <w:tc>
          <w:tcPr>
            <w:tcW w:type="dxa" w:w="3360"/>
            <w:tcMar>
              <w:top w:w="80" w:type="dxa"/>
              <w:start w:w="120" w:type="dxa"/>
              <w:bottom w:w="80" w:type="dxa"/>
              <w:end w:w="120" w:type="dxa"/>
            </w:tcMar>
            <w:vAlign w:val="center"/>
          </w:tcPr>
          <w:p>
            <w:r>
              <w:rPr>
                <w:rFonts w:ascii="Calibri" w:hAnsi="Calibri"/>
                <w:color w:val="272A28"/>
                <w:sz w:val="19"/>
              </w:rPr>
              <w:t>The Stair Between Gossiping Trees; A Factory in Heaven; The Memory That Contradicts; Allies Acquired Dishonestly; The Road That Keeps One</w:t>
            </w:r>
          </w:p>
        </w:tc>
      </w:tr>
      <w:tr>
        <w:tc>
          <w:tcPr>
            <w:tcW w:type="dxa" w:w="1800"/>
            <w:tcMar>
              <w:top w:w="80" w:type="dxa"/>
              <w:start w:w="120" w:type="dxa"/>
              <w:bottom w:w="80" w:type="dxa"/>
              <w:end w:w="120" w:type="dxa"/>
            </w:tcMar>
            <w:vAlign w:val="center"/>
          </w:tcPr>
          <w:p>
            <w:r>
              <w:rPr>
                <w:rFonts w:ascii="Calibri" w:hAnsi="Calibri"/>
                <w:color w:val="272A28"/>
                <w:sz w:val="19"/>
              </w:rPr>
              <w:t>Act VI: The Choice</w:t>
            </w:r>
          </w:p>
        </w:tc>
        <w:tc>
          <w:tcPr>
            <w:tcW w:type="dxa" w:w="1320"/>
            <w:tcMar>
              <w:top w:w="80" w:type="dxa"/>
              <w:start w:w="120" w:type="dxa"/>
              <w:bottom w:w="80" w:type="dxa"/>
              <w:end w:w="120" w:type="dxa"/>
            </w:tcMar>
            <w:vAlign w:val="center"/>
          </w:tcPr>
          <w:p>
            <w:r>
              <w:rPr>
                <w:rFonts w:ascii="Calibri" w:hAnsi="Calibri"/>
                <w:color w:val="272A28"/>
                <w:sz w:val="19"/>
              </w:rPr>
              <w:t>Chapters 25-30</w:t>
            </w:r>
          </w:p>
        </w:tc>
        <w:tc>
          <w:tcPr>
            <w:tcW w:type="dxa" w:w="2880"/>
            <w:tcMar>
              <w:top w:w="80" w:type="dxa"/>
              <w:start w:w="120" w:type="dxa"/>
              <w:bottom w:w="80" w:type="dxa"/>
              <w:end w:w="120" w:type="dxa"/>
            </w:tcMar>
            <w:vAlign w:val="center"/>
          </w:tcPr>
          <w:p>
            <w:r>
              <w:rPr>
                <w:rFonts w:ascii="Calibri" w:hAnsi="Calibri"/>
                <w:color w:val="272A28"/>
                <w:sz w:val="19"/>
              </w:rPr>
              <w:t>Full decks, asymmetric victory conditions, boss logic, final matches</w:t>
            </w:r>
          </w:p>
        </w:tc>
        <w:tc>
          <w:tcPr>
            <w:tcW w:type="dxa" w:w="3360"/>
            <w:tcMar>
              <w:top w:w="80" w:type="dxa"/>
              <w:start w:w="120" w:type="dxa"/>
              <w:bottom w:w="80" w:type="dxa"/>
              <w:end w:w="120" w:type="dxa"/>
            </w:tcMar>
            <w:vAlign w:val="center"/>
          </w:tcPr>
          <w:p>
            <w:r>
              <w:rPr>
                <w:rFonts w:ascii="Calibri" w:hAnsi="Calibri"/>
                <w:color w:val="272A28"/>
                <w:sz w:val="19"/>
              </w:rPr>
              <w:t>The Monster Has Rules through A Town That Owns Itself</w:t>
            </w:r>
          </w:p>
        </w:tc>
      </w:tr>
    </w:tbl>
    <w:p>
      <w:pPr>
        <w:pStyle w:val="Heading2"/>
      </w:pPr>
      <w:r>
        <w:t>Recommended Scenario Types</w:t>
      </w:r>
    </w:p>
    <w:p>
      <w:pPr>
        <w:pStyle w:val="ListBullet"/>
        <w:spacing w:after="80" w:line="300" w:lineRule="auto"/>
        <w:ind w:left="540" w:hanging="271"/>
      </w:pPr>
      <w:r>
        <w:rPr>
          <w:rFonts w:ascii="Calibri" w:hAnsi="Calibri"/>
          <w:color w:val="272A28"/>
        </w:rPr>
        <w:t>Escape: reach a board edge with at least one named unit.</w:t>
      </w:r>
    </w:p>
    <w:p>
      <w:pPr>
        <w:pStyle w:val="ListBullet"/>
        <w:spacing w:after="80" w:line="300" w:lineRule="auto"/>
        <w:ind w:left="540" w:hanging="271"/>
      </w:pPr>
      <w:r>
        <w:rPr>
          <w:rFonts w:ascii="Calibri" w:hAnsi="Calibri"/>
          <w:color w:val="272A28"/>
        </w:rPr>
        <w:t>Escort: move a vulnerable objective piece while maintaining adjacent protection.</w:t>
      </w:r>
    </w:p>
    <w:p>
      <w:pPr>
        <w:pStyle w:val="ListBullet"/>
        <w:spacing w:after="80" w:line="300" w:lineRule="auto"/>
        <w:ind w:left="540" w:hanging="271"/>
      </w:pPr>
      <w:r>
        <w:rPr>
          <w:rFonts w:ascii="Calibri" w:hAnsi="Calibri"/>
          <w:color w:val="272A28"/>
        </w:rPr>
        <w:t>Holdout: control specified squares for a fixed number of turns.</w:t>
      </w:r>
    </w:p>
    <w:p>
      <w:pPr>
        <w:pStyle w:val="ListBullet"/>
        <w:spacing w:after="80" w:line="300" w:lineRule="auto"/>
        <w:ind w:left="540" w:hanging="271"/>
      </w:pPr>
      <w:r>
        <w:rPr>
          <w:rFonts w:ascii="Calibri" w:hAnsi="Calibri"/>
          <w:color w:val="272A28"/>
        </w:rPr>
        <w:t>Heist: interact with structures in sequence while avoiding or delaying defenders.</w:t>
      </w:r>
    </w:p>
    <w:p>
      <w:pPr>
        <w:pStyle w:val="ListBullet"/>
        <w:spacing w:after="80" w:line="300" w:lineRule="auto"/>
        <w:ind w:left="540" w:hanging="271"/>
      </w:pPr>
      <w:r>
        <w:rPr>
          <w:rFonts w:ascii="Calibri" w:hAnsi="Calibri"/>
          <w:color w:val="272A28"/>
        </w:rPr>
        <w:t>Public choice: choose between mutually exclusive objectives that alter later dialogue or loadouts.</w:t>
      </w:r>
    </w:p>
    <w:p>
      <w:pPr>
        <w:pStyle w:val="ListBullet"/>
        <w:spacing w:after="80" w:line="300" w:lineRule="auto"/>
        <w:ind w:left="540" w:hanging="271"/>
      </w:pPr>
      <w:r>
        <w:rPr>
          <w:rFonts w:ascii="Calibri" w:hAnsi="Calibri"/>
          <w:color w:val="272A28"/>
        </w:rPr>
        <w:t>Boss encounter: defeat a named hero whose action state changes as health thresholds are crossed.</w:t>
      </w:r>
    </w:p>
    <w:p>
      <w:pPr>
        <w:pStyle w:val="ListBullet"/>
        <w:spacing w:after="80" w:line="300" w:lineRule="auto"/>
        <w:ind w:left="540" w:hanging="271"/>
      </w:pPr>
      <w:r>
        <w:rPr>
          <w:rFonts w:ascii="Calibri" w:hAnsi="Calibri"/>
          <w:color w:val="272A28"/>
        </w:rPr>
        <w:t>Full match: use a legal deck and standard victory rules with only narrative presentation layered on top.</w:t>
      </w:r>
    </w:p>
    <w:p>
      <w:r>
        <w:br w:type="page"/>
      </w:r>
    </w:p>
    <w:p>
      <w:pPr>
        <w:pStyle w:val="Heading1"/>
      </w:pPr>
      <w:r>
        <w:t>Dialogue and Interface Rules</w:t>
      </w:r>
    </w:p>
    <w:p>
      <w:pPr>
        <w:pStyle w:val="Heading2"/>
      </w:pPr>
      <w:r>
        <w:t>Briefings</w:t>
      </w:r>
    </w:p>
    <w:p>
      <w:pPr>
        <w:pStyle w:val="ListBullet"/>
        <w:spacing w:after="80" w:line="300" w:lineRule="auto"/>
        <w:ind w:left="540" w:hanging="271"/>
      </w:pPr>
      <w:r>
        <w:rPr>
          <w:rFonts w:ascii="Calibri" w:hAnsi="Calibri"/>
          <w:color w:val="272A28"/>
        </w:rPr>
        <w:t>Three beats maximum before early tutorial missions; later story missions may use a fourth only for a player choice.</w:t>
      </w:r>
    </w:p>
    <w:p>
      <w:pPr>
        <w:pStyle w:val="ListBullet"/>
        <w:spacing w:after="80" w:line="300" w:lineRule="auto"/>
        <w:ind w:left="540" w:hanging="271"/>
      </w:pPr>
      <w:r>
        <w:rPr>
          <w:rFonts w:ascii="Calibri" w:hAnsi="Calibri"/>
          <w:color w:val="272A28"/>
        </w:rPr>
        <w:t>One speaker per beat, one portrait, and no more than roughly forty words in the speech bubble.</w:t>
      </w:r>
    </w:p>
    <w:p>
      <w:pPr>
        <w:pStyle w:val="ListBullet"/>
        <w:spacing w:after="80" w:line="300" w:lineRule="auto"/>
        <w:ind w:left="540" w:hanging="271"/>
      </w:pPr>
      <w:r>
        <w:rPr>
          <w:rFonts w:ascii="Calibri" w:hAnsi="Calibri"/>
          <w:color w:val="272A28"/>
        </w:rPr>
        <w:t>Dialogue carries character and stakes. Mechanical instructions stay in the lesson plate and coach panel.</w:t>
      </w:r>
    </w:p>
    <w:p>
      <w:pPr>
        <w:pStyle w:val="ListBullet"/>
        <w:spacing w:after="80" w:line="300" w:lineRule="auto"/>
        <w:ind w:left="540" w:hanging="271"/>
      </w:pPr>
      <w:r>
        <w:rPr>
          <w:rFonts w:ascii="Calibri" w:hAnsi="Calibri"/>
          <w:color w:val="272A28"/>
        </w:rPr>
        <w:t>Use adapted original tutorial dialogue unless a line is intentionally quoted and reviewed against the novel.</w:t>
      </w:r>
    </w:p>
    <w:p>
      <w:pPr>
        <w:pStyle w:val="Heading2"/>
      </w:pPr>
      <w:r>
        <w:t>In-match coaching</w:t>
      </w:r>
    </w:p>
    <w:p>
      <w:pPr>
        <w:pStyle w:val="ListBullet"/>
        <w:spacing w:after="80" w:line="300" w:lineRule="auto"/>
        <w:ind w:left="540" w:hanging="271"/>
      </w:pPr>
      <w:r>
        <w:rPr>
          <w:rFonts w:ascii="Calibri" w:hAnsi="Calibri"/>
          <w:color w:val="272A28"/>
        </w:rPr>
        <w:t>Keep the objective visible until completion.</w:t>
      </w:r>
    </w:p>
    <w:p>
      <w:pPr>
        <w:pStyle w:val="ListBullet"/>
        <w:spacing w:after="80" w:line="300" w:lineRule="auto"/>
        <w:ind w:left="540" w:hanging="271"/>
      </w:pPr>
      <w:r>
        <w:rPr>
          <w:rFonts w:ascii="Calibri" w:hAnsi="Calibri"/>
          <w:color w:val="272A28"/>
        </w:rPr>
        <w:t>Highlight only the current target; do not pre-solve a route.</w:t>
      </w:r>
    </w:p>
    <w:p>
      <w:pPr>
        <w:pStyle w:val="ListBullet"/>
        <w:spacing w:after="80" w:line="300" w:lineRule="auto"/>
        <w:ind w:left="540" w:hanging="271"/>
      </w:pPr>
      <w:r>
        <w:rPr>
          <w:rFonts w:ascii="Calibri" w:hAnsi="Calibri"/>
          <w:color w:val="272A28"/>
        </w:rPr>
        <w:t>Use the existing legal-move colors so Story Mode and multiplayer remain visually consistent.</w:t>
      </w:r>
    </w:p>
    <w:p>
      <w:pPr>
        <w:pStyle w:val="ListBullet"/>
        <w:spacing w:after="80" w:line="300" w:lineRule="auto"/>
        <w:ind w:left="540" w:hanging="271"/>
      </w:pPr>
      <w:r>
        <w:rPr>
          <w:rFonts w:ascii="Calibri" w:hAnsi="Calibri"/>
          <w:color w:val="272A28"/>
        </w:rPr>
        <w:t>When cards are in hand, reserve clear bottom-bar space so cards never cover the coaching text.</w:t>
      </w:r>
    </w:p>
    <w:p>
      <w:pPr>
        <w:pStyle w:val="ListBullet"/>
        <w:spacing w:after="80" w:line="300" w:lineRule="auto"/>
        <w:ind w:left="540" w:hanging="271"/>
      </w:pPr>
      <w:r>
        <w:rPr>
          <w:rFonts w:ascii="Calibri" w:hAnsi="Calibri"/>
          <w:color w:val="272A28"/>
        </w:rPr>
        <w:t>End Turn functions as the normal multiplayer Pass action. Restart Mission stays separate, while Back is isolated in the left gutter.</w:t>
      </w:r>
    </w:p>
    <w:p>
      <w:pPr>
        <w:pStyle w:val="ListBullet"/>
        <w:spacing w:after="80" w:line="300" w:lineRule="auto"/>
        <w:ind w:left="540" w:hanging="271"/>
      </w:pPr>
      <w:r>
        <w:rPr>
          <w:rFonts w:ascii="Calibri" w:hAnsi="Calibri"/>
          <w:color w:val="272A28"/>
        </w:rPr>
        <w:t>Completion changes End Turn to Continue Story; the last mission changes it to Finish Story.</w:t>
      </w:r>
    </w:p>
    <w:p>
      <w:pPr>
        <w:pStyle w:val="Heading2"/>
      </w:pPr>
      <w:r>
        <w:t>Progression and persistence</w:t>
      </w:r>
    </w:p>
    <w:p>
      <w:r>
        <w:t>Completion count is stored locally in the SteamTactics application-data directory. Opening Story Mode resumes at the newest unlocked mission. Restarting a mission does not reduce progress. The persistence format is intentionally small so it can later be migrated to account-backed campaign state without changing scenario data.</w:t>
      </w:r>
    </w:p>
    <w:p>
      <w:r>
        <w:br w:type="page"/>
      </w:r>
    </w:p>
    <w:p>
      <w:pPr>
        <w:pStyle w:val="Heading1"/>
      </w:pPr>
      <w:r>
        <w:t>Acceptance Checklist</w:t>
      </w:r>
    </w:p>
    <w:tbl>
      <w:tblPr>
        <w:tblStyle w:val="TableGrid"/>
        <w:tblW w:type="dxa" w:w="9360"/>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E7EEE9"/>
          </w:tcPr>
          <w:p>
            <w:r>
              <w:rPr>
                <w:rFonts w:ascii="Calibri" w:hAnsi="Calibri"/>
                <w:b/>
                <w:color w:val="1E4539"/>
                <w:sz w:val="20"/>
              </w:rPr>
              <w:t>Check</w:t>
            </w:r>
          </w:p>
        </w:tc>
        <w:tc>
          <w:tcPr>
            <w:tcW w:type="dxa" w:w="7560"/>
            <w:tcMar>
              <w:top w:w="80" w:type="dxa"/>
              <w:start w:w="120" w:type="dxa"/>
              <w:bottom w:w="80" w:type="dxa"/>
              <w:end w:w="120" w:type="dxa"/>
            </w:tcMar>
            <w:vAlign w:val="center"/>
            <w:shd w:fill="E7EEE9"/>
          </w:tcPr>
          <w:p>
            <w:r>
              <w:rPr>
                <w:rFonts w:ascii="Calibri" w:hAnsi="Calibri"/>
                <w:b/>
                <w:color w:val="1E4539"/>
                <w:sz w:val="20"/>
              </w:rPr>
              <w:t>Pass condition</w:t>
            </w:r>
          </w:p>
        </w:tc>
      </w:tr>
      <w:tr>
        <w:tc>
          <w:tcPr>
            <w:tcW w:type="dxa" w:w="1800"/>
            <w:tcMar>
              <w:top w:w="80" w:type="dxa"/>
              <w:start w:w="120" w:type="dxa"/>
              <w:bottom w:w="80" w:type="dxa"/>
              <w:end w:w="120" w:type="dxa"/>
            </w:tcMar>
            <w:vAlign w:val="center"/>
          </w:tcPr>
          <w:p>
            <w:r>
              <w:rPr>
                <w:rFonts w:ascii="Calibri" w:hAnsi="Calibri"/>
                <w:b/>
                <w:color w:val="1E4539"/>
                <w:sz w:val="20"/>
              </w:rPr>
              <w:t>Build</w:t>
            </w:r>
          </w:p>
        </w:tc>
        <w:tc>
          <w:tcPr>
            <w:tcW w:type="dxa" w:w="7560"/>
            <w:tcMar>
              <w:top w:w="80" w:type="dxa"/>
              <w:start w:w="120" w:type="dxa"/>
              <w:bottom w:w="80" w:type="dxa"/>
              <w:end w:w="120" w:type="dxa"/>
            </w:tcMar>
            <w:vAlign w:val="center"/>
          </w:tcPr>
          <w:p>
            <w:r>
              <w:rPr>
                <w:rFonts w:ascii="Calibri" w:hAnsi="Calibri"/>
                <w:color w:val="272A28"/>
                <w:sz w:val="20"/>
              </w:rPr>
              <w:t>Debug client compiles from build_debug_client.bat.</w:t>
            </w:r>
          </w:p>
        </w:tc>
      </w:tr>
      <w:tr>
        <w:tc>
          <w:tcPr>
            <w:tcW w:type="dxa" w:w="1800"/>
            <w:tcMar>
              <w:top w:w="80" w:type="dxa"/>
              <w:start w:w="120" w:type="dxa"/>
              <w:bottom w:w="80" w:type="dxa"/>
              <w:end w:w="120" w:type="dxa"/>
            </w:tcMar>
            <w:vAlign w:val="center"/>
          </w:tcPr>
          <w:p>
            <w:r>
              <w:rPr>
                <w:rFonts w:ascii="Calibri" w:hAnsi="Calibri"/>
                <w:b/>
                <w:color w:val="1E4539"/>
                <w:sz w:val="20"/>
              </w:rPr>
              <w:t>Offline entry</w:t>
            </w:r>
          </w:p>
        </w:tc>
        <w:tc>
          <w:tcPr>
            <w:tcW w:type="dxa" w:w="7560"/>
            <w:tcMar>
              <w:top w:w="80" w:type="dxa"/>
              <w:start w:w="120" w:type="dxa"/>
              <w:bottom w:w="80" w:type="dxa"/>
              <w:end w:w="120" w:type="dxa"/>
            </w:tcMar>
            <w:vAlign w:val="center"/>
          </w:tcPr>
          <w:p>
            <w:r>
              <w:rPr>
                <w:rFonts w:ascii="Calibri" w:hAnsi="Calibri"/>
                <w:color w:val="272A28"/>
                <w:sz w:val="20"/>
              </w:rPr>
              <w:t>Story Mode opens without matchmaking or game services.</w:t>
            </w:r>
          </w:p>
        </w:tc>
      </w:tr>
      <w:tr>
        <w:tc>
          <w:tcPr>
            <w:tcW w:type="dxa" w:w="1800"/>
            <w:tcMar>
              <w:top w:w="80" w:type="dxa"/>
              <w:start w:w="120" w:type="dxa"/>
              <w:bottom w:w="80" w:type="dxa"/>
              <w:end w:w="120" w:type="dxa"/>
            </w:tcMar>
            <w:vAlign w:val="center"/>
          </w:tcPr>
          <w:p>
            <w:r>
              <w:rPr>
                <w:rFonts w:ascii="Calibri" w:hAnsi="Calibri"/>
                <w:b/>
                <w:color w:val="1E4539"/>
                <w:sz w:val="20"/>
              </w:rPr>
              <w:t>Rules fidelity</w:t>
            </w:r>
          </w:p>
        </w:tc>
        <w:tc>
          <w:tcPr>
            <w:tcW w:type="dxa" w:w="7560"/>
            <w:tcMar>
              <w:top w:w="80" w:type="dxa"/>
              <w:start w:w="120" w:type="dxa"/>
              <w:bottom w:w="80" w:type="dxa"/>
              <w:end w:w="120" w:type="dxa"/>
            </w:tcMar>
            <w:vAlign w:val="center"/>
          </w:tcPr>
          <w:p>
            <w:r>
              <w:rPr>
                <w:rFonts w:ascii="Calibri" w:hAnsi="Calibri"/>
                <w:color w:val="272A28"/>
                <w:sz w:val="20"/>
              </w:rPr>
              <w:t>Movement, attack, deployment, damage, and control use shared game rules.</w:t>
            </w:r>
          </w:p>
        </w:tc>
      </w:tr>
      <w:tr>
        <w:tc>
          <w:tcPr>
            <w:tcW w:type="dxa" w:w="1800"/>
            <w:tcMar>
              <w:top w:w="80" w:type="dxa"/>
              <w:start w:w="120" w:type="dxa"/>
              <w:bottom w:w="80" w:type="dxa"/>
              <w:end w:w="120" w:type="dxa"/>
            </w:tcMar>
            <w:vAlign w:val="center"/>
          </w:tcPr>
          <w:p>
            <w:r>
              <w:rPr>
                <w:rFonts w:ascii="Calibri" w:hAnsi="Calibri"/>
                <w:b/>
                <w:color w:val="1E4539"/>
                <w:sz w:val="20"/>
              </w:rPr>
              <w:t>Unit fidelity</w:t>
            </w:r>
          </w:p>
        </w:tc>
        <w:tc>
          <w:tcPr>
            <w:tcW w:type="dxa" w:w="7560"/>
            <w:tcMar>
              <w:top w:w="80" w:type="dxa"/>
              <w:start w:w="120" w:type="dxa"/>
              <w:bottom w:w="80" w:type="dxa"/>
              <w:end w:w="120" w:type="dxa"/>
            </w:tcMar>
            <w:vAlign w:val="center"/>
          </w:tcPr>
          <w:p>
            <w:r>
              <w:rPr>
                <w:rFonts w:ascii="Calibri" w:hAnsi="Calibri"/>
                <w:color w:val="272A28"/>
                <w:sz w:val="20"/>
              </w:rPr>
              <w:t>Story units retain their normal health, action profiles, keywords, and activated powers.</w:t>
            </w:r>
          </w:p>
        </w:tc>
      </w:tr>
      <w:tr>
        <w:tc>
          <w:tcPr>
            <w:tcW w:type="dxa" w:w="1800"/>
            <w:tcMar>
              <w:top w:w="80" w:type="dxa"/>
              <w:start w:w="120" w:type="dxa"/>
              <w:bottom w:w="80" w:type="dxa"/>
              <w:end w:w="120" w:type="dxa"/>
            </w:tcMar>
            <w:vAlign w:val="center"/>
          </w:tcPr>
          <w:p>
            <w:r>
              <w:rPr>
                <w:rFonts w:ascii="Calibri" w:hAnsi="Calibri"/>
                <w:b/>
                <w:color w:val="1E4539"/>
                <w:sz w:val="20"/>
              </w:rPr>
              <w:t>Action cadence</w:t>
            </w:r>
          </w:p>
        </w:tc>
        <w:tc>
          <w:tcPr>
            <w:tcW w:type="dxa" w:w="7560"/>
            <w:tcMar>
              <w:top w:w="80" w:type="dxa"/>
              <w:start w:w="120" w:type="dxa"/>
              <w:bottom w:w="80" w:type="dxa"/>
              <w:end w:w="120" w:type="dxa"/>
            </w:tcMar>
            <w:vAlign w:val="center"/>
          </w:tcPr>
          <w:p>
            <w:r>
              <w:rPr>
                <w:rFonts w:ascii="Calibri" w:hAnsi="Calibri"/>
                <w:color w:val="272A28"/>
                <w:sz w:val="20"/>
              </w:rPr>
              <w:t>Every normal player action yields exactly one computer action before control returns, subject only to normal Command, Relentless, and discard exceptions.</w:t>
            </w:r>
          </w:p>
        </w:tc>
      </w:tr>
      <w:tr>
        <w:tc>
          <w:tcPr>
            <w:tcW w:type="dxa" w:w="1800"/>
            <w:tcMar>
              <w:top w:w="80" w:type="dxa"/>
              <w:start w:w="120" w:type="dxa"/>
              <w:bottom w:w="80" w:type="dxa"/>
              <w:end w:w="120" w:type="dxa"/>
            </w:tcMar>
            <w:vAlign w:val="center"/>
          </w:tcPr>
          <w:p>
            <w:r>
              <w:rPr>
                <w:rFonts w:ascii="Calibri" w:hAnsi="Calibri"/>
                <w:b/>
                <w:color w:val="1E4539"/>
                <w:sz w:val="20"/>
              </w:rPr>
              <w:t>Specialists</w:t>
            </w:r>
          </w:p>
        </w:tc>
        <w:tc>
          <w:tcPr>
            <w:tcW w:type="dxa" w:w="7560"/>
            <w:tcMar>
              <w:top w:w="80" w:type="dxa"/>
              <w:start w:w="120" w:type="dxa"/>
              <w:bottom w:w="80" w:type="dxa"/>
              <w:end w:w="120" w:type="dxa"/>
            </w:tcMar>
            <w:vAlign w:val="center"/>
          </w:tcPr>
          <w:p>
            <w:r>
              <w:rPr>
                <w:rFonts w:ascii="Calibri" w:hAnsi="Calibri"/>
                <w:color w:val="272A28"/>
                <w:sz w:val="20"/>
              </w:rPr>
              <w:t>Ambusher can Hide and Reveal; Foreman can create Lumberjacks; Sharpshooter can Aim, Fire, and Lower Weapon.</w:t>
            </w:r>
          </w:p>
        </w:tc>
      </w:tr>
      <w:tr>
        <w:tc>
          <w:tcPr>
            <w:tcW w:type="dxa" w:w="1800"/>
            <w:tcMar>
              <w:top w:w="80" w:type="dxa"/>
              <w:start w:w="120" w:type="dxa"/>
              <w:bottom w:w="80" w:type="dxa"/>
              <w:end w:w="120" w:type="dxa"/>
            </w:tcMar>
            <w:vAlign w:val="center"/>
          </w:tcPr>
          <w:p>
            <w:r>
              <w:rPr>
                <w:rFonts w:ascii="Calibri" w:hAnsi="Calibri"/>
                <w:b/>
                <w:color w:val="1E4539"/>
                <w:sz w:val="20"/>
              </w:rPr>
              <w:t>Opponent turns</w:t>
            </w:r>
          </w:p>
        </w:tc>
        <w:tc>
          <w:tcPr>
            <w:tcW w:type="dxa" w:w="7560"/>
            <w:tcMar>
              <w:top w:w="80" w:type="dxa"/>
              <w:start w:w="120" w:type="dxa"/>
              <w:bottom w:w="80" w:type="dxa"/>
              <w:end w:w="120" w:type="dxa"/>
            </w:tcMar>
            <w:vAlign w:val="center"/>
          </w:tcPr>
          <w:p>
            <w:r>
              <w:rPr>
                <w:rFonts w:ascii="Calibri" w:hAnsi="Calibri"/>
                <w:color w:val="272A28"/>
                <w:sz w:val="20"/>
              </w:rPr>
              <w:t>Mirewatch units pursue legal attacks, useful powers, healing, and positional advances.</w:t>
            </w:r>
          </w:p>
        </w:tc>
      </w:tr>
      <w:tr>
        <w:tc>
          <w:tcPr>
            <w:tcW w:type="dxa" w:w="1800"/>
            <w:tcMar>
              <w:top w:w="80" w:type="dxa"/>
              <w:start w:w="120" w:type="dxa"/>
              <w:bottom w:w="80" w:type="dxa"/>
              <w:end w:w="120" w:type="dxa"/>
            </w:tcMar>
            <w:vAlign w:val="center"/>
          </w:tcPr>
          <w:p>
            <w:r>
              <w:rPr>
                <w:rFonts w:ascii="Calibri" w:hAnsi="Calibri"/>
                <w:b/>
                <w:color w:val="1E4539"/>
                <w:sz w:val="20"/>
              </w:rPr>
              <w:t>Failure</w:t>
            </w:r>
          </w:p>
        </w:tc>
        <w:tc>
          <w:tcPr>
            <w:tcW w:type="dxa" w:w="7560"/>
            <w:tcMar>
              <w:top w:w="80" w:type="dxa"/>
              <w:start w:w="120" w:type="dxa"/>
              <w:bottom w:w="80" w:type="dxa"/>
              <w:end w:w="120" w:type="dxa"/>
            </w:tcMar>
            <w:vAlign w:val="center"/>
          </w:tcPr>
          <w:p>
            <w:r>
              <w:rPr>
                <w:rFonts w:ascii="Calibri" w:hAnsi="Calibri"/>
                <w:color w:val="272A28"/>
                <w:sz w:val="20"/>
              </w:rPr>
              <w:t>Losing the Blackthorn force or Braun in later missions produces a clear retry state.</w:t>
            </w:r>
          </w:p>
        </w:tc>
      </w:tr>
      <w:tr>
        <w:tc>
          <w:tcPr>
            <w:tcW w:type="dxa" w:w="1800"/>
            <w:tcMar>
              <w:top w:w="80" w:type="dxa"/>
              <w:start w:w="120" w:type="dxa"/>
              <w:bottom w:w="80" w:type="dxa"/>
              <w:end w:w="120" w:type="dxa"/>
            </w:tcMar>
            <w:vAlign w:val="center"/>
          </w:tcPr>
          <w:p>
            <w:r>
              <w:rPr>
                <w:rFonts w:ascii="Calibri" w:hAnsi="Calibri"/>
                <w:b/>
                <w:color w:val="1E4539"/>
                <w:sz w:val="20"/>
              </w:rPr>
              <w:t>Visual hierarchy</w:t>
            </w:r>
          </w:p>
        </w:tc>
        <w:tc>
          <w:tcPr>
            <w:tcW w:type="dxa" w:w="7560"/>
            <w:tcMar>
              <w:top w:w="80" w:type="dxa"/>
              <w:start w:w="120" w:type="dxa"/>
              <w:bottom w:w="80" w:type="dxa"/>
              <w:end w:w="120" w:type="dxa"/>
            </w:tcMar>
            <w:vAlign w:val="center"/>
          </w:tcPr>
          <w:p>
            <w:r>
              <w:rPr>
                <w:rFonts w:ascii="Calibri" w:hAnsi="Calibri"/>
                <w:color w:val="272A28"/>
                <w:sz w:val="20"/>
              </w:rPr>
              <w:t>Briefing title, speaker, dialogue, lesson, and action prompt do not overlap.</w:t>
            </w:r>
          </w:p>
        </w:tc>
      </w:tr>
      <w:tr>
        <w:tc>
          <w:tcPr>
            <w:tcW w:type="dxa" w:w="1800"/>
            <w:tcMar>
              <w:top w:w="80" w:type="dxa"/>
              <w:start w:w="120" w:type="dxa"/>
              <w:bottom w:w="80" w:type="dxa"/>
              <w:end w:w="120" w:type="dxa"/>
            </w:tcMar>
            <w:vAlign w:val="center"/>
          </w:tcPr>
          <w:p>
            <w:r>
              <w:rPr>
                <w:rFonts w:ascii="Calibri" w:hAnsi="Calibri"/>
                <w:b/>
                <w:color w:val="1E4539"/>
                <w:sz w:val="20"/>
              </w:rPr>
              <w:t>Board readability</w:t>
            </w:r>
          </w:p>
        </w:tc>
        <w:tc>
          <w:tcPr>
            <w:tcW w:type="dxa" w:w="7560"/>
            <w:tcMar>
              <w:top w:w="80" w:type="dxa"/>
              <w:start w:w="120" w:type="dxa"/>
              <w:bottom w:w="80" w:type="dxa"/>
              <w:end w:w="120" w:type="dxa"/>
            </w:tcMar>
            <w:vAlign w:val="center"/>
          </w:tcPr>
          <w:p>
            <w:r>
              <w:rPr>
                <w:rFonts w:ascii="Calibri" w:hAnsi="Calibri"/>
                <w:color w:val="272A28"/>
                <w:sz w:val="20"/>
              </w:rPr>
              <w:t>Objective marker does not obscure pieces or legal-action highlights.</w:t>
            </w:r>
          </w:p>
        </w:tc>
      </w:tr>
      <w:tr>
        <w:tc>
          <w:tcPr>
            <w:tcW w:type="dxa" w:w="1800"/>
            <w:tcMar>
              <w:top w:w="80" w:type="dxa"/>
              <w:start w:w="120" w:type="dxa"/>
              <w:bottom w:w="80" w:type="dxa"/>
              <w:end w:w="120" w:type="dxa"/>
            </w:tcMar>
            <w:vAlign w:val="center"/>
          </w:tcPr>
          <w:p>
            <w:r>
              <w:rPr>
                <w:rFonts w:ascii="Calibri" w:hAnsi="Calibri"/>
                <w:b/>
                <w:color w:val="1E4539"/>
                <w:sz w:val="20"/>
              </w:rPr>
              <w:t>Deployment</w:t>
            </w:r>
          </w:p>
        </w:tc>
        <w:tc>
          <w:tcPr>
            <w:tcW w:type="dxa" w:w="7560"/>
            <w:tcMar>
              <w:top w:w="80" w:type="dxa"/>
              <w:start w:w="120" w:type="dxa"/>
              <w:bottom w:w="80" w:type="dxa"/>
              <w:end w:w="120" w:type="dxa"/>
            </w:tcMar>
            <w:vAlign w:val="center"/>
          </w:tcPr>
          <w:p>
            <w:r>
              <w:rPr>
                <w:rFonts w:ascii="Calibri" w:hAnsi="Calibri"/>
                <w:color w:val="272A28"/>
                <w:sz w:val="20"/>
              </w:rPr>
              <w:t>Hand cards remain selectable and never cover coaching copy.</w:t>
            </w:r>
          </w:p>
        </w:tc>
      </w:tr>
      <w:tr>
        <w:tc>
          <w:tcPr>
            <w:tcW w:type="dxa" w:w="1800"/>
            <w:tcMar>
              <w:top w:w="80" w:type="dxa"/>
              <w:start w:w="120" w:type="dxa"/>
              <w:bottom w:w="80" w:type="dxa"/>
              <w:end w:w="120" w:type="dxa"/>
            </w:tcMar>
            <w:vAlign w:val="center"/>
          </w:tcPr>
          <w:p>
            <w:r>
              <w:rPr>
                <w:rFonts w:ascii="Calibri" w:hAnsi="Calibri"/>
                <w:b/>
                <w:color w:val="1E4539"/>
                <w:sz w:val="20"/>
              </w:rPr>
              <w:t>Recovery</w:t>
            </w:r>
          </w:p>
        </w:tc>
        <w:tc>
          <w:tcPr>
            <w:tcW w:type="dxa" w:w="7560"/>
            <w:tcMar>
              <w:top w:w="80" w:type="dxa"/>
              <w:start w:w="120" w:type="dxa"/>
              <w:bottom w:w="80" w:type="dxa"/>
              <w:end w:w="120" w:type="dxa"/>
            </w:tcMar>
            <w:vAlign w:val="center"/>
          </w:tcPr>
          <w:p>
            <w:r>
              <w:rPr>
                <w:rFonts w:ascii="Calibri" w:hAnsi="Calibri"/>
                <w:color w:val="272A28"/>
                <w:sz w:val="20"/>
              </w:rPr>
              <w:t>Restart Mission restores the original scenario state.</w:t>
            </w:r>
          </w:p>
        </w:tc>
      </w:tr>
      <w:tr>
        <w:tc>
          <w:tcPr>
            <w:tcW w:type="dxa" w:w="1800"/>
            <w:tcMar>
              <w:top w:w="80" w:type="dxa"/>
              <w:start w:w="120" w:type="dxa"/>
              <w:bottom w:w="80" w:type="dxa"/>
              <w:end w:w="120" w:type="dxa"/>
            </w:tcMar>
            <w:vAlign w:val="center"/>
          </w:tcPr>
          <w:p>
            <w:r>
              <w:rPr>
                <w:rFonts w:ascii="Calibri" w:hAnsi="Calibri"/>
                <w:b/>
                <w:color w:val="1E4539"/>
                <w:sz w:val="20"/>
              </w:rPr>
              <w:t>Progress</w:t>
            </w:r>
          </w:p>
        </w:tc>
        <w:tc>
          <w:tcPr>
            <w:tcW w:type="dxa" w:w="7560"/>
            <w:tcMar>
              <w:top w:w="80" w:type="dxa"/>
              <w:start w:w="120" w:type="dxa"/>
              <w:bottom w:w="80" w:type="dxa"/>
              <w:end w:w="120" w:type="dxa"/>
            </w:tcMar>
            <w:vAlign w:val="center"/>
          </w:tcPr>
          <w:p>
            <w:r>
              <w:rPr>
                <w:rFonts w:ascii="Calibri" w:hAnsi="Calibri"/>
                <w:color w:val="272A28"/>
                <w:sz w:val="20"/>
              </w:rPr>
              <w:t>Completing a mission unlocks the next briefing and survives a client restart.</w:t>
            </w:r>
          </w:p>
        </w:tc>
      </w:tr>
      <w:tr>
        <w:tc>
          <w:tcPr>
            <w:tcW w:type="dxa" w:w="1800"/>
            <w:tcMar>
              <w:top w:w="80" w:type="dxa"/>
              <w:start w:w="120" w:type="dxa"/>
              <w:bottom w:w="80" w:type="dxa"/>
              <w:end w:w="120" w:type="dxa"/>
            </w:tcMar>
            <w:vAlign w:val="center"/>
          </w:tcPr>
          <w:p>
            <w:r>
              <w:rPr>
                <w:rFonts w:ascii="Calibri" w:hAnsi="Calibri"/>
                <w:b/>
                <w:color w:val="1E4539"/>
                <w:sz w:val="20"/>
              </w:rPr>
              <w:t>Finale</w:t>
            </w:r>
          </w:p>
        </w:tc>
        <w:tc>
          <w:tcPr>
            <w:tcW w:type="dxa" w:w="7560"/>
            <w:tcMar>
              <w:top w:w="80" w:type="dxa"/>
              <w:start w:w="120" w:type="dxa"/>
              <w:bottom w:w="80" w:type="dxa"/>
              <w:end w:w="120" w:type="dxa"/>
            </w:tcMar>
            <w:vAlign w:val="center"/>
          </w:tcPr>
          <w:p>
            <w:r>
              <w:rPr>
                <w:rFonts w:ascii="Calibri" w:hAnsi="Calibri"/>
                <w:color w:val="272A28"/>
                <w:sz w:val="20"/>
              </w:rPr>
              <w:t>Completing Mission 8 returns cleanly to the main menu.</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E9D7"/>
          </w:tcPr>
          <w:p>
            <w:pPr>
              <w:spacing w:after="40"/>
            </w:pPr>
            <w:r>
              <w:rPr>
                <w:rFonts w:ascii="Calibri" w:hAnsi="Calibri"/>
                <w:b/>
                <w:color w:val="976C28"/>
                <w:sz w:val="22"/>
              </w:rPr>
              <w:t>Scope boundary</w:t>
            </w:r>
          </w:p>
          <w:p>
            <w:pPr>
              <w:spacing w:after="0" w:line="288" w:lineRule="auto"/>
            </w:pPr>
            <w:r>
              <w:rPr>
                <w:rFonts w:ascii="Calibri" w:hAnsi="Calibri"/>
                <w:color w:val="272A28"/>
                <w:sz w:val="21"/>
              </w:rPr>
              <w:t>The eight opening missions are playable now. The Chapter 8-30 material above is the designed continuation roadmap, not a claim that those later scenarios are already implemented.</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C68"/>
        <w:sz w:val="18"/>
      </w:rPr>
      <w:t xml:space="preserve">Bayou Bonanza  |  Story Mode Tutorial  |  </w:t>
    </w:r>
    <w:r>
      <w:rPr>
        <w:rFonts w:ascii="Calibri" w:hAnsi="Calibri"/>
        <w:color w:val="666C6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C68"/>
        <w:sz w:val="17"/>
      </w:rPr>
      <w:t>GLOOMTHORN | STORY MODE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72A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5B4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B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E453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Gloomthorn Story Mode Tutorial Design</dc:title>
  <dc:subject>Single-player tutorial campaign design for Bayou Bonanza</dc:subject>
  <dc:creator>Tandem Tales</dc:creator>
  <cp:keywords/>
  <dc:description>generated by python-docx</dc:description>
  <cp:lastModifiedBy/>
  <cp:revision>1</cp:revision>
  <dcterms:created xsi:type="dcterms:W3CDTF">2013-12-23T23:15:00Z</dcterms:created>
  <dcterms:modified xsi:type="dcterms:W3CDTF">2013-12-23T23:15:00Z</dcterms:modified>
  <cp:category/>
</cp:coreProperties>
</file>