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6C6F" w:rsidRPr="0046725D" w:rsidRDefault="007A7428" w:rsidP="009B3EE7">
      <w:pPr>
        <w:pStyle w:val="Heading1"/>
        <w:spacing w:before="0" w:line="240" w:lineRule="auto"/>
        <w:jc w:val="right"/>
        <w:rPr>
          <w:rFonts w:asciiTheme="majorBidi" w:hAnsiTheme="majorBidi"/>
          <w:b w:val="0"/>
          <w:bCs w:val="0"/>
          <w:color w:val="auto"/>
          <w:sz w:val="22"/>
          <w:szCs w:val="22"/>
        </w:rPr>
      </w:pPr>
      <w:bookmarkStart w:id="0" w:name="_Toc30378997"/>
      <w:bookmarkStart w:id="1" w:name="_Toc38412045"/>
      <w:r w:rsidRPr="0046725D">
        <w:rPr>
          <w:rFonts w:asciiTheme="majorBidi" w:hAnsiTheme="majorBidi"/>
          <w:b w:val="0"/>
          <w:bCs w:val="0"/>
          <w:color w:val="auto"/>
          <w:sz w:val="22"/>
          <w:szCs w:val="22"/>
        </w:rPr>
        <w:t xml:space="preserve">October </w:t>
      </w:r>
      <w:r w:rsidR="009B3EE7">
        <w:rPr>
          <w:rFonts w:asciiTheme="majorBidi" w:hAnsiTheme="majorBidi"/>
          <w:b w:val="0"/>
          <w:bCs w:val="0"/>
          <w:color w:val="auto"/>
          <w:sz w:val="22"/>
          <w:szCs w:val="22"/>
        </w:rPr>
        <w:t>26</w:t>
      </w:r>
      <w:r w:rsidR="00AE6C6F" w:rsidRPr="0046725D">
        <w:rPr>
          <w:rFonts w:asciiTheme="majorBidi" w:hAnsiTheme="majorBidi"/>
          <w:b w:val="0"/>
          <w:bCs w:val="0"/>
          <w:color w:val="auto"/>
          <w:sz w:val="22"/>
          <w:szCs w:val="22"/>
        </w:rPr>
        <w:t>, 2020</w:t>
      </w:r>
    </w:p>
    <w:p w:rsidR="00D65332" w:rsidRPr="0046725D" w:rsidRDefault="00D65332" w:rsidP="00D65332">
      <w:pPr>
        <w:spacing w:after="0" w:line="240" w:lineRule="auto"/>
      </w:pPr>
    </w:p>
    <w:p w:rsidR="00B37CAD" w:rsidRPr="0046725D" w:rsidRDefault="00B37CAD" w:rsidP="00D65332">
      <w:pPr>
        <w:pStyle w:val="Heading1"/>
        <w:spacing w:before="0" w:line="240" w:lineRule="auto"/>
        <w:jc w:val="center"/>
        <w:rPr>
          <w:rFonts w:asciiTheme="majorBidi" w:hAnsiTheme="majorBidi"/>
          <w:color w:val="auto"/>
        </w:rPr>
      </w:pPr>
      <w:r w:rsidRPr="0046725D">
        <w:rPr>
          <w:rFonts w:asciiTheme="majorBidi" w:hAnsiTheme="majorBidi"/>
          <w:color w:val="auto"/>
        </w:rPr>
        <w:t>KEY PERFORMANCE INDICATORS</w:t>
      </w:r>
      <w:bookmarkEnd w:id="0"/>
      <w:r w:rsidRPr="0046725D">
        <w:rPr>
          <w:rFonts w:asciiTheme="majorBidi" w:hAnsiTheme="majorBidi"/>
          <w:color w:val="auto"/>
        </w:rPr>
        <w:t xml:space="preserve"> (KPIs)</w:t>
      </w:r>
      <w:bookmarkEnd w:id="1"/>
      <w:r w:rsidR="004A346D" w:rsidRPr="0046725D">
        <w:rPr>
          <w:rFonts w:asciiTheme="majorBidi" w:hAnsiTheme="majorBidi"/>
          <w:color w:val="auto"/>
        </w:rPr>
        <w:t xml:space="preserve"> for the NSED 2021-2030</w:t>
      </w:r>
    </w:p>
    <w:p w:rsidR="00B37CAD" w:rsidRPr="00330DD1" w:rsidRDefault="00B37CAD" w:rsidP="00D65332">
      <w:pPr>
        <w:spacing w:after="0" w:line="240" w:lineRule="auto"/>
        <w:rPr>
          <w:rFonts w:asciiTheme="majorBidi" w:hAnsiTheme="majorBidi" w:cstheme="majorBidi"/>
        </w:rPr>
      </w:pPr>
    </w:p>
    <w:p w:rsidR="00B37CAD" w:rsidRPr="00330DD1" w:rsidRDefault="00B37CAD" w:rsidP="00B37CAD">
      <w:pPr>
        <w:spacing w:after="0" w:line="240" w:lineRule="auto"/>
        <w:rPr>
          <w:rFonts w:asciiTheme="majorBidi" w:hAnsiTheme="majorBidi" w:cstheme="majorBidi"/>
        </w:rPr>
      </w:pPr>
    </w:p>
    <w:tbl>
      <w:tblPr>
        <w:tblW w:w="14222" w:type="dxa"/>
        <w:jc w:val="center"/>
        <w:tblLook w:val="04A0"/>
      </w:tblPr>
      <w:tblGrid>
        <w:gridCol w:w="505"/>
        <w:gridCol w:w="4700"/>
        <w:gridCol w:w="1653"/>
        <w:gridCol w:w="1729"/>
        <w:gridCol w:w="1667"/>
        <w:gridCol w:w="1734"/>
        <w:gridCol w:w="2234"/>
      </w:tblGrid>
      <w:tr w:rsidR="00B37CAD" w:rsidRPr="00B26D47" w:rsidTr="0023340C">
        <w:trPr>
          <w:trHeight w:val="405"/>
          <w:jc w:val="center"/>
        </w:trPr>
        <w:tc>
          <w:tcPr>
            <w:tcW w:w="14222"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lang w:val="ru-RU"/>
              </w:rPr>
            </w:pPr>
            <w:r w:rsidRPr="00B26D47">
              <w:rPr>
                <w:rFonts w:asciiTheme="majorBidi" w:eastAsia="Times New Roman" w:hAnsiTheme="majorBidi" w:cstheme="majorBidi"/>
                <w:b/>
                <w:bCs/>
                <w:color w:val="FFFFFF"/>
              </w:rPr>
              <w:t>1.</w:t>
            </w:r>
            <w:r w:rsidRPr="00B26D47">
              <w:rPr>
                <w:rFonts w:asciiTheme="majorBidi" w:eastAsia="Times New Roman" w:hAnsiTheme="majorBidi" w:cstheme="majorBidi"/>
                <w:b/>
                <w:bCs/>
                <w:color w:val="FFFFFF"/>
                <w:sz w:val="14"/>
                <w:szCs w:val="14"/>
              </w:rPr>
              <w:t xml:space="preserve"> </w:t>
            </w:r>
            <w:r w:rsidRPr="00B26D47">
              <w:rPr>
                <w:rFonts w:asciiTheme="majorBidi" w:eastAsia="Times New Roman" w:hAnsiTheme="majorBidi" w:cstheme="majorBidi"/>
                <w:b/>
                <w:bCs/>
                <w:color w:val="FFFFFF"/>
              </w:rPr>
              <w:t>CROSS-CUTTING INDICATORS</w:t>
            </w:r>
          </w:p>
        </w:tc>
      </w:tr>
      <w:tr w:rsidR="00B37CAD" w:rsidRPr="00B26D47" w:rsidTr="0023340C">
        <w:trPr>
          <w:trHeight w:val="600"/>
          <w:jc w:val="center"/>
        </w:trPr>
        <w:tc>
          <w:tcPr>
            <w:tcW w:w="520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653"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29"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67"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34"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34"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23340C">
        <w:trPr>
          <w:trHeight w:val="431"/>
          <w:jc w:val="center"/>
        </w:trPr>
        <w:tc>
          <w:tcPr>
            <w:tcW w:w="505" w:type="dxa"/>
            <w:vMerge w:val="restart"/>
            <w:tcBorders>
              <w:top w:val="nil"/>
              <w:left w:val="single" w:sz="4" w:space="0" w:color="auto"/>
              <w:bottom w:val="single" w:sz="4" w:space="0" w:color="000000"/>
              <w:right w:val="nil"/>
            </w:tcBorders>
            <w:shd w:val="clear" w:color="auto" w:fill="auto"/>
            <w:noWrap/>
            <w:vAlign w:val="center"/>
            <w:hideMark/>
          </w:tcPr>
          <w:p w:rsidR="00B37CAD" w:rsidRPr="0046725D" w:rsidRDefault="002F7C1A"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w:t>
            </w:r>
          </w:p>
        </w:tc>
        <w:tc>
          <w:tcPr>
            <w:tcW w:w="4700" w:type="dxa"/>
            <w:tcBorders>
              <w:top w:val="single" w:sz="4" w:space="0" w:color="auto"/>
              <w:left w:val="single" w:sz="4" w:space="0" w:color="auto"/>
              <w:bottom w:val="nil"/>
              <w:right w:val="single" w:sz="4" w:space="0" w:color="auto"/>
            </w:tcBorders>
            <w:shd w:val="clear" w:color="auto" w:fill="auto"/>
            <w:vAlign w:val="center"/>
            <w:hideMark/>
          </w:tcPr>
          <w:p w:rsidR="00B37CAD" w:rsidRPr="00330DD1" w:rsidRDefault="00B37CAD" w:rsidP="0023340C">
            <w:pPr>
              <w:spacing w:after="0" w:line="240" w:lineRule="auto"/>
              <w:rPr>
                <w:rFonts w:asciiTheme="majorBidi" w:eastAsia="Times New Roman" w:hAnsiTheme="majorBidi" w:cstheme="majorBidi"/>
                <w:color w:val="000000"/>
              </w:rPr>
            </w:pPr>
            <w:r w:rsidRPr="00330DD1">
              <w:rPr>
                <w:rFonts w:asciiTheme="majorBidi" w:eastAsia="Times New Roman" w:hAnsiTheme="majorBidi" w:cstheme="majorBidi"/>
                <w:color w:val="000000"/>
              </w:rPr>
              <w:t>The share of individuals with professional education among the employed population, including: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32</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w:t>
            </w:r>
            <w:r w:rsidRPr="00B26D47">
              <w:rPr>
                <w:rFonts w:asciiTheme="majorBidi" w:eastAsia="Times New Roman" w:hAnsiTheme="majorBidi" w:cstheme="majorBidi"/>
              </w:rPr>
              <w:t>.</w:t>
            </w:r>
            <w:r w:rsidRPr="00B26D47">
              <w:rPr>
                <w:rFonts w:asciiTheme="majorBidi" w:eastAsia="Times New Roman" w:hAnsiTheme="majorBidi" w:cstheme="majorBidi"/>
                <w:lang w:val="ru-RU"/>
              </w:rPr>
              <w:t>5%</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234" w:type="dxa"/>
            <w:vMerge w:val="restart"/>
            <w:tcBorders>
              <w:top w:val="single" w:sz="4" w:space="0" w:color="auto"/>
              <w:left w:val="nil"/>
              <w:bottom w:val="single" w:sz="4" w:space="0" w:color="auto"/>
              <w:right w:val="single" w:sz="4" w:space="0" w:color="auto"/>
            </w:tcBorders>
            <w:shd w:val="clear" w:color="auto" w:fill="auto"/>
            <w:vAlign w:val="center"/>
            <w:hideMark/>
          </w:tcPr>
          <w:p w:rsidR="00E14881" w:rsidRPr="00E14881" w:rsidRDefault="00B37CAD" w:rsidP="00E1488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xml:space="preserve">NDS </w:t>
            </w:r>
            <w:r w:rsidRPr="00B26D47">
              <w:rPr>
                <w:rFonts w:asciiTheme="majorBidi" w:eastAsia="Times New Roman" w:hAnsiTheme="majorBidi" w:cstheme="majorBidi"/>
                <w:lang w:val="ru-RU"/>
              </w:rPr>
              <w:t>2030</w:t>
            </w:r>
          </w:p>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color w:val="FF0000"/>
              </w:rPr>
              <w:t> </w:t>
            </w:r>
          </w:p>
        </w:tc>
      </w:tr>
      <w:tr w:rsidR="00B37CAD" w:rsidRPr="00B26D47" w:rsidTr="0023340C">
        <w:trPr>
          <w:trHeight w:val="300"/>
          <w:jc w:val="center"/>
        </w:trPr>
        <w:tc>
          <w:tcPr>
            <w:tcW w:w="505" w:type="dxa"/>
            <w:vMerge/>
            <w:tcBorders>
              <w:top w:val="nil"/>
              <w:left w:val="single" w:sz="4" w:space="0" w:color="auto"/>
              <w:bottom w:val="single" w:sz="4" w:space="0" w:color="000000"/>
              <w:right w:val="nil"/>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315A82"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men</w:t>
            </w:r>
          </w:p>
        </w:tc>
        <w:tc>
          <w:tcPr>
            <w:tcW w:w="1653"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w:t>
            </w:r>
            <w:r w:rsidRPr="00B26D47">
              <w:rPr>
                <w:rFonts w:asciiTheme="majorBidi" w:eastAsia="Times New Roman" w:hAnsiTheme="majorBidi" w:cstheme="majorBidi"/>
              </w:rPr>
              <w:t>.</w:t>
            </w:r>
            <w:r w:rsidRPr="00B26D47">
              <w:rPr>
                <w:rFonts w:asciiTheme="majorBidi" w:eastAsia="Times New Roman" w:hAnsiTheme="majorBidi" w:cstheme="majorBidi"/>
                <w:lang w:val="ru-RU"/>
              </w:rPr>
              <w:t>5%</w:t>
            </w:r>
          </w:p>
        </w:tc>
        <w:tc>
          <w:tcPr>
            <w:tcW w:w="1729"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42</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67"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58</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34"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68</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top w:val="nil"/>
              <w:left w:val="single" w:sz="4" w:space="0" w:color="auto"/>
              <w:bottom w:val="single" w:sz="4" w:space="0" w:color="auto"/>
              <w:right w:val="nil"/>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00" w:type="dxa"/>
            <w:tcBorders>
              <w:top w:val="nil"/>
              <w:left w:val="single" w:sz="4" w:space="0" w:color="auto"/>
              <w:bottom w:val="single" w:sz="4" w:space="0" w:color="auto"/>
              <w:right w:val="single" w:sz="4" w:space="0" w:color="auto"/>
            </w:tcBorders>
            <w:shd w:val="clear" w:color="auto" w:fill="auto"/>
            <w:vAlign w:val="center"/>
            <w:hideMark/>
          </w:tcPr>
          <w:p w:rsidR="00B37CAD" w:rsidRPr="00315A82"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women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28</w:t>
            </w:r>
            <w:r w:rsidRPr="00B26D47">
              <w:rPr>
                <w:rFonts w:asciiTheme="majorBidi" w:eastAsia="Times New Roman" w:hAnsiTheme="majorBidi" w:cstheme="majorBidi"/>
              </w:rPr>
              <w:t>.</w:t>
            </w:r>
            <w:r w:rsidRPr="00B26D47">
              <w:rPr>
                <w:rFonts w:asciiTheme="majorBidi" w:eastAsia="Times New Roman" w:hAnsiTheme="majorBidi" w:cstheme="majorBidi"/>
                <w:lang w:val="ru-RU"/>
              </w:rPr>
              <w:t>5%</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val="restart"/>
            <w:tcBorders>
              <w:top w:val="single" w:sz="4" w:space="0" w:color="auto"/>
              <w:left w:val="single" w:sz="4" w:space="0" w:color="auto"/>
              <w:right w:val="nil"/>
            </w:tcBorders>
            <w:shd w:val="clear" w:color="auto" w:fill="auto"/>
            <w:vAlign w:val="center"/>
            <w:hideMark/>
          </w:tcPr>
          <w:p w:rsidR="00B37CAD" w:rsidRPr="0046725D" w:rsidRDefault="002F7C1A"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w:t>
            </w:r>
          </w:p>
        </w:tc>
        <w:tc>
          <w:tcPr>
            <w:tcW w:w="4700" w:type="dxa"/>
            <w:tcBorders>
              <w:top w:val="single" w:sz="4" w:space="0" w:color="auto"/>
              <w:left w:val="single" w:sz="4" w:space="0" w:color="auto"/>
              <w:bottom w:val="nil"/>
              <w:right w:val="single" w:sz="4" w:space="0" w:color="auto"/>
            </w:tcBorders>
            <w:shd w:val="clear" w:color="auto" w:fill="auto"/>
            <w:vAlign w:val="center"/>
            <w:hideMark/>
          </w:tcPr>
          <w:p w:rsidR="00B37CAD" w:rsidRPr="00330DD1" w:rsidRDefault="00B37CAD" w:rsidP="0023340C">
            <w:pPr>
              <w:spacing w:after="0" w:line="240" w:lineRule="auto"/>
              <w:rPr>
                <w:rFonts w:asciiTheme="majorBidi" w:eastAsia="Times New Roman" w:hAnsiTheme="majorBidi" w:cstheme="majorBidi"/>
              </w:rPr>
            </w:pPr>
            <w:r w:rsidRPr="00330DD1">
              <w:rPr>
                <w:rFonts w:asciiTheme="majorBidi" w:eastAsia="Times New Roman" w:hAnsiTheme="majorBidi" w:cstheme="majorBidi"/>
              </w:rPr>
              <w:t>Coverage of people with disabilities with educational institutions at all levels, including: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15.8%</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35.0%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50.0%</w:t>
            </w:r>
          </w:p>
        </w:tc>
        <w:tc>
          <w:tcPr>
            <w:tcW w:w="2234" w:type="dxa"/>
            <w:vMerge w:val="restart"/>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 xml:space="preserve">NDS </w:t>
            </w:r>
            <w:r w:rsidRPr="00B26D47">
              <w:rPr>
                <w:rFonts w:asciiTheme="majorBidi" w:eastAsia="Times New Roman" w:hAnsiTheme="majorBidi" w:cstheme="majorBidi"/>
                <w:lang w:val="ru-RU"/>
              </w:rPr>
              <w:t>2030</w:t>
            </w:r>
          </w:p>
        </w:tc>
      </w:tr>
      <w:tr w:rsidR="00B37CAD" w:rsidRPr="00B26D47" w:rsidTr="0023340C">
        <w:trPr>
          <w:trHeight w:val="85"/>
          <w:jc w:val="center"/>
        </w:trPr>
        <w:tc>
          <w:tcPr>
            <w:tcW w:w="505" w:type="dxa"/>
            <w:vMerge/>
            <w:tcBorders>
              <w:left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315A82"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men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17.2%</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22.5%</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55.0%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left w:val="single" w:sz="4" w:space="0" w:color="auto"/>
              <w:bottom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single" w:sz="4" w:space="0" w:color="auto"/>
              <w:right w:val="single" w:sz="4" w:space="0" w:color="auto"/>
            </w:tcBorders>
            <w:shd w:val="clear" w:color="auto" w:fill="auto"/>
            <w:vAlign w:val="center"/>
            <w:hideMark/>
          </w:tcPr>
          <w:p w:rsidR="00B37CAD" w:rsidRPr="00315A82"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women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13.9%</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18.5%</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45.0%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val="restart"/>
            <w:tcBorders>
              <w:top w:val="single" w:sz="4" w:space="0" w:color="auto"/>
              <w:left w:val="single" w:sz="4" w:space="0" w:color="auto"/>
              <w:right w:val="nil"/>
            </w:tcBorders>
            <w:shd w:val="clear" w:color="auto" w:fill="auto"/>
            <w:vAlign w:val="center"/>
            <w:hideMark/>
          </w:tcPr>
          <w:p w:rsidR="00B37CAD" w:rsidRPr="0046725D" w:rsidRDefault="002F7C1A"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w:t>
            </w:r>
          </w:p>
        </w:tc>
        <w:tc>
          <w:tcPr>
            <w:tcW w:w="4700" w:type="dxa"/>
            <w:tcBorders>
              <w:top w:val="single" w:sz="4" w:space="0" w:color="auto"/>
              <w:left w:val="single" w:sz="4" w:space="0" w:color="auto"/>
              <w:bottom w:val="nil"/>
              <w:right w:val="single" w:sz="4" w:space="0" w:color="auto"/>
            </w:tcBorders>
            <w:shd w:val="clear" w:color="auto" w:fill="auto"/>
            <w:vAlign w:val="center"/>
            <w:hideMark/>
          </w:tcPr>
          <w:p w:rsidR="00B37CAD" w:rsidRPr="00330DD1" w:rsidRDefault="00F138E2" w:rsidP="00F138E2">
            <w:pPr>
              <w:spacing w:after="0" w:line="240" w:lineRule="auto"/>
              <w:rPr>
                <w:rFonts w:asciiTheme="majorBidi" w:eastAsia="Times New Roman" w:hAnsiTheme="majorBidi" w:cstheme="majorBidi"/>
              </w:rPr>
            </w:pPr>
            <w:r>
              <w:rPr>
                <w:rFonts w:asciiTheme="majorBidi" w:eastAsia="Times New Roman" w:hAnsiTheme="majorBidi" w:cstheme="majorBidi"/>
              </w:rPr>
              <w:t>Participation rate</w:t>
            </w:r>
            <w:r w:rsidR="00B37CAD" w:rsidRPr="00330DD1">
              <w:rPr>
                <w:rFonts w:asciiTheme="majorBidi" w:eastAsia="Times New Roman" w:hAnsiTheme="majorBidi" w:cstheme="majorBidi"/>
              </w:rPr>
              <w:t xml:space="preserve"> of youth and adults i</w:t>
            </w:r>
            <w:r>
              <w:rPr>
                <w:rFonts w:asciiTheme="majorBidi" w:eastAsia="Times New Roman" w:hAnsiTheme="majorBidi" w:cstheme="majorBidi"/>
              </w:rPr>
              <w:t>n</w:t>
            </w:r>
            <w:r w:rsidR="00B37CAD" w:rsidRPr="00330DD1">
              <w:rPr>
                <w:rFonts w:asciiTheme="majorBidi" w:eastAsia="Times New Roman" w:hAnsiTheme="majorBidi" w:cstheme="majorBidi"/>
              </w:rPr>
              <w:t xml:space="preserve"> formal and non-formal </w:t>
            </w:r>
            <w:r w:rsidR="009B3EE7">
              <w:rPr>
                <w:rFonts w:asciiTheme="majorBidi" w:eastAsia="Times New Roman" w:hAnsiTheme="majorBidi" w:cstheme="majorBidi"/>
              </w:rPr>
              <w:t xml:space="preserve">(additional) </w:t>
            </w:r>
            <w:r w:rsidR="00B37CAD" w:rsidRPr="00330DD1">
              <w:rPr>
                <w:rFonts w:asciiTheme="majorBidi" w:eastAsia="Times New Roman" w:hAnsiTheme="majorBidi" w:cstheme="majorBidi"/>
              </w:rPr>
              <w:t>education and training</w:t>
            </w:r>
            <w:r>
              <w:rPr>
                <w:rFonts w:asciiTheme="majorBidi" w:eastAsia="Times New Roman" w:hAnsiTheme="majorBidi" w:cstheme="majorBidi"/>
              </w:rPr>
              <w:t xml:space="preserve"> in the previous 12 months</w:t>
            </w:r>
            <w:r w:rsidR="00B37CAD" w:rsidRPr="00330DD1">
              <w:rPr>
                <w:rFonts w:asciiTheme="majorBidi" w:eastAsia="Times New Roman" w:hAnsiTheme="majorBidi" w:cstheme="majorBidi"/>
              </w:rPr>
              <w:t>, including: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25.6%</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50.0%</w:t>
            </w:r>
          </w:p>
        </w:tc>
        <w:tc>
          <w:tcPr>
            <w:tcW w:w="2234" w:type="dxa"/>
            <w:vMerge w:val="restart"/>
            <w:tcBorders>
              <w:top w:val="single" w:sz="4" w:space="0" w:color="auto"/>
              <w:left w:val="nil"/>
              <w:right w:val="single" w:sz="4" w:space="0" w:color="auto"/>
            </w:tcBorders>
            <w:shd w:val="clear" w:color="auto" w:fill="auto"/>
            <w:vAlign w:val="center"/>
            <w:hideMark/>
          </w:tcPr>
          <w:p w:rsidR="00B37CAD" w:rsidRDefault="00B37CAD" w:rsidP="0023340C">
            <w:pPr>
              <w:spacing w:after="0" w:line="240" w:lineRule="auto"/>
              <w:jc w:val="center"/>
              <w:rPr>
                <w:rFonts w:asciiTheme="majorBidi" w:eastAsia="Times New Roman" w:hAnsiTheme="majorBidi" w:cstheme="majorBidi"/>
              </w:rPr>
            </w:pPr>
            <w:r w:rsidRPr="00E14881">
              <w:rPr>
                <w:rFonts w:asciiTheme="majorBidi" w:eastAsia="Times New Roman" w:hAnsiTheme="majorBidi" w:cstheme="majorBidi"/>
              </w:rPr>
              <w:t>SDG</w:t>
            </w:r>
            <w:r w:rsidRPr="00E14881">
              <w:rPr>
                <w:rFonts w:asciiTheme="majorBidi" w:eastAsia="Times New Roman" w:hAnsiTheme="majorBidi" w:cstheme="majorBidi"/>
                <w:lang w:val="ru-RU"/>
              </w:rPr>
              <w:t xml:space="preserve"> </w:t>
            </w:r>
            <w:r w:rsidR="00F138E2">
              <w:rPr>
                <w:rFonts w:asciiTheme="majorBidi" w:eastAsia="Times New Roman" w:hAnsiTheme="majorBidi" w:cstheme="majorBidi"/>
              </w:rPr>
              <w:t xml:space="preserve">Indicator </w:t>
            </w:r>
            <w:r w:rsidRPr="00E14881">
              <w:rPr>
                <w:rFonts w:asciiTheme="majorBidi" w:eastAsia="Times New Roman" w:hAnsiTheme="majorBidi" w:cstheme="majorBidi"/>
                <w:lang w:val="ru-RU"/>
              </w:rPr>
              <w:t>4.3.1</w:t>
            </w:r>
          </w:p>
          <w:p w:rsidR="00F138E2" w:rsidRPr="00F138E2" w:rsidRDefault="00F138E2" w:rsidP="0023340C">
            <w:pPr>
              <w:spacing w:after="0" w:line="240" w:lineRule="auto"/>
              <w:jc w:val="center"/>
              <w:rPr>
                <w:rFonts w:asciiTheme="majorBidi" w:eastAsia="Times New Roman" w:hAnsiTheme="majorBidi" w:cstheme="majorBidi"/>
              </w:rPr>
            </w:pPr>
          </w:p>
          <w:p w:rsidR="00E14881" w:rsidRPr="00E14881" w:rsidRDefault="00E14881" w:rsidP="0023340C">
            <w:pPr>
              <w:spacing w:after="0" w:line="240" w:lineRule="auto"/>
              <w:jc w:val="center"/>
              <w:rPr>
                <w:rFonts w:asciiTheme="majorBidi" w:eastAsia="Times New Roman" w:hAnsiTheme="majorBidi" w:cstheme="majorBidi"/>
              </w:rPr>
            </w:pPr>
            <w:r w:rsidRPr="00E14881">
              <w:rPr>
                <w:rFonts w:asciiTheme="majorBidi" w:eastAsia="Times New Roman" w:hAnsiTheme="majorBidi" w:cstheme="majorBidi"/>
              </w:rPr>
              <w:t>Indicator was not previously monitored</w:t>
            </w:r>
          </w:p>
        </w:tc>
      </w:tr>
      <w:tr w:rsidR="00B37CAD" w:rsidRPr="00B26D47" w:rsidTr="0023340C">
        <w:trPr>
          <w:trHeight w:val="85"/>
          <w:jc w:val="center"/>
        </w:trPr>
        <w:tc>
          <w:tcPr>
            <w:tcW w:w="505" w:type="dxa"/>
            <w:vMerge/>
            <w:tcBorders>
              <w:left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315A82"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men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31.1%</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35.0%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45.0%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55.0%</w:t>
            </w:r>
          </w:p>
        </w:tc>
        <w:tc>
          <w:tcPr>
            <w:tcW w:w="2234" w:type="dxa"/>
            <w:vMerge/>
            <w:tcBorders>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left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lang w:val="ru-RU"/>
              </w:rPr>
            </w:pPr>
            <w:r w:rsidRPr="00B26D47">
              <w:rPr>
                <w:rFonts w:asciiTheme="majorBidi" w:eastAsia="Times New Roman" w:hAnsiTheme="majorBidi" w:cstheme="majorBidi"/>
              </w:rPr>
              <w:t xml:space="preserve">   - wome</w:t>
            </w:r>
            <w:r w:rsidR="00315A82">
              <w:rPr>
                <w:rFonts w:asciiTheme="majorBidi" w:eastAsia="Times New Roman" w:hAnsiTheme="majorBidi" w:cstheme="majorBidi"/>
              </w:rPr>
              <w:t>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22.7%</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25.0%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35.0%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45.0%</w:t>
            </w:r>
          </w:p>
        </w:tc>
        <w:tc>
          <w:tcPr>
            <w:tcW w:w="2234" w:type="dxa"/>
            <w:vMerge/>
            <w:tcBorders>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left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w:t>
            </w:r>
            <w:r w:rsidR="00315A82">
              <w:rPr>
                <w:rFonts w:asciiTheme="majorBidi" w:eastAsia="Times New Roman" w:hAnsiTheme="majorBidi" w:cstheme="majorBidi"/>
              </w:rPr>
              <w:t>individuals aged up to 30 years</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38.4%</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60.0%</w:t>
            </w:r>
          </w:p>
        </w:tc>
        <w:tc>
          <w:tcPr>
            <w:tcW w:w="2234" w:type="dxa"/>
            <w:vMerge/>
            <w:tcBorders>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left w:val="single" w:sz="4" w:space="0" w:color="auto"/>
              <w:bottom w:val="single" w:sz="4" w:space="0" w:color="auto"/>
              <w:right w:val="nil"/>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p>
        </w:tc>
        <w:tc>
          <w:tcPr>
            <w:tcW w:w="4700" w:type="dxa"/>
            <w:tcBorders>
              <w:top w:val="nil"/>
              <w:left w:val="single" w:sz="4" w:space="0" w:color="auto"/>
              <w:bottom w:val="single" w:sz="4" w:space="0" w:color="auto"/>
              <w:right w:val="single" w:sz="4" w:space="0" w:color="auto"/>
            </w:tcBorders>
            <w:shd w:val="clear" w:color="auto" w:fill="auto"/>
            <w:vAlign w:val="center"/>
            <w:hideMark/>
          </w:tcPr>
          <w:p w:rsidR="00B37CAD" w:rsidRPr="00330DD1"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individuals aged 30 years and above</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19.6%</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25.0%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35.0%</w:t>
            </w:r>
          </w:p>
        </w:tc>
        <w:tc>
          <w:tcPr>
            <w:tcW w:w="2234" w:type="dxa"/>
            <w:vMerge/>
            <w:tcBorders>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val="restart"/>
            <w:tcBorders>
              <w:top w:val="single" w:sz="4" w:space="0" w:color="auto"/>
              <w:left w:val="single" w:sz="4" w:space="0" w:color="auto"/>
              <w:bottom w:val="single" w:sz="4" w:space="0" w:color="auto"/>
              <w:right w:val="nil"/>
            </w:tcBorders>
            <w:shd w:val="clear" w:color="auto" w:fill="auto"/>
            <w:vAlign w:val="center"/>
            <w:hideMark/>
          </w:tcPr>
          <w:p w:rsidR="00B37CAD" w:rsidRPr="0046725D" w:rsidRDefault="009B3EE7"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4</w:t>
            </w:r>
          </w:p>
        </w:tc>
        <w:tc>
          <w:tcPr>
            <w:tcW w:w="4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37CAD" w:rsidRPr="00330DD1" w:rsidRDefault="00B37CAD" w:rsidP="0023340C">
            <w:pPr>
              <w:spacing w:after="0" w:line="240" w:lineRule="auto"/>
              <w:rPr>
                <w:rFonts w:asciiTheme="majorBidi" w:eastAsia="Times New Roman" w:hAnsiTheme="majorBidi" w:cstheme="majorBidi"/>
              </w:rPr>
            </w:pPr>
            <w:r w:rsidRPr="00330DD1">
              <w:rPr>
                <w:rFonts w:asciiTheme="majorBidi" w:eastAsia="Times New Roman" w:hAnsiTheme="majorBidi" w:cstheme="majorBidi"/>
              </w:rPr>
              <w:t xml:space="preserve">Gender Parity Index (GPI) in the education sector (combined for all </w:t>
            </w:r>
            <w:r w:rsidRPr="00B26D47">
              <w:rPr>
                <w:rFonts w:asciiTheme="majorBidi" w:eastAsia="Times New Roman" w:hAnsiTheme="majorBidi" w:cstheme="majorBidi"/>
              </w:rPr>
              <w:t>state</w:t>
            </w:r>
            <w:r w:rsidRPr="00330DD1">
              <w:rPr>
                <w:rFonts w:asciiTheme="majorBidi" w:eastAsia="Times New Roman" w:hAnsiTheme="majorBidi" w:cstheme="majorBidi"/>
              </w:rPr>
              <w:t xml:space="preserve"> education</w:t>
            </w:r>
            <w:r w:rsidRPr="00B26D47">
              <w:rPr>
                <w:rFonts w:asciiTheme="majorBidi" w:eastAsia="Times New Roman" w:hAnsiTheme="majorBidi" w:cstheme="majorBidi"/>
              </w:rPr>
              <w:t>al institutions</w:t>
            </w:r>
            <w:r w:rsidRPr="00330DD1">
              <w:rPr>
                <w:rFonts w:asciiTheme="majorBidi" w:eastAsia="Times New Roman" w:hAnsiTheme="majorBidi" w:cstheme="majorBidi"/>
              </w:rPr>
              <w:t>), including: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0.896</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0.900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0.910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0.925</w:t>
            </w:r>
          </w:p>
        </w:tc>
        <w:tc>
          <w:tcPr>
            <w:tcW w:w="2234" w:type="dxa"/>
            <w:vMerge w:val="restart"/>
            <w:tcBorders>
              <w:top w:val="single" w:sz="4" w:space="0" w:color="auto"/>
              <w:left w:val="nil"/>
              <w:bottom w:val="single" w:sz="4" w:space="0" w:color="auto"/>
              <w:right w:val="single" w:sz="4" w:space="0" w:color="auto"/>
            </w:tcBorders>
            <w:shd w:val="clear" w:color="auto" w:fill="auto"/>
            <w:vAlign w:val="center"/>
            <w:hideMark/>
          </w:tcPr>
          <w:p w:rsidR="00A50684" w:rsidRDefault="00A50684"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Contributes to</w:t>
            </w:r>
          </w:p>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SDG</w:t>
            </w:r>
            <w:r w:rsidRPr="00B26D47">
              <w:rPr>
                <w:rFonts w:asciiTheme="majorBidi" w:eastAsia="Times New Roman" w:hAnsiTheme="majorBidi" w:cstheme="majorBidi"/>
                <w:lang w:val="ru-RU"/>
              </w:rPr>
              <w:t xml:space="preserve"> </w:t>
            </w:r>
            <w:r w:rsidR="00A50684">
              <w:rPr>
                <w:rFonts w:asciiTheme="majorBidi" w:eastAsia="Times New Roman" w:hAnsiTheme="majorBidi" w:cstheme="majorBidi"/>
              </w:rPr>
              <w:t xml:space="preserve">Indicator </w:t>
            </w:r>
            <w:r w:rsidRPr="00B26D47">
              <w:rPr>
                <w:rFonts w:asciiTheme="majorBidi" w:eastAsia="Times New Roman" w:hAnsiTheme="majorBidi" w:cstheme="majorBidi"/>
                <w:lang w:val="ru-RU"/>
              </w:rPr>
              <w:t>4.5</w:t>
            </w:r>
            <w:r w:rsidRPr="00B26D47">
              <w:rPr>
                <w:rFonts w:asciiTheme="majorBidi" w:eastAsia="Times New Roman" w:hAnsiTheme="majorBidi" w:cstheme="majorBidi"/>
              </w:rPr>
              <w:t>.1</w:t>
            </w:r>
          </w:p>
        </w:tc>
      </w:tr>
      <w:tr w:rsidR="00B37CAD" w:rsidRPr="00B26D47" w:rsidTr="0023340C">
        <w:trPr>
          <w:trHeight w:val="85"/>
          <w:jc w:val="center"/>
        </w:trPr>
        <w:tc>
          <w:tcPr>
            <w:tcW w:w="505" w:type="dxa"/>
            <w:vMerge/>
            <w:tcBorders>
              <w:top w:val="single" w:sz="4" w:space="0" w:color="auto"/>
              <w:left w:val="single" w:sz="4" w:space="0" w:color="auto"/>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p>
        </w:tc>
        <w:tc>
          <w:tcPr>
            <w:tcW w:w="4700" w:type="dxa"/>
            <w:tcBorders>
              <w:top w:val="single" w:sz="4" w:space="0" w:color="auto"/>
              <w:left w:val="single" w:sz="4" w:space="0" w:color="auto"/>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early l</w:t>
            </w:r>
            <w:r w:rsidR="00315A82">
              <w:rPr>
                <w:rFonts w:asciiTheme="majorBidi" w:eastAsia="Times New Roman" w:hAnsiTheme="majorBidi" w:cstheme="majorBidi"/>
              </w:rPr>
              <w:t>earning and preschool education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0.813</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0.825</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0.850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0.900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top w:val="single" w:sz="4" w:space="0" w:color="auto"/>
              <w:left w:val="single" w:sz="4" w:space="0" w:color="auto"/>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315A82"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general secondary education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929</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935</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945</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960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top w:val="single" w:sz="4" w:space="0" w:color="auto"/>
              <w:left w:val="single" w:sz="4" w:space="0" w:color="auto"/>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initial vo</w:t>
            </w:r>
            <w:r w:rsidR="00315A82">
              <w:rPr>
                <w:rFonts w:asciiTheme="majorBidi" w:eastAsia="Times New Roman" w:hAnsiTheme="majorBidi" w:cstheme="majorBidi"/>
              </w:rPr>
              <w:t>cational education and training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0.293</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0.320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0.400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0.600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85"/>
          <w:jc w:val="center"/>
        </w:trPr>
        <w:tc>
          <w:tcPr>
            <w:tcW w:w="505" w:type="dxa"/>
            <w:vMerge/>
            <w:tcBorders>
              <w:top w:val="single" w:sz="4" w:space="0" w:color="auto"/>
              <w:left w:val="single" w:sz="4" w:space="0" w:color="auto"/>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p>
        </w:tc>
        <w:tc>
          <w:tcPr>
            <w:tcW w:w="4700" w:type="dxa"/>
            <w:tcBorders>
              <w:top w:val="nil"/>
              <w:left w:val="single" w:sz="4" w:space="0" w:color="auto"/>
              <w:bottom w:val="nil"/>
              <w:right w:val="single" w:sz="4" w:space="0" w:color="auto"/>
            </w:tcBorders>
            <w:shd w:val="clear" w:color="auto" w:fill="auto"/>
            <w:vAlign w:val="center"/>
            <w:hideMark/>
          </w:tcPr>
          <w:p w:rsidR="00B37CAD" w:rsidRPr="00330DD1"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secondary vocational education and training</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1.750</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1.700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1.500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1.350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r w:rsidR="00B37CAD" w:rsidRPr="00B26D47" w:rsidTr="0023340C">
        <w:trPr>
          <w:trHeight w:val="275"/>
          <w:jc w:val="center"/>
        </w:trPr>
        <w:tc>
          <w:tcPr>
            <w:tcW w:w="505" w:type="dxa"/>
            <w:vMerge/>
            <w:tcBorders>
              <w:top w:val="single" w:sz="4" w:space="0" w:color="auto"/>
              <w:left w:val="single" w:sz="4" w:space="0" w:color="auto"/>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p>
        </w:tc>
        <w:tc>
          <w:tcPr>
            <w:tcW w:w="4700" w:type="dxa"/>
            <w:tcBorders>
              <w:top w:val="nil"/>
              <w:left w:val="single" w:sz="4" w:space="0" w:color="auto"/>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w:t>
            </w:r>
            <w:r w:rsidR="00315A82">
              <w:rPr>
                <w:rFonts w:asciiTheme="majorBidi" w:eastAsia="Times New Roman" w:hAnsiTheme="majorBidi" w:cstheme="majorBidi"/>
              </w:rPr>
              <w:t>- higher professional education</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0.558</w:t>
            </w:r>
          </w:p>
        </w:tc>
        <w:tc>
          <w:tcPr>
            <w:tcW w:w="1729"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0.600</w:t>
            </w:r>
          </w:p>
        </w:tc>
        <w:tc>
          <w:tcPr>
            <w:tcW w:w="1667"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0.650</w:t>
            </w:r>
          </w:p>
        </w:tc>
        <w:tc>
          <w:tcPr>
            <w:tcW w:w="1734"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0.750</w:t>
            </w:r>
          </w:p>
        </w:tc>
        <w:tc>
          <w:tcPr>
            <w:tcW w:w="2234" w:type="dxa"/>
            <w:vMerge/>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FF0000"/>
              </w:rPr>
            </w:pPr>
          </w:p>
        </w:tc>
      </w:tr>
    </w:tbl>
    <w:p w:rsidR="00B37CAD" w:rsidRDefault="00B37CAD" w:rsidP="00B37CAD">
      <w:pPr>
        <w:spacing w:after="0" w:line="240" w:lineRule="auto"/>
        <w:rPr>
          <w:rFonts w:cstheme="minorHAnsi"/>
          <w:lang w:val="ru-RU"/>
        </w:rPr>
      </w:pPr>
    </w:p>
    <w:tbl>
      <w:tblPr>
        <w:tblW w:w="14234" w:type="dxa"/>
        <w:jc w:val="center"/>
        <w:tblLook w:val="04A0"/>
      </w:tblPr>
      <w:tblGrid>
        <w:gridCol w:w="529"/>
        <w:gridCol w:w="4686"/>
        <w:gridCol w:w="1722"/>
        <w:gridCol w:w="1698"/>
        <w:gridCol w:w="1653"/>
        <w:gridCol w:w="1726"/>
        <w:gridCol w:w="2220"/>
      </w:tblGrid>
      <w:tr w:rsidR="00B37CAD" w:rsidRPr="00B26D47" w:rsidTr="0023340C">
        <w:trPr>
          <w:trHeight w:val="405"/>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rPr>
            </w:pPr>
            <w:r w:rsidRPr="00B26D47">
              <w:rPr>
                <w:rFonts w:asciiTheme="majorBidi" w:eastAsia="Times New Roman" w:hAnsiTheme="majorBidi" w:cstheme="majorBidi"/>
                <w:b/>
                <w:bCs/>
                <w:color w:val="FFFFFF"/>
              </w:rPr>
              <w:lastRenderedPageBreak/>
              <w:t>2.</w:t>
            </w:r>
            <w:r w:rsidRPr="00B26D47">
              <w:rPr>
                <w:rFonts w:asciiTheme="majorBidi" w:eastAsia="Times New Roman" w:hAnsiTheme="majorBidi" w:cstheme="majorBidi"/>
                <w:b/>
                <w:bCs/>
                <w:color w:val="FFFFFF"/>
                <w:sz w:val="14"/>
                <w:szCs w:val="14"/>
              </w:rPr>
              <w:t xml:space="preserve"> </w:t>
            </w:r>
            <w:r w:rsidRPr="00B26D47">
              <w:rPr>
                <w:rFonts w:asciiTheme="majorBidi" w:eastAsia="Times New Roman" w:hAnsiTheme="majorBidi" w:cstheme="majorBidi"/>
                <w:b/>
                <w:bCs/>
                <w:color w:val="FFFFFF"/>
              </w:rPr>
              <w:t>EARLY DEVELOPMENT AND PRESCHOOL EDUCATION</w:t>
            </w:r>
          </w:p>
        </w:tc>
      </w:tr>
      <w:tr w:rsidR="00B37CAD" w:rsidRPr="00B26D47" w:rsidTr="0023340C">
        <w:trPr>
          <w:trHeight w:val="656"/>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Overall goal: By 2030, ensure that all girls and boys have access to quality systems for the development, care and preschool education of young children, so that they are ready for primary education (SDG 4.2).</w:t>
            </w:r>
          </w:p>
        </w:tc>
      </w:tr>
      <w:tr w:rsidR="00B37CAD" w:rsidRPr="00B26D47" w:rsidTr="0023340C">
        <w:trPr>
          <w:trHeight w:val="467"/>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2.1 (Policy priority 1): All children are provided safe and equitable access to care, early development and early childhood education..</w:t>
            </w:r>
          </w:p>
        </w:tc>
      </w:tr>
      <w:tr w:rsidR="00B37CAD" w:rsidRPr="00B26D47" w:rsidTr="0023340C">
        <w:trPr>
          <w:trHeight w:val="629"/>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color w:val="000000"/>
              </w:rPr>
              <w:t xml:space="preserve">Intermediate outcome 2.1.1: </w:t>
            </w:r>
            <w:r w:rsidR="00320BE5" w:rsidRPr="00320BE5">
              <w:rPr>
                <w:rFonts w:asciiTheme="majorBidi" w:eastAsia="Times New Roman" w:hAnsiTheme="majorBidi" w:cstheme="majorBidi"/>
                <w:b/>
                <w:bCs/>
                <w:color w:val="000000"/>
              </w:rPr>
              <w:t>Increased coverage with quality and affordable preschool education services through the provision of new and existing facilities that meet regulatory and sanitary requirements</w:t>
            </w:r>
            <w:r w:rsidRPr="00B26D47">
              <w:rPr>
                <w:rFonts w:asciiTheme="majorBidi" w:eastAsia="Times New Roman" w:hAnsiTheme="majorBidi" w:cstheme="majorBidi"/>
                <w:b/>
                <w:bCs/>
                <w:color w:val="000000"/>
              </w:rPr>
              <w:t>.</w:t>
            </w:r>
          </w:p>
        </w:tc>
      </w:tr>
      <w:tr w:rsidR="00B37CAD" w:rsidRPr="00B26D47" w:rsidTr="0023340C">
        <w:trPr>
          <w:trHeight w:val="600"/>
          <w:jc w:val="center"/>
        </w:trPr>
        <w:tc>
          <w:tcPr>
            <w:tcW w:w="521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22"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698"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53"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26"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0"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9B3EE7" w:rsidRPr="00B26D47" w:rsidTr="009B3EE7">
        <w:trPr>
          <w:trHeight w:val="485"/>
          <w:jc w:val="center"/>
        </w:trPr>
        <w:tc>
          <w:tcPr>
            <w:tcW w:w="529"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5</w:t>
            </w:r>
          </w:p>
        </w:tc>
        <w:tc>
          <w:tcPr>
            <w:tcW w:w="4686" w:type="dxa"/>
            <w:tcBorders>
              <w:top w:val="single" w:sz="4" w:space="0" w:color="auto"/>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Coverage of children by state and non-state institutions of early development and preschool education of all types, including:</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20" w:type="dxa"/>
            <w:vMerge w:val="restart"/>
            <w:tcBorders>
              <w:top w:val="nil"/>
              <w:left w:val="single" w:sz="4" w:space="0" w:color="auto"/>
              <w:bottom w:val="single" w:sz="4" w:space="0" w:color="000000"/>
              <w:right w:val="single" w:sz="4" w:space="0" w:color="auto"/>
            </w:tcBorders>
            <w:shd w:val="clear" w:color="auto" w:fill="auto"/>
            <w:vAlign w:val="center"/>
            <w:hideMark/>
          </w:tcPr>
          <w:p w:rsidR="009B3EE7" w:rsidRDefault="009B3EE7"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Contributes to</w:t>
            </w:r>
          </w:p>
          <w:p w:rsidR="009B3EE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xml:space="preserve">SDG </w:t>
            </w:r>
            <w:r>
              <w:rPr>
                <w:rFonts w:asciiTheme="majorBidi" w:eastAsia="Times New Roman" w:hAnsiTheme="majorBidi" w:cstheme="majorBidi"/>
              </w:rPr>
              <w:t xml:space="preserve">Indicator </w:t>
            </w:r>
            <w:r w:rsidRPr="00B26D47">
              <w:rPr>
                <w:rFonts w:asciiTheme="majorBidi" w:eastAsia="Times New Roman" w:hAnsiTheme="majorBidi" w:cstheme="majorBidi"/>
              </w:rPr>
              <w:t>4.2.2</w:t>
            </w:r>
          </w:p>
          <w:p w:rsidR="009B3EE7" w:rsidRDefault="009B3EE7" w:rsidP="009B3EE7">
            <w:pPr>
              <w:spacing w:after="0" w:line="240" w:lineRule="auto"/>
              <w:jc w:val="center"/>
              <w:rPr>
                <w:rFonts w:asciiTheme="majorBidi" w:eastAsia="Times New Roman" w:hAnsiTheme="majorBidi" w:cstheme="majorBidi"/>
              </w:rPr>
            </w:pPr>
          </w:p>
          <w:p w:rsidR="009B3EE7" w:rsidRPr="00E14881" w:rsidRDefault="009B3EE7" w:rsidP="009B3EE7">
            <w:pPr>
              <w:spacing w:after="0" w:line="240" w:lineRule="auto"/>
              <w:jc w:val="center"/>
              <w:rPr>
                <w:rFonts w:asciiTheme="majorBidi" w:eastAsia="Times New Roman" w:hAnsiTheme="majorBidi" w:cstheme="majorBidi"/>
              </w:rPr>
            </w:pPr>
            <w:r w:rsidRPr="00E14881">
              <w:rPr>
                <w:rFonts w:asciiTheme="majorBidi" w:eastAsia="Times New Roman" w:hAnsiTheme="majorBidi" w:cstheme="majorBidi"/>
              </w:rPr>
              <w:t>Indicator was not previously monitored (at this level of disaggregation)</w:t>
            </w: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p>
        </w:tc>
        <w:tc>
          <w:tcPr>
            <w:tcW w:w="4686" w:type="dxa"/>
            <w:tcBorders>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1.5 - 3 </w:t>
            </w:r>
            <w:r w:rsidRPr="0046725D">
              <w:rPr>
                <w:rFonts w:asciiTheme="majorBidi" w:eastAsia="Times New Roman" w:hAnsiTheme="majorBidi" w:cstheme="majorBidi"/>
                <w:lang w:val="ru-RU"/>
              </w:rPr>
              <w:t>(</w:t>
            </w:r>
            <w:r w:rsidRPr="0046725D">
              <w:rPr>
                <w:rFonts w:asciiTheme="majorBidi" w:eastAsia="Times New Roman" w:hAnsiTheme="majorBidi" w:cstheme="majorBidi"/>
              </w:rPr>
              <w:t>all</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1.6%</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p>
        </w:tc>
        <w:tc>
          <w:tcPr>
            <w:tcW w:w="4686" w:type="dxa"/>
            <w:tcBorders>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1.5 - 3 </w:t>
            </w:r>
            <w:r w:rsidRPr="0046725D">
              <w:rPr>
                <w:rFonts w:asciiTheme="majorBidi" w:eastAsia="Times New Roman" w:hAnsiTheme="majorBidi" w:cstheme="majorBidi"/>
                <w:lang w:val="ru-RU"/>
              </w:rPr>
              <w:t>(</w:t>
            </w:r>
            <w:r w:rsidRPr="0046725D">
              <w:rPr>
                <w:rFonts w:asciiTheme="majorBidi" w:eastAsia="Times New Roman" w:hAnsiTheme="majorBidi" w:cstheme="majorBidi"/>
              </w:rPr>
              <w:t>boys</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1.7%</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p>
        </w:tc>
        <w:tc>
          <w:tcPr>
            <w:tcW w:w="4686" w:type="dxa"/>
            <w:tcBorders>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1.5 - 3 </w:t>
            </w:r>
            <w:r w:rsidRPr="0046725D">
              <w:rPr>
                <w:rFonts w:asciiTheme="majorBidi" w:eastAsia="Times New Roman" w:hAnsiTheme="majorBidi" w:cstheme="majorBidi"/>
                <w:lang w:val="ru-RU"/>
              </w:rPr>
              <w:t>(</w:t>
            </w:r>
            <w:r w:rsidRPr="0046725D">
              <w:rPr>
                <w:rFonts w:asciiTheme="majorBidi" w:eastAsia="Times New Roman" w:hAnsiTheme="majorBidi" w:cstheme="majorBidi"/>
              </w:rPr>
              <w:t>girls</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1.6%</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3 - 7(6) </w:t>
            </w:r>
            <w:r w:rsidRPr="0046725D">
              <w:rPr>
                <w:rFonts w:asciiTheme="majorBidi" w:eastAsia="Times New Roman" w:hAnsiTheme="majorBidi" w:cstheme="majorBidi"/>
                <w:lang w:val="ru-RU"/>
              </w:rPr>
              <w:t>(</w:t>
            </w:r>
            <w:r w:rsidRPr="0046725D">
              <w:rPr>
                <w:rFonts w:asciiTheme="majorBidi" w:eastAsia="Times New Roman" w:hAnsiTheme="majorBidi" w:cstheme="majorBidi"/>
              </w:rPr>
              <w:t>all</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8.3%</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hideMark/>
          </w:tcPr>
          <w:p w:rsidR="009B3EE7" w:rsidRPr="0046725D" w:rsidRDefault="009B3EE7" w:rsidP="009B3EE7">
            <w:pPr>
              <w:spacing w:after="0" w:line="240" w:lineRule="auto"/>
              <w:jc w:val="cente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3 - 7(6) </w:t>
            </w:r>
            <w:r w:rsidRPr="0046725D">
              <w:rPr>
                <w:rFonts w:asciiTheme="majorBidi" w:eastAsia="Times New Roman" w:hAnsiTheme="majorBidi" w:cstheme="majorBidi"/>
                <w:lang w:val="ru-RU"/>
              </w:rPr>
              <w:t>(</w:t>
            </w:r>
            <w:r w:rsidRPr="0046725D">
              <w:rPr>
                <w:rFonts w:asciiTheme="majorBidi" w:eastAsia="Times New Roman" w:hAnsiTheme="majorBidi" w:cstheme="majorBidi"/>
              </w:rPr>
              <w:t>boys</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8.8%</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hideMark/>
          </w:tcPr>
          <w:p w:rsidR="009B3EE7" w:rsidRPr="0046725D" w:rsidRDefault="009B3EE7" w:rsidP="009B3EE7">
            <w:pPr>
              <w:spacing w:after="0" w:line="240" w:lineRule="auto"/>
              <w:jc w:val="cente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3 - 7(6) </w:t>
            </w:r>
            <w:r w:rsidRPr="0046725D">
              <w:rPr>
                <w:rFonts w:asciiTheme="majorBidi" w:eastAsia="Times New Roman" w:hAnsiTheme="majorBidi" w:cstheme="majorBidi"/>
                <w:lang w:val="ru-RU"/>
              </w:rPr>
              <w:t>(</w:t>
            </w:r>
            <w:r w:rsidRPr="0046725D">
              <w:rPr>
                <w:rFonts w:asciiTheme="majorBidi" w:eastAsia="Times New Roman" w:hAnsiTheme="majorBidi" w:cstheme="majorBidi"/>
              </w:rPr>
              <w:t>girls</w:t>
            </w:r>
            <w:r w:rsidRPr="0046725D">
              <w:rPr>
                <w:rFonts w:asciiTheme="majorBidi" w:eastAsia="Times New Roman" w:hAnsiTheme="majorBidi" w:cstheme="majorBidi"/>
                <w:lang w:val="ru-RU"/>
              </w:rPr>
              <w:t>)</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7.8%</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hideMark/>
          </w:tcPr>
          <w:p w:rsidR="009B3EE7" w:rsidRPr="0046725D" w:rsidRDefault="009B3EE7" w:rsidP="009B3EE7">
            <w:pPr>
              <w:spacing w:after="0" w:line="240" w:lineRule="auto"/>
              <w:jc w:val="cente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6 (all)</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6 (boys)</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10.7%</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children aged 6 (girls)</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9.1%</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- 6-year-old children of national minorities</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17.3%</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28.0%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35.0%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85"/>
          <w:jc w:val="center"/>
        </w:trPr>
        <w:tc>
          <w:tcPr>
            <w:tcW w:w="529"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4686" w:type="dxa"/>
            <w:tcBorders>
              <w:top w:val="nil"/>
              <w:left w:val="single" w:sz="4" w:space="0" w:color="auto"/>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- 6-year-old children with disabilities.</w:t>
            </w:r>
          </w:p>
        </w:tc>
        <w:tc>
          <w:tcPr>
            <w:tcW w:w="1722"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0.42%</w:t>
            </w:r>
          </w:p>
        </w:tc>
        <w:tc>
          <w:tcPr>
            <w:tcW w:w="169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15.0%</w:t>
            </w:r>
          </w:p>
        </w:tc>
        <w:tc>
          <w:tcPr>
            <w:tcW w:w="1653"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30.0%</w:t>
            </w:r>
          </w:p>
        </w:tc>
        <w:tc>
          <w:tcPr>
            <w:tcW w:w="1726"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50.0%</w:t>
            </w:r>
          </w:p>
        </w:tc>
        <w:tc>
          <w:tcPr>
            <w:tcW w:w="2220"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rPr>
            </w:pPr>
          </w:p>
        </w:tc>
      </w:tr>
      <w:tr w:rsidR="009B3EE7" w:rsidRPr="00B26D47" w:rsidTr="009B3EE7">
        <w:trPr>
          <w:trHeight w:val="359"/>
          <w:jc w:val="center"/>
        </w:trPr>
        <w:tc>
          <w:tcPr>
            <w:tcW w:w="529" w:type="dxa"/>
            <w:vMerge w:val="restart"/>
            <w:tcBorders>
              <w:top w:val="nil"/>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6</w:t>
            </w:r>
          </w:p>
        </w:tc>
        <w:tc>
          <w:tcPr>
            <w:tcW w:w="4686" w:type="dxa"/>
            <w:tcBorders>
              <w:top w:val="single" w:sz="4" w:space="0" w:color="auto"/>
              <w:left w:val="single" w:sz="4" w:space="0" w:color="auto"/>
              <w:bottom w:val="nil"/>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Gender Parity Index (GPI) in early development and preschool educational institutions, including:</w:t>
            </w:r>
          </w:p>
        </w:tc>
        <w:tc>
          <w:tcPr>
            <w:tcW w:w="1722"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w:t>
            </w:r>
            <w:r w:rsidRPr="00B26D47">
              <w:rPr>
                <w:rFonts w:asciiTheme="majorBidi" w:eastAsia="Times New Roman" w:hAnsiTheme="majorBidi" w:cstheme="majorBidi"/>
              </w:rPr>
              <w:t>13</w:t>
            </w:r>
          </w:p>
        </w:tc>
        <w:tc>
          <w:tcPr>
            <w:tcW w:w="1698"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0.825</w:t>
            </w:r>
          </w:p>
        </w:tc>
        <w:tc>
          <w:tcPr>
            <w:tcW w:w="1653"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0.850</w:t>
            </w:r>
          </w:p>
        </w:tc>
        <w:tc>
          <w:tcPr>
            <w:tcW w:w="1726"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0.900</w:t>
            </w:r>
          </w:p>
        </w:tc>
        <w:tc>
          <w:tcPr>
            <w:tcW w:w="2220" w:type="dxa"/>
            <w:vMerge w:val="restart"/>
            <w:tcBorders>
              <w:top w:val="nil"/>
              <w:left w:val="nil"/>
              <w:right w:val="single" w:sz="4" w:space="0" w:color="auto"/>
            </w:tcBorders>
            <w:shd w:val="clear" w:color="auto" w:fill="auto"/>
            <w:vAlign w:val="center"/>
            <w:hideMark/>
          </w:tcPr>
          <w:p w:rsidR="009B3EE7" w:rsidRDefault="009B3EE7"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Contributes to</w:t>
            </w:r>
          </w:p>
          <w:p w:rsidR="009B3EE7" w:rsidRPr="00E14881" w:rsidRDefault="009B3EE7" w:rsidP="009B3EE7">
            <w:pPr>
              <w:spacing w:after="0" w:line="240" w:lineRule="auto"/>
              <w:jc w:val="center"/>
              <w:rPr>
                <w:rFonts w:asciiTheme="majorBidi" w:eastAsia="Times New Roman" w:hAnsiTheme="majorBidi" w:cstheme="majorBidi"/>
              </w:rPr>
            </w:pPr>
            <w:r w:rsidRPr="00E14881">
              <w:rPr>
                <w:rFonts w:asciiTheme="majorBidi" w:eastAsia="Times New Roman" w:hAnsiTheme="majorBidi" w:cstheme="majorBidi"/>
              </w:rPr>
              <w:t xml:space="preserve">SDG </w:t>
            </w:r>
            <w:r>
              <w:rPr>
                <w:rFonts w:asciiTheme="majorBidi" w:eastAsia="Times New Roman" w:hAnsiTheme="majorBidi" w:cstheme="majorBidi"/>
              </w:rPr>
              <w:t xml:space="preserve">Indicator </w:t>
            </w:r>
            <w:r w:rsidRPr="00E14881">
              <w:rPr>
                <w:rFonts w:asciiTheme="majorBidi" w:eastAsia="Times New Roman" w:hAnsiTheme="majorBidi" w:cstheme="majorBidi"/>
              </w:rPr>
              <w:t>4.5.1</w:t>
            </w:r>
          </w:p>
        </w:tc>
      </w:tr>
      <w:tr w:rsidR="009B3EE7" w:rsidRPr="00B26D47" w:rsidTr="009B3EE7">
        <w:trPr>
          <w:trHeight w:val="300"/>
          <w:jc w:val="center"/>
        </w:trPr>
        <w:tc>
          <w:tcPr>
            <w:tcW w:w="529" w:type="dxa"/>
            <w:vMerge/>
            <w:tcBorders>
              <w:top w:val="nil"/>
              <w:left w:val="single" w:sz="4" w:space="0" w:color="auto"/>
              <w:bottom w:val="single" w:sz="4" w:space="0" w:color="000000"/>
              <w:right w:val="nil"/>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c>
          <w:tcPr>
            <w:tcW w:w="4686" w:type="dxa"/>
            <w:tcBorders>
              <w:top w:val="nil"/>
              <w:left w:val="single" w:sz="4" w:space="0" w:color="auto"/>
              <w:bottom w:val="nil"/>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   - in rural areas</w:t>
            </w:r>
          </w:p>
        </w:tc>
        <w:tc>
          <w:tcPr>
            <w:tcW w:w="1722"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79</w:t>
            </w:r>
            <w:r w:rsidRPr="00B26D47">
              <w:rPr>
                <w:rFonts w:asciiTheme="majorBidi" w:eastAsia="Times New Roman" w:hAnsiTheme="majorBidi" w:cstheme="majorBidi"/>
              </w:rPr>
              <w:t>5</w:t>
            </w:r>
          </w:p>
        </w:tc>
        <w:tc>
          <w:tcPr>
            <w:tcW w:w="1698"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81</w:t>
            </w:r>
            <w:r w:rsidRPr="00B26D47">
              <w:rPr>
                <w:rFonts w:asciiTheme="majorBidi" w:eastAsia="Times New Roman" w:hAnsiTheme="majorBidi" w:cstheme="majorBidi"/>
              </w:rPr>
              <w:t>0</w:t>
            </w:r>
          </w:p>
        </w:tc>
        <w:tc>
          <w:tcPr>
            <w:tcW w:w="1653"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83</w:t>
            </w:r>
            <w:r w:rsidRPr="00B26D47">
              <w:rPr>
                <w:rFonts w:asciiTheme="majorBidi" w:eastAsia="Times New Roman" w:hAnsiTheme="majorBidi" w:cstheme="majorBidi"/>
              </w:rPr>
              <w:t>0</w:t>
            </w:r>
          </w:p>
        </w:tc>
        <w:tc>
          <w:tcPr>
            <w:tcW w:w="1726"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87</w:t>
            </w:r>
            <w:r w:rsidRPr="00B26D47">
              <w:rPr>
                <w:rFonts w:asciiTheme="majorBidi" w:eastAsia="Times New Roman" w:hAnsiTheme="majorBidi" w:cstheme="majorBidi"/>
              </w:rPr>
              <w:t>0</w:t>
            </w:r>
          </w:p>
        </w:tc>
        <w:tc>
          <w:tcPr>
            <w:tcW w:w="2220" w:type="dxa"/>
            <w:vMerge/>
            <w:tcBorders>
              <w:left w:val="nil"/>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color w:val="FF0000"/>
              </w:rPr>
            </w:pPr>
          </w:p>
        </w:tc>
      </w:tr>
      <w:tr w:rsidR="009B3EE7" w:rsidRPr="00B26D47" w:rsidTr="009B3EE7">
        <w:trPr>
          <w:trHeight w:val="89"/>
          <w:jc w:val="center"/>
        </w:trPr>
        <w:tc>
          <w:tcPr>
            <w:tcW w:w="529" w:type="dxa"/>
            <w:vMerge/>
            <w:tcBorders>
              <w:top w:val="nil"/>
              <w:left w:val="single" w:sz="4" w:space="0" w:color="auto"/>
              <w:bottom w:val="single" w:sz="4" w:space="0" w:color="000000"/>
              <w:right w:val="nil"/>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c>
          <w:tcPr>
            <w:tcW w:w="4686" w:type="dxa"/>
            <w:tcBorders>
              <w:top w:val="nil"/>
              <w:left w:val="single" w:sz="4" w:space="0" w:color="auto"/>
              <w:bottom w:val="single" w:sz="4" w:space="0" w:color="auto"/>
              <w:right w:val="single" w:sz="4" w:space="0" w:color="auto"/>
            </w:tcBorders>
            <w:shd w:val="clear" w:color="auto" w:fill="auto"/>
            <w:vAlign w:val="center"/>
            <w:hideMark/>
          </w:tcPr>
          <w:p w:rsidR="009B3EE7" w:rsidRPr="00330DD1" w:rsidRDefault="009B3EE7" w:rsidP="009B3EE7">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children with special needs and disabilities</w:t>
            </w:r>
          </w:p>
        </w:tc>
        <w:tc>
          <w:tcPr>
            <w:tcW w:w="1722"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83</w:t>
            </w:r>
            <w:r w:rsidRPr="00B26D47">
              <w:rPr>
                <w:rFonts w:asciiTheme="majorBidi" w:eastAsia="Times New Roman" w:hAnsiTheme="majorBidi" w:cstheme="majorBidi"/>
              </w:rPr>
              <w:t>1</w:t>
            </w:r>
          </w:p>
        </w:tc>
        <w:tc>
          <w:tcPr>
            <w:tcW w:w="1698"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84</w:t>
            </w:r>
            <w:r w:rsidRPr="00B26D47">
              <w:rPr>
                <w:rFonts w:asciiTheme="majorBidi" w:eastAsia="Times New Roman" w:hAnsiTheme="majorBidi" w:cstheme="majorBidi"/>
              </w:rPr>
              <w:t>0</w:t>
            </w:r>
          </w:p>
        </w:tc>
        <w:tc>
          <w:tcPr>
            <w:tcW w:w="1653"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86</w:t>
            </w:r>
            <w:r w:rsidRPr="00B26D47">
              <w:rPr>
                <w:rFonts w:asciiTheme="majorBidi" w:eastAsia="Times New Roman" w:hAnsiTheme="majorBidi" w:cstheme="majorBidi"/>
              </w:rPr>
              <w:t>0</w:t>
            </w:r>
          </w:p>
        </w:tc>
        <w:tc>
          <w:tcPr>
            <w:tcW w:w="1726" w:type="dxa"/>
            <w:tcBorders>
              <w:top w:val="nil"/>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90</w:t>
            </w:r>
            <w:r w:rsidRPr="00B26D47">
              <w:rPr>
                <w:rFonts w:asciiTheme="majorBidi" w:eastAsia="Times New Roman" w:hAnsiTheme="majorBidi" w:cstheme="majorBidi"/>
              </w:rPr>
              <w:t>0</w:t>
            </w:r>
          </w:p>
        </w:tc>
        <w:tc>
          <w:tcPr>
            <w:tcW w:w="2220" w:type="dxa"/>
            <w:vMerge/>
            <w:tcBorders>
              <w:left w:val="nil"/>
              <w:bottom w:val="single" w:sz="4" w:space="0" w:color="auto"/>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color w:val="FF0000"/>
              </w:rPr>
            </w:pPr>
          </w:p>
        </w:tc>
      </w:tr>
      <w:tr w:rsidR="00B37CAD" w:rsidRPr="00B26D47" w:rsidTr="007225A6">
        <w:trPr>
          <w:trHeight w:val="512"/>
          <w:jc w:val="center"/>
        </w:trPr>
        <w:tc>
          <w:tcPr>
            <w:tcW w:w="529"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B37CAD" w:rsidRPr="0046725D" w:rsidRDefault="009B3EE7"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w:t>
            </w:r>
          </w:p>
        </w:tc>
        <w:tc>
          <w:tcPr>
            <w:tcW w:w="4686" w:type="dxa"/>
            <w:tcBorders>
              <w:top w:val="single" w:sz="4" w:space="0" w:color="auto"/>
              <w:left w:val="single" w:sz="4" w:space="0" w:color="auto"/>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number of early development and preschool institutions, including:</w:t>
            </w:r>
          </w:p>
        </w:tc>
        <w:tc>
          <w:tcPr>
            <w:tcW w:w="1722"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w:t>
            </w:r>
            <w:r w:rsidR="001B5879" w:rsidRPr="0046725D">
              <w:rPr>
                <w:rFonts w:asciiTheme="majorBidi" w:eastAsia="Times New Roman" w:hAnsiTheme="majorBidi" w:cstheme="majorBidi"/>
              </w:rPr>
              <w:t>468</w:t>
            </w:r>
          </w:p>
        </w:tc>
        <w:tc>
          <w:tcPr>
            <w:tcW w:w="1698"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7A3DFD">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2,</w:t>
            </w:r>
            <w:r w:rsidR="007A3DFD" w:rsidRPr="0046725D">
              <w:rPr>
                <w:rFonts w:asciiTheme="majorBidi" w:eastAsia="Times New Roman" w:hAnsiTheme="majorBidi" w:cstheme="majorBidi"/>
              </w:rPr>
              <w:t>60</w:t>
            </w:r>
            <w:r w:rsidRPr="0046725D">
              <w:rPr>
                <w:rFonts w:asciiTheme="majorBidi" w:eastAsia="Times New Roman" w:hAnsiTheme="majorBidi" w:cstheme="majorBidi"/>
                <w:lang w:val="ru-RU"/>
              </w:rPr>
              <w:t>0</w:t>
            </w:r>
          </w:p>
        </w:tc>
        <w:tc>
          <w:tcPr>
            <w:tcW w:w="1653" w:type="dxa"/>
            <w:tcBorders>
              <w:top w:val="nil"/>
              <w:left w:val="nil"/>
              <w:bottom w:val="single" w:sz="4" w:space="0" w:color="auto"/>
              <w:right w:val="single" w:sz="4" w:space="0" w:color="auto"/>
            </w:tcBorders>
            <w:shd w:val="clear" w:color="auto" w:fill="auto"/>
            <w:vAlign w:val="center"/>
            <w:hideMark/>
          </w:tcPr>
          <w:p w:rsidR="00B37CAD" w:rsidRPr="0046725D" w:rsidRDefault="007A3DFD" w:rsidP="007A3DFD">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3</w:t>
            </w:r>
            <w:r w:rsidR="00B37CAD" w:rsidRPr="0046725D">
              <w:rPr>
                <w:rFonts w:asciiTheme="majorBidi" w:eastAsia="Times New Roman" w:hAnsiTheme="majorBidi" w:cstheme="majorBidi"/>
              </w:rPr>
              <w:t>,</w:t>
            </w:r>
            <w:r w:rsidRPr="0046725D">
              <w:rPr>
                <w:rFonts w:asciiTheme="majorBidi" w:eastAsia="Times New Roman" w:hAnsiTheme="majorBidi" w:cstheme="majorBidi"/>
              </w:rPr>
              <w:t>00</w:t>
            </w:r>
            <w:r w:rsidR="00B37CAD" w:rsidRPr="0046725D">
              <w:rPr>
                <w:rFonts w:asciiTheme="majorBidi" w:eastAsia="Times New Roman" w:hAnsiTheme="majorBidi" w:cstheme="majorBidi"/>
                <w:lang w:val="ru-RU"/>
              </w:rPr>
              <w:t>0</w:t>
            </w:r>
          </w:p>
        </w:tc>
        <w:tc>
          <w:tcPr>
            <w:tcW w:w="1726"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3,300</w:t>
            </w:r>
          </w:p>
        </w:tc>
        <w:tc>
          <w:tcPr>
            <w:tcW w:w="2220" w:type="dxa"/>
            <w:vMerge w:val="restart"/>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Expected growth rate is in line with growth rates of the past 5 years</w:t>
            </w:r>
          </w:p>
        </w:tc>
      </w:tr>
      <w:tr w:rsidR="00B37CAD" w:rsidRPr="00B26D47" w:rsidTr="007225A6">
        <w:trPr>
          <w:trHeight w:val="300"/>
          <w:jc w:val="center"/>
        </w:trPr>
        <w:tc>
          <w:tcPr>
            <w:tcW w:w="529" w:type="dxa"/>
            <w:vMerge/>
            <w:tcBorders>
              <w:top w:val="single" w:sz="4" w:space="0" w:color="auto"/>
              <w:left w:val="single" w:sz="4" w:space="0" w:color="auto"/>
              <w:bottom w:val="single" w:sz="4" w:space="0" w:color="000000"/>
              <w:right w:val="nil"/>
            </w:tcBorders>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w:t>
            </w:r>
            <w:r w:rsidR="00315A82" w:rsidRPr="0046725D">
              <w:rPr>
                <w:rFonts w:asciiTheme="majorBidi" w:eastAsia="Times New Roman" w:hAnsiTheme="majorBidi" w:cstheme="majorBidi"/>
              </w:rPr>
              <w:t>hild development centers (CDCs)</w:t>
            </w:r>
          </w:p>
        </w:tc>
        <w:tc>
          <w:tcPr>
            <w:tcW w:w="1722"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1,</w:t>
            </w:r>
            <w:r w:rsidR="001B5879" w:rsidRPr="0046725D">
              <w:rPr>
                <w:rFonts w:asciiTheme="majorBidi" w:eastAsia="Times New Roman" w:hAnsiTheme="majorBidi" w:cstheme="majorBidi"/>
              </w:rPr>
              <w:t>771</w:t>
            </w:r>
          </w:p>
        </w:tc>
        <w:tc>
          <w:tcPr>
            <w:tcW w:w="1698"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1,900</w:t>
            </w:r>
          </w:p>
        </w:tc>
        <w:tc>
          <w:tcPr>
            <w:tcW w:w="1653"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2,200</w:t>
            </w:r>
          </w:p>
        </w:tc>
        <w:tc>
          <w:tcPr>
            <w:tcW w:w="1726"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2,400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7225A6">
        <w:trPr>
          <w:trHeight w:val="85"/>
          <w:jc w:val="center"/>
        </w:trPr>
        <w:tc>
          <w:tcPr>
            <w:tcW w:w="529" w:type="dxa"/>
            <w:vMerge/>
            <w:tcBorders>
              <w:top w:val="single" w:sz="4" w:space="0" w:color="auto"/>
              <w:left w:val="single" w:sz="4" w:space="0" w:color="auto"/>
              <w:bottom w:val="single" w:sz="4" w:space="0" w:color="000000"/>
              <w:right w:val="nil"/>
            </w:tcBorders>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686" w:type="dxa"/>
            <w:tcBorders>
              <w:top w:val="nil"/>
              <w:left w:val="single" w:sz="4" w:space="0" w:color="auto"/>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state</w:t>
            </w:r>
            <w:r w:rsidR="003E7CCA" w:rsidRPr="0046725D">
              <w:rPr>
                <w:rFonts w:asciiTheme="majorBidi" w:eastAsia="Times New Roman" w:hAnsiTheme="majorBidi" w:cstheme="majorBidi"/>
              </w:rPr>
              <w:t>/private/ministerial</w:t>
            </w:r>
            <w:r w:rsidR="007A3DFD" w:rsidRPr="0046725D">
              <w:rPr>
                <w:rFonts w:asciiTheme="majorBidi" w:eastAsia="Times New Roman" w:hAnsiTheme="majorBidi" w:cstheme="majorBidi"/>
              </w:rPr>
              <w:t xml:space="preserve"> preschool institutions</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1B5879"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662</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7A3DF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70</w:t>
            </w:r>
            <w:r w:rsidR="00B37CAD" w:rsidRPr="0046725D">
              <w:rPr>
                <w:rFonts w:asciiTheme="majorBidi" w:eastAsia="Times New Roman" w:hAnsiTheme="majorBidi" w:cstheme="majorBidi"/>
                <w:lang w:val="ru-RU"/>
              </w:rPr>
              <w:t>0</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7A3DF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80</w:t>
            </w:r>
            <w:r w:rsidR="00B37CAD" w:rsidRPr="0046725D">
              <w:rPr>
                <w:rFonts w:asciiTheme="majorBidi" w:eastAsia="Times New Roman" w:hAnsiTheme="majorBidi" w:cstheme="majorBidi"/>
                <w:lang w:val="ru-RU"/>
              </w:rPr>
              <w:t>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900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D65332" w:rsidRPr="00B26D47" w:rsidTr="008E67EB">
        <w:trPr>
          <w:trHeight w:val="85"/>
          <w:jc w:val="center"/>
        </w:trPr>
        <w:tc>
          <w:tcPr>
            <w:tcW w:w="529" w:type="dxa"/>
            <w:vMerge w:val="restart"/>
            <w:tcBorders>
              <w:top w:val="nil"/>
              <w:left w:val="single" w:sz="4" w:space="0" w:color="auto"/>
              <w:right w:val="nil"/>
            </w:tcBorders>
            <w:shd w:val="clear" w:color="auto" w:fill="auto"/>
            <w:noWrap/>
            <w:vAlign w:val="center"/>
            <w:hideMark/>
          </w:tcPr>
          <w:p w:rsidR="00D65332" w:rsidRPr="0046725D" w:rsidRDefault="009B3EE7"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w:t>
            </w: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average number of children per 100 seats in preschool institutions, including:</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D65332">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105</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val="restart"/>
            <w:tcBorders>
              <w:top w:val="nil"/>
              <w:left w:val="single" w:sz="4" w:space="0" w:color="auto"/>
              <w:right w:val="single" w:sz="4" w:space="0" w:color="auto"/>
            </w:tcBorders>
            <w:shd w:val="clear" w:color="auto" w:fill="auto"/>
            <w:vAlign w:val="center"/>
            <w:hideMark/>
          </w:tcPr>
          <w:p w:rsidR="00D65332" w:rsidRPr="003818D1" w:rsidRDefault="00001105" w:rsidP="0023340C">
            <w:pPr>
              <w:spacing w:after="0" w:line="240" w:lineRule="auto"/>
              <w:jc w:val="center"/>
              <w:rPr>
                <w:rFonts w:asciiTheme="majorBidi" w:eastAsia="Times New Roman" w:hAnsiTheme="majorBidi" w:cstheme="majorBidi"/>
              </w:rPr>
            </w:pPr>
            <w:r w:rsidRPr="003818D1">
              <w:rPr>
                <w:rFonts w:asciiTheme="majorBidi" w:eastAsia="Times New Roman" w:hAnsiTheme="majorBidi" w:cstheme="majorBidi"/>
              </w:rPr>
              <w:t>--</w:t>
            </w:r>
          </w:p>
        </w:tc>
      </w:tr>
      <w:tr w:rsidR="00D65332" w:rsidRPr="00B26D47" w:rsidTr="008E67EB">
        <w:trPr>
          <w:trHeight w:val="85"/>
          <w:jc w:val="center"/>
        </w:trPr>
        <w:tc>
          <w:tcPr>
            <w:tcW w:w="529" w:type="dxa"/>
            <w:vMerge/>
            <w:tcBorders>
              <w:left w:val="single" w:sz="4" w:space="0" w:color="auto"/>
              <w:right w:val="nil"/>
            </w:tcBorders>
            <w:shd w:val="clear" w:color="auto" w:fill="auto"/>
            <w:noWrap/>
            <w:vAlign w:val="center"/>
            <w:hideMark/>
          </w:tcPr>
          <w:p w:rsidR="00D65332" w:rsidRPr="0046725D" w:rsidRDefault="00D65332" w:rsidP="0023340C">
            <w:pPr>
              <w:spacing w:after="0" w:line="240" w:lineRule="auto"/>
              <w:jc w:val="center"/>
              <w:rPr>
                <w:rFonts w:asciiTheme="majorBidi" w:eastAsia="Times New Roman" w:hAnsiTheme="majorBidi" w:cstheme="majorBidi"/>
              </w:rPr>
            </w:pP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GBAO</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114</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tcBorders>
              <w:left w:val="single" w:sz="4" w:space="0" w:color="auto"/>
              <w:right w:val="single" w:sz="4" w:space="0" w:color="auto"/>
            </w:tcBorders>
            <w:shd w:val="clear" w:color="auto" w:fill="auto"/>
            <w:vAlign w:val="center"/>
            <w:hideMark/>
          </w:tcPr>
          <w:p w:rsidR="00D65332" w:rsidRPr="00B26D47" w:rsidRDefault="00D65332" w:rsidP="0023340C">
            <w:pPr>
              <w:spacing w:after="0" w:line="240" w:lineRule="auto"/>
              <w:jc w:val="center"/>
              <w:rPr>
                <w:rFonts w:asciiTheme="majorBidi" w:eastAsia="Times New Roman" w:hAnsiTheme="majorBidi" w:cstheme="majorBidi"/>
                <w:color w:val="000000"/>
              </w:rPr>
            </w:pPr>
          </w:p>
        </w:tc>
      </w:tr>
      <w:tr w:rsidR="00D65332" w:rsidRPr="00B26D47" w:rsidTr="008E67EB">
        <w:trPr>
          <w:trHeight w:val="85"/>
          <w:jc w:val="center"/>
        </w:trPr>
        <w:tc>
          <w:tcPr>
            <w:tcW w:w="529" w:type="dxa"/>
            <w:vMerge/>
            <w:tcBorders>
              <w:left w:val="single" w:sz="4" w:space="0" w:color="auto"/>
              <w:right w:val="nil"/>
            </w:tcBorders>
            <w:shd w:val="clear" w:color="auto" w:fill="auto"/>
            <w:noWrap/>
            <w:vAlign w:val="center"/>
            <w:hideMark/>
          </w:tcPr>
          <w:p w:rsidR="00D65332" w:rsidRPr="0046725D" w:rsidRDefault="00D65332" w:rsidP="0023340C">
            <w:pPr>
              <w:spacing w:after="0" w:line="240" w:lineRule="auto"/>
              <w:jc w:val="center"/>
              <w:rPr>
                <w:rFonts w:asciiTheme="majorBidi" w:eastAsia="Times New Roman" w:hAnsiTheme="majorBidi" w:cstheme="majorBidi"/>
              </w:rPr>
            </w:pP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t>
            </w:r>
            <w:proofErr w:type="spellStart"/>
            <w:r w:rsidRPr="0046725D">
              <w:rPr>
                <w:rFonts w:asciiTheme="majorBidi" w:eastAsia="Times New Roman" w:hAnsiTheme="majorBidi" w:cstheme="majorBidi"/>
              </w:rPr>
              <w:t>Khatlon</w:t>
            </w:r>
            <w:proofErr w:type="spellEnd"/>
            <w:r w:rsidRPr="0046725D">
              <w:rPr>
                <w:rFonts w:asciiTheme="majorBidi" w:eastAsia="Times New Roman" w:hAnsiTheme="majorBidi" w:cstheme="majorBidi"/>
              </w:rPr>
              <w:t xml:space="preserve"> oblast</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91</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95</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tcBorders>
              <w:left w:val="single" w:sz="4" w:space="0" w:color="auto"/>
              <w:right w:val="single" w:sz="4" w:space="0" w:color="auto"/>
            </w:tcBorders>
            <w:shd w:val="clear" w:color="auto" w:fill="auto"/>
            <w:vAlign w:val="center"/>
            <w:hideMark/>
          </w:tcPr>
          <w:p w:rsidR="00D65332" w:rsidRPr="00B26D47" w:rsidRDefault="00D65332" w:rsidP="0023340C">
            <w:pPr>
              <w:spacing w:after="0" w:line="240" w:lineRule="auto"/>
              <w:jc w:val="center"/>
              <w:rPr>
                <w:rFonts w:asciiTheme="majorBidi" w:eastAsia="Times New Roman" w:hAnsiTheme="majorBidi" w:cstheme="majorBidi"/>
                <w:color w:val="000000"/>
              </w:rPr>
            </w:pPr>
          </w:p>
        </w:tc>
      </w:tr>
      <w:tr w:rsidR="00D65332" w:rsidRPr="00B26D47" w:rsidTr="008E67EB">
        <w:trPr>
          <w:trHeight w:val="85"/>
          <w:jc w:val="center"/>
        </w:trPr>
        <w:tc>
          <w:tcPr>
            <w:tcW w:w="529" w:type="dxa"/>
            <w:vMerge/>
            <w:tcBorders>
              <w:left w:val="single" w:sz="4" w:space="0" w:color="auto"/>
              <w:right w:val="nil"/>
            </w:tcBorders>
            <w:shd w:val="clear" w:color="auto" w:fill="auto"/>
            <w:noWrap/>
            <w:vAlign w:val="center"/>
            <w:hideMark/>
          </w:tcPr>
          <w:p w:rsidR="00D65332" w:rsidRPr="0046725D" w:rsidRDefault="00D65332" w:rsidP="0023340C">
            <w:pPr>
              <w:spacing w:after="0" w:line="240" w:lineRule="auto"/>
              <w:jc w:val="center"/>
              <w:rPr>
                <w:rFonts w:asciiTheme="majorBidi" w:eastAsia="Times New Roman" w:hAnsiTheme="majorBidi" w:cstheme="majorBidi"/>
              </w:rPr>
            </w:pP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t>
            </w:r>
            <w:proofErr w:type="spellStart"/>
            <w:r w:rsidRPr="0046725D">
              <w:rPr>
                <w:rFonts w:asciiTheme="majorBidi" w:eastAsia="Times New Roman" w:hAnsiTheme="majorBidi" w:cstheme="majorBidi"/>
              </w:rPr>
              <w:t>Soghd</w:t>
            </w:r>
            <w:proofErr w:type="spellEnd"/>
            <w:r w:rsidRPr="0046725D">
              <w:rPr>
                <w:rFonts w:asciiTheme="majorBidi" w:eastAsia="Times New Roman" w:hAnsiTheme="majorBidi" w:cstheme="majorBidi"/>
              </w:rPr>
              <w:t xml:space="preserve"> oblast</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105</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tcBorders>
              <w:left w:val="single" w:sz="4" w:space="0" w:color="auto"/>
              <w:right w:val="single" w:sz="4" w:space="0" w:color="auto"/>
            </w:tcBorders>
            <w:shd w:val="clear" w:color="auto" w:fill="auto"/>
            <w:vAlign w:val="center"/>
            <w:hideMark/>
          </w:tcPr>
          <w:p w:rsidR="00D65332" w:rsidRPr="00B26D47" w:rsidRDefault="00D65332" w:rsidP="0023340C">
            <w:pPr>
              <w:spacing w:after="0" w:line="240" w:lineRule="auto"/>
              <w:jc w:val="center"/>
              <w:rPr>
                <w:rFonts w:asciiTheme="majorBidi" w:eastAsia="Times New Roman" w:hAnsiTheme="majorBidi" w:cstheme="majorBidi"/>
                <w:color w:val="000000"/>
              </w:rPr>
            </w:pPr>
          </w:p>
        </w:tc>
      </w:tr>
      <w:tr w:rsidR="00D65332" w:rsidRPr="00B26D47" w:rsidTr="008E67EB">
        <w:trPr>
          <w:trHeight w:val="85"/>
          <w:jc w:val="center"/>
        </w:trPr>
        <w:tc>
          <w:tcPr>
            <w:tcW w:w="529" w:type="dxa"/>
            <w:vMerge/>
            <w:tcBorders>
              <w:left w:val="single" w:sz="4" w:space="0" w:color="auto"/>
              <w:right w:val="nil"/>
            </w:tcBorders>
            <w:shd w:val="clear" w:color="auto" w:fill="auto"/>
            <w:noWrap/>
            <w:vAlign w:val="center"/>
            <w:hideMark/>
          </w:tcPr>
          <w:p w:rsidR="00D65332" w:rsidRPr="0046725D" w:rsidRDefault="00D65332" w:rsidP="0023340C">
            <w:pPr>
              <w:spacing w:after="0" w:line="240" w:lineRule="auto"/>
              <w:jc w:val="center"/>
              <w:rPr>
                <w:rFonts w:asciiTheme="majorBidi" w:eastAsia="Times New Roman" w:hAnsiTheme="majorBidi" w:cstheme="majorBidi"/>
              </w:rPr>
            </w:pP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Dushanbe</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101</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105</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D65332">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tcBorders>
              <w:left w:val="single" w:sz="4" w:space="0" w:color="auto"/>
              <w:right w:val="single" w:sz="4" w:space="0" w:color="auto"/>
            </w:tcBorders>
            <w:shd w:val="clear" w:color="auto" w:fill="auto"/>
            <w:vAlign w:val="center"/>
            <w:hideMark/>
          </w:tcPr>
          <w:p w:rsidR="00D65332" w:rsidRPr="00B26D47" w:rsidRDefault="00D65332" w:rsidP="0023340C">
            <w:pPr>
              <w:spacing w:after="0" w:line="240" w:lineRule="auto"/>
              <w:jc w:val="center"/>
              <w:rPr>
                <w:rFonts w:asciiTheme="majorBidi" w:eastAsia="Times New Roman" w:hAnsiTheme="majorBidi" w:cstheme="majorBidi"/>
                <w:color w:val="000000"/>
              </w:rPr>
            </w:pPr>
          </w:p>
        </w:tc>
      </w:tr>
      <w:tr w:rsidR="00D65332" w:rsidRPr="00B26D47" w:rsidTr="008E67EB">
        <w:trPr>
          <w:trHeight w:val="85"/>
          <w:jc w:val="center"/>
        </w:trPr>
        <w:tc>
          <w:tcPr>
            <w:tcW w:w="529" w:type="dxa"/>
            <w:vMerge/>
            <w:tcBorders>
              <w:left w:val="single" w:sz="4" w:space="0" w:color="auto"/>
              <w:bottom w:val="single" w:sz="4" w:space="0" w:color="auto"/>
              <w:right w:val="nil"/>
            </w:tcBorders>
            <w:shd w:val="clear" w:color="auto" w:fill="auto"/>
            <w:noWrap/>
            <w:vAlign w:val="center"/>
            <w:hideMark/>
          </w:tcPr>
          <w:p w:rsidR="00D65332" w:rsidRPr="0046725D" w:rsidRDefault="00D65332" w:rsidP="0023340C">
            <w:pPr>
              <w:spacing w:after="0" w:line="240" w:lineRule="auto"/>
              <w:jc w:val="center"/>
              <w:rPr>
                <w:rFonts w:asciiTheme="majorBidi" w:eastAsia="Times New Roman" w:hAnsiTheme="majorBidi" w:cstheme="majorBidi"/>
              </w:rPr>
            </w:pP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DRS</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103</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105</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110</w:t>
            </w:r>
          </w:p>
        </w:tc>
        <w:tc>
          <w:tcPr>
            <w:tcW w:w="2220" w:type="dxa"/>
            <w:vMerge/>
            <w:tcBorders>
              <w:left w:val="single" w:sz="4" w:space="0" w:color="auto"/>
              <w:bottom w:val="single" w:sz="4" w:space="0" w:color="000000"/>
              <w:right w:val="single" w:sz="4" w:space="0" w:color="auto"/>
            </w:tcBorders>
            <w:shd w:val="clear" w:color="auto" w:fill="auto"/>
            <w:vAlign w:val="center"/>
            <w:hideMark/>
          </w:tcPr>
          <w:p w:rsidR="00D65332" w:rsidRPr="00B26D47" w:rsidRDefault="00D65332" w:rsidP="0023340C">
            <w:pPr>
              <w:spacing w:after="0" w:line="240" w:lineRule="auto"/>
              <w:jc w:val="center"/>
              <w:rPr>
                <w:rFonts w:asciiTheme="majorBidi" w:eastAsia="Times New Roman" w:hAnsiTheme="majorBidi" w:cstheme="majorBidi"/>
                <w:color w:val="000000"/>
              </w:rPr>
            </w:pPr>
          </w:p>
        </w:tc>
      </w:tr>
      <w:tr w:rsidR="00D65332" w:rsidRPr="00B26D47" w:rsidTr="007225A6">
        <w:trPr>
          <w:trHeight w:val="85"/>
          <w:jc w:val="center"/>
        </w:trPr>
        <w:tc>
          <w:tcPr>
            <w:tcW w:w="529" w:type="dxa"/>
            <w:tcBorders>
              <w:top w:val="nil"/>
              <w:left w:val="single" w:sz="4" w:space="0" w:color="auto"/>
              <w:bottom w:val="single" w:sz="4" w:space="0" w:color="auto"/>
              <w:right w:val="nil"/>
            </w:tcBorders>
            <w:shd w:val="clear" w:color="auto" w:fill="auto"/>
            <w:noWrap/>
            <w:vAlign w:val="center"/>
            <w:hideMark/>
          </w:tcPr>
          <w:p w:rsidR="00D65332" w:rsidRPr="0046725D" w:rsidRDefault="009B3EE7"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9</w:t>
            </w:r>
          </w:p>
        </w:tc>
        <w:tc>
          <w:tcPr>
            <w:tcW w:w="468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D65332" w:rsidRPr="0046725D" w:rsidRDefault="00D65332" w:rsidP="008E67EB">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new preschool institutions and preschool institutions which completed capital repairs (in % of all preschool institutions):</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8E67EB">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No data</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8E67EB">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8E67EB">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35</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D65332" w:rsidRPr="0046725D" w:rsidRDefault="00D65332" w:rsidP="008E67EB">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40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220" w:type="dxa"/>
            <w:tcBorders>
              <w:top w:val="nil"/>
              <w:left w:val="single" w:sz="4" w:space="0" w:color="auto"/>
              <w:bottom w:val="single" w:sz="4" w:space="0" w:color="000000"/>
              <w:right w:val="single" w:sz="4" w:space="0" w:color="auto"/>
            </w:tcBorders>
            <w:shd w:val="clear" w:color="auto" w:fill="auto"/>
            <w:vAlign w:val="center"/>
            <w:hideMark/>
          </w:tcPr>
          <w:p w:rsidR="00D65332" w:rsidRPr="00B26D47" w:rsidRDefault="0046725D" w:rsidP="008E67EB">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Fulfillment</w:t>
            </w:r>
            <w:r w:rsidR="00D65332" w:rsidRPr="00B26D47">
              <w:rPr>
                <w:rFonts w:asciiTheme="majorBidi" w:eastAsia="Times New Roman" w:hAnsiTheme="majorBidi" w:cstheme="majorBidi"/>
                <w:color w:val="000000"/>
              </w:rPr>
              <w:t xml:space="preserve"> of targets is conditional on financing</w:t>
            </w:r>
          </w:p>
        </w:tc>
      </w:tr>
      <w:tr w:rsidR="00B37CAD" w:rsidRPr="00B26D47" w:rsidTr="00ED14DE">
        <w:trPr>
          <w:trHeight w:val="224"/>
          <w:jc w:val="center"/>
        </w:trPr>
        <w:tc>
          <w:tcPr>
            <w:tcW w:w="529"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rPr>
            </w:pPr>
            <w:r>
              <w:rPr>
                <w:rFonts w:asciiTheme="majorBidi" w:eastAsia="Times New Roman" w:hAnsiTheme="majorBidi" w:cstheme="majorBidi"/>
              </w:rPr>
              <w:t>10</w:t>
            </w:r>
          </w:p>
        </w:tc>
        <w:tc>
          <w:tcPr>
            <w:tcW w:w="4686" w:type="dxa"/>
            <w:tcBorders>
              <w:top w:val="single" w:sz="4" w:space="0" w:color="auto"/>
              <w:left w:val="single" w:sz="4" w:space="0" w:color="auto"/>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Share of preschool institutions (in %), which are provided with:</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653"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26" w:type="dxa"/>
            <w:tcBorders>
              <w:top w:val="single" w:sz="4" w:space="0" w:color="auto"/>
              <w:left w:val="nil"/>
              <w:bottom w:val="single" w:sz="4" w:space="0" w:color="auto"/>
              <w:right w:val="nil"/>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222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Fulfilment of targets is strongly conditional on availability of financing</w:t>
            </w:r>
          </w:p>
        </w:tc>
      </w:tr>
      <w:tr w:rsidR="00B37CAD" w:rsidRPr="00B26D47" w:rsidTr="00ED14DE">
        <w:trPr>
          <w:trHeight w:val="85"/>
          <w:jc w:val="center"/>
        </w:trPr>
        <w:tc>
          <w:tcPr>
            <w:tcW w:w="529" w:type="dxa"/>
            <w:vMerge/>
            <w:tcBorders>
              <w:top w:val="nil"/>
              <w:left w:val="single" w:sz="4" w:space="0" w:color="auto"/>
              <w:bottom w:val="single" w:sz="4" w:space="0" w:color="000000"/>
              <w:right w:val="nil"/>
            </w:tcBorders>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B37CAD" w:rsidRPr="0046725D" w:rsidRDefault="00315A8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electricity</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99</w:t>
            </w:r>
            <w:r w:rsidRPr="0046725D">
              <w:rPr>
                <w:rFonts w:asciiTheme="majorBidi" w:eastAsia="Times New Roman" w:hAnsiTheme="majorBidi" w:cstheme="majorBidi"/>
              </w:rPr>
              <w:t>.</w:t>
            </w:r>
            <w:r w:rsidRPr="0046725D">
              <w:rPr>
                <w:rFonts w:asciiTheme="majorBidi" w:eastAsia="Times New Roman" w:hAnsiTheme="majorBidi" w:cstheme="majorBidi"/>
                <w:lang w:val="ru-RU"/>
              </w:rPr>
              <w:t>3%</w:t>
            </w:r>
          </w:p>
        </w:tc>
        <w:tc>
          <w:tcPr>
            <w:tcW w:w="1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99</w:t>
            </w:r>
            <w:r w:rsidRPr="0046725D">
              <w:rPr>
                <w:rFonts w:asciiTheme="majorBidi" w:eastAsia="Times New Roman" w:hAnsiTheme="majorBidi" w:cstheme="majorBidi"/>
              </w:rPr>
              <w:t>.</w:t>
            </w:r>
            <w:r w:rsidRPr="0046725D">
              <w:rPr>
                <w:rFonts w:asciiTheme="majorBidi" w:eastAsia="Times New Roman" w:hAnsiTheme="majorBidi" w:cstheme="majorBidi"/>
                <w:lang w:val="ru-RU"/>
              </w:rPr>
              <w:t>6%</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99</w:t>
            </w:r>
            <w:r w:rsidRPr="0046725D">
              <w:rPr>
                <w:rFonts w:asciiTheme="majorBidi" w:eastAsia="Times New Roman" w:hAnsiTheme="majorBidi" w:cstheme="majorBidi"/>
              </w:rPr>
              <w:t>.</w:t>
            </w:r>
            <w:r w:rsidRPr="0046725D">
              <w:rPr>
                <w:rFonts w:asciiTheme="majorBidi" w:eastAsia="Times New Roman" w:hAnsiTheme="majorBidi" w:cstheme="majorBidi"/>
                <w:lang w:val="ru-RU"/>
              </w:rPr>
              <w:t>9%</w:t>
            </w:r>
          </w:p>
        </w:tc>
        <w:tc>
          <w:tcPr>
            <w:tcW w:w="1726" w:type="dxa"/>
            <w:tcBorders>
              <w:top w:val="single" w:sz="4" w:space="0" w:color="auto"/>
              <w:left w:val="single" w:sz="4" w:space="0" w:color="auto"/>
              <w:bottom w:val="single" w:sz="4" w:space="0" w:color="auto"/>
              <w:right w:val="nil"/>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ED14DE">
        <w:trPr>
          <w:trHeight w:val="206"/>
          <w:jc w:val="center"/>
        </w:trPr>
        <w:tc>
          <w:tcPr>
            <w:tcW w:w="529" w:type="dxa"/>
            <w:vMerge/>
            <w:tcBorders>
              <w:top w:val="nil"/>
              <w:left w:val="single" w:sz="4" w:space="0" w:color="auto"/>
              <w:bottom w:val="single" w:sz="4" w:space="0" w:color="000000"/>
              <w:right w:val="nil"/>
            </w:tcBorders>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B37CAD" w:rsidRPr="0046725D" w:rsidRDefault="00B37CAD" w:rsidP="007A3DFD">
            <w:pPr>
              <w:spacing w:after="0" w:line="240" w:lineRule="auto"/>
              <w:ind w:left="270" w:hanging="270"/>
              <w:rPr>
                <w:rFonts w:asciiTheme="majorBidi" w:eastAsia="Times New Roman" w:hAnsiTheme="majorBidi" w:cstheme="majorBidi"/>
              </w:rPr>
            </w:pPr>
            <w:r w:rsidRPr="0046725D">
              <w:rPr>
                <w:rFonts w:asciiTheme="majorBidi" w:eastAsia="Times New Roman" w:hAnsiTheme="majorBidi" w:cstheme="majorBidi"/>
              </w:rPr>
              <w:t xml:space="preserve">   - adapted infrastructure and </w:t>
            </w:r>
            <w:r w:rsidR="004119F5">
              <w:rPr>
                <w:rFonts w:asciiTheme="majorBidi" w:eastAsia="Times New Roman" w:hAnsiTheme="majorBidi" w:cstheme="majorBidi"/>
              </w:rPr>
              <w:t xml:space="preserve">adapted </w:t>
            </w:r>
            <w:r w:rsidRPr="0046725D">
              <w:rPr>
                <w:rFonts w:asciiTheme="majorBidi" w:eastAsia="Times New Roman" w:hAnsiTheme="majorBidi" w:cstheme="majorBidi"/>
              </w:rPr>
              <w:t>materials for children with disabilities</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No data</w:t>
            </w:r>
          </w:p>
        </w:tc>
        <w:tc>
          <w:tcPr>
            <w:tcW w:w="1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40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726" w:type="dxa"/>
            <w:tcBorders>
              <w:top w:val="single" w:sz="4" w:space="0" w:color="auto"/>
              <w:left w:val="single" w:sz="4" w:space="0" w:color="auto"/>
              <w:bottom w:val="single" w:sz="4" w:space="0" w:color="auto"/>
              <w:right w:val="nil"/>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50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ED14DE">
        <w:trPr>
          <w:trHeight w:val="85"/>
          <w:jc w:val="center"/>
        </w:trPr>
        <w:tc>
          <w:tcPr>
            <w:tcW w:w="529" w:type="dxa"/>
            <w:vMerge/>
            <w:tcBorders>
              <w:top w:val="nil"/>
              <w:left w:val="single" w:sz="4" w:space="0" w:color="auto"/>
              <w:bottom w:val="single" w:sz="4" w:space="0" w:color="000000"/>
              <w:right w:val="nil"/>
            </w:tcBorders>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686" w:type="dxa"/>
            <w:tcBorders>
              <w:top w:val="nil"/>
              <w:left w:val="single" w:sz="4" w:space="0" w:color="auto"/>
              <w:bottom w:val="nil"/>
              <w:right w:val="single" w:sz="4" w:space="0" w:color="auto"/>
            </w:tcBorders>
            <w:shd w:val="clear" w:color="auto" w:fill="auto"/>
            <w:vAlign w:val="center"/>
            <w:hideMark/>
          </w:tcPr>
          <w:p w:rsidR="00B37CAD" w:rsidRPr="0046725D" w:rsidRDefault="00B37CAD" w:rsidP="004119F5">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t>
            </w:r>
            <w:r w:rsidR="00315A82" w:rsidRPr="0046725D">
              <w:rPr>
                <w:rFonts w:asciiTheme="majorBidi" w:eastAsia="Times New Roman" w:hAnsiTheme="majorBidi" w:cstheme="majorBidi"/>
              </w:rPr>
              <w:t xml:space="preserve">basic </w:t>
            </w:r>
            <w:r w:rsidR="004119F5">
              <w:rPr>
                <w:rFonts w:asciiTheme="majorBidi" w:eastAsia="Times New Roman" w:hAnsiTheme="majorBidi" w:cstheme="majorBidi"/>
              </w:rPr>
              <w:t>d</w:t>
            </w:r>
            <w:r w:rsidR="00315A82" w:rsidRPr="0046725D">
              <w:rPr>
                <w:rFonts w:asciiTheme="majorBidi" w:eastAsia="Times New Roman" w:hAnsiTheme="majorBidi" w:cstheme="majorBidi"/>
              </w:rPr>
              <w:t>rinking water</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86</w:t>
            </w:r>
            <w:r w:rsidRPr="0046725D">
              <w:rPr>
                <w:rFonts w:asciiTheme="majorBidi" w:eastAsia="Times New Roman" w:hAnsiTheme="majorBidi" w:cstheme="majorBidi"/>
              </w:rPr>
              <w:t>.</w:t>
            </w:r>
            <w:r w:rsidRPr="0046725D">
              <w:rPr>
                <w:rFonts w:asciiTheme="majorBidi" w:eastAsia="Times New Roman" w:hAnsiTheme="majorBidi" w:cstheme="majorBidi"/>
                <w:lang w:val="ru-RU"/>
              </w:rPr>
              <w:t>5%</w:t>
            </w:r>
          </w:p>
        </w:tc>
        <w:tc>
          <w:tcPr>
            <w:tcW w:w="1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95</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1726" w:type="dxa"/>
            <w:tcBorders>
              <w:top w:val="single" w:sz="4" w:space="0" w:color="auto"/>
              <w:left w:val="single" w:sz="4" w:space="0" w:color="auto"/>
              <w:bottom w:val="single" w:sz="4" w:space="0" w:color="auto"/>
              <w:right w:val="nil"/>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ED14DE">
        <w:trPr>
          <w:trHeight w:val="85"/>
          <w:jc w:val="center"/>
        </w:trPr>
        <w:tc>
          <w:tcPr>
            <w:tcW w:w="529" w:type="dxa"/>
            <w:vMerge/>
            <w:tcBorders>
              <w:top w:val="nil"/>
              <w:left w:val="single" w:sz="4" w:space="0" w:color="auto"/>
              <w:bottom w:val="single" w:sz="4" w:space="0" w:color="000000"/>
              <w:right w:val="nil"/>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c>
          <w:tcPr>
            <w:tcW w:w="4686" w:type="dxa"/>
            <w:tcBorders>
              <w:top w:val="nil"/>
              <w:left w:val="single" w:sz="4" w:space="0" w:color="auto"/>
              <w:bottom w:val="nil"/>
              <w:right w:val="single" w:sz="4" w:space="0" w:color="auto"/>
            </w:tcBorders>
            <w:shd w:val="clear" w:color="auto" w:fill="auto"/>
            <w:vAlign w:val="center"/>
            <w:hideMark/>
          </w:tcPr>
          <w:p w:rsidR="00B37CAD" w:rsidRPr="00B26D47" w:rsidRDefault="00315A82" w:rsidP="004119F5">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   - </w:t>
            </w:r>
            <w:r w:rsidR="004119F5">
              <w:rPr>
                <w:rFonts w:asciiTheme="majorBidi" w:eastAsia="Times New Roman" w:hAnsiTheme="majorBidi" w:cstheme="majorBidi"/>
                <w:color w:val="000000"/>
              </w:rPr>
              <w:t>single-sex basic sanitation facilities</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84</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26" w:type="dxa"/>
            <w:tcBorders>
              <w:top w:val="single" w:sz="4" w:space="0" w:color="auto"/>
              <w:left w:val="single" w:sz="4" w:space="0" w:color="auto"/>
              <w:bottom w:val="single" w:sz="4" w:space="0" w:color="auto"/>
              <w:right w:val="nil"/>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ED14DE">
        <w:trPr>
          <w:trHeight w:val="85"/>
          <w:jc w:val="center"/>
        </w:trPr>
        <w:tc>
          <w:tcPr>
            <w:tcW w:w="529" w:type="dxa"/>
            <w:vMerge/>
            <w:tcBorders>
              <w:top w:val="nil"/>
              <w:left w:val="single" w:sz="4" w:space="0" w:color="auto"/>
              <w:bottom w:val="single" w:sz="4" w:space="0" w:color="000000"/>
              <w:right w:val="nil"/>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c>
          <w:tcPr>
            <w:tcW w:w="4686" w:type="dxa"/>
            <w:tcBorders>
              <w:top w:val="nil"/>
              <w:left w:val="single" w:sz="4" w:space="0" w:color="auto"/>
              <w:bottom w:val="single" w:sz="4" w:space="0" w:color="auto"/>
              <w:right w:val="single" w:sz="4" w:space="0" w:color="auto"/>
            </w:tcBorders>
            <w:shd w:val="clear" w:color="auto" w:fill="auto"/>
            <w:vAlign w:val="center"/>
            <w:hideMark/>
          </w:tcPr>
          <w:p w:rsidR="00B37CAD" w:rsidRPr="00B26D47" w:rsidRDefault="00315A82" w:rsidP="004119F5">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 xml:space="preserve">   - basic </w:t>
            </w:r>
            <w:proofErr w:type="spellStart"/>
            <w:r>
              <w:rPr>
                <w:rFonts w:asciiTheme="majorBidi" w:eastAsia="Times New Roman" w:hAnsiTheme="majorBidi" w:cstheme="majorBidi"/>
                <w:color w:val="000000"/>
              </w:rPr>
              <w:t>handwash</w:t>
            </w:r>
            <w:r w:rsidR="004119F5">
              <w:rPr>
                <w:rFonts w:asciiTheme="majorBidi" w:eastAsia="Times New Roman" w:hAnsiTheme="majorBidi" w:cstheme="majorBidi"/>
                <w:color w:val="000000"/>
              </w:rPr>
              <w:t>ing</w:t>
            </w:r>
            <w:proofErr w:type="spellEnd"/>
            <w:r>
              <w:rPr>
                <w:rFonts w:asciiTheme="majorBidi" w:eastAsia="Times New Roman" w:hAnsiTheme="majorBidi" w:cstheme="majorBidi"/>
                <w:color w:val="000000"/>
              </w:rPr>
              <w:t xml:space="preserve"> </w:t>
            </w:r>
            <w:r w:rsidR="004119F5">
              <w:rPr>
                <w:rFonts w:asciiTheme="majorBidi" w:eastAsia="Times New Roman" w:hAnsiTheme="majorBidi" w:cstheme="majorBidi"/>
                <w:color w:val="000000"/>
              </w:rPr>
              <w:t>facilities</w:t>
            </w:r>
          </w:p>
        </w:tc>
        <w:tc>
          <w:tcPr>
            <w:tcW w:w="1722"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65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26" w:type="dxa"/>
            <w:tcBorders>
              <w:top w:val="single" w:sz="4" w:space="0" w:color="auto"/>
              <w:left w:val="single" w:sz="4" w:space="0" w:color="auto"/>
              <w:bottom w:val="single" w:sz="4" w:space="0" w:color="auto"/>
              <w:right w:val="nil"/>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220" w:type="dxa"/>
            <w:vMerge/>
            <w:tcBorders>
              <w:top w:val="nil"/>
              <w:left w:val="single" w:sz="4" w:space="0" w:color="auto"/>
              <w:bottom w:val="single" w:sz="4" w:space="0" w:color="000000"/>
              <w:right w:val="single" w:sz="4" w:space="0" w:color="auto"/>
            </w:tcBorders>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23340C">
        <w:trPr>
          <w:trHeight w:val="638"/>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color w:val="000000"/>
              </w:rPr>
              <w:t xml:space="preserve">Intermediate outcome 2.1.2: </w:t>
            </w:r>
            <w:r w:rsidR="00320BE5" w:rsidRPr="00320BE5">
              <w:rPr>
                <w:rFonts w:asciiTheme="majorBidi" w:eastAsia="Times New Roman" w:hAnsiTheme="majorBidi" w:cstheme="majorBidi"/>
                <w:b/>
                <w:bCs/>
                <w:color w:val="000000"/>
              </w:rPr>
              <w:t xml:space="preserve">A socially safe and supportive environment </w:t>
            </w:r>
            <w:r w:rsidRPr="00B26D47">
              <w:rPr>
                <w:rFonts w:asciiTheme="majorBidi" w:eastAsia="Times New Roman" w:hAnsiTheme="majorBidi" w:cstheme="majorBidi"/>
                <w:b/>
                <w:bCs/>
                <w:color w:val="000000"/>
              </w:rPr>
              <w:t>is</w:t>
            </w:r>
            <w:r w:rsidR="00320BE5" w:rsidRPr="00320BE5">
              <w:rPr>
                <w:rFonts w:asciiTheme="majorBidi" w:eastAsia="Times New Roman" w:hAnsiTheme="majorBidi" w:cstheme="majorBidi"/>
                <w:b/>
                <w:bCs/>
                <w:color w:val="000000"/>
              </w:rPr>
              <w:t xml:space="preserve"> created to increase the coverage of all children with early development and early childhood education.</w:t>
            </w:r>
          </w:p>
        </w:tc>
      </w:tr>
      <w:tr w:rsidR="00B37CAD" w:rsidRPr="00B26D47" w:rsidTr="0023340C">
        <w:trPr>
          <w:trHeight w:val="600"/>
          <w:jc w:val="center"/>
        </w:trPr>
        <w:tc>
          <w:tcPr>
            <w:tcW w:w="521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22"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698"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53"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26"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0"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7225A6">
        <w:trPr>
          <w:trHeight w:val="1331"/>
          <w:jc w:val="center"/>
        </w:trPr>
        <w:tc>
          <w:tcPr>
            <w:tcW w:w="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rPr>
            </w:pPr>
            <w:r>
              <w:rPr>
                <w:rFonts w:asciiTheme="majorBidi" w:eastAsia="Times New Roman" w:hAnsiTheme="majorBidi" w:cstheme="majorBidi"/>
              </w:rPr>
              <w:t>11</w:t>
            </w:r>
          </w:p>
        </w:tc>
        <w:tc>
          <w:tcPr>
            <w:tcW w:w="4686" w:type="dxa"/>
            <w:tcBorders>
              <w:top w:val="single" w:sz="4" w:space="0" w:color="auto"/>
              <w:left w:val="nil"/>
              <w:bottom w:val="single" w:sz="4" w:space="0" w:color="auto"/>
              <w:right w:val="single" w:sz="4" w:space="0" w:color="auto"/>
            </w:tcBorders>
            <w:shd w:val="clear" w:color="auto" w:fill="auto"/>
            <w:vAlign w:val="bottom"/>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The presence </w:t>
            </w:r>
            <w:r w:rsidR="00467639" w:rsidRPr="0046725D">
              <w:rPr>
                <w:rFonts w:asciiTheme="majorBidi" w:eastAsia="Times New Roman" w:hAnsiTheme="majorBidi" w:cstheme="majorBidi"/>
              </w:rPr>
              <w:t xml:space="preserve">and enforcement </w:t>
            </w:r>
            <w:r w:rsidRPr="0046725D">
              <w:rPr>
                <w:rFonts w:asciiTheme="majorBidi" w:eastAsia="Times New Roman" w:hAnsiTheme="majorBidi" w:cstheme="majorBidi"/>
              </w:rPr>
              <w:t>of an updated and inclusive regulatory framework with regards to children's protection and safety, quality standards and physical infrastructure for all types of preschool institutions</w:t>
            </w:r>
            <w:r w:rsidR="00467639" w:rsidRPr="0046725D">
              <w:rPr>
                <w:rFonts w:asciiTheme="majorBidi" w:eastAsia="Times New Roman" w:hAnsiTheme="majorBidi" w:cstheme="majorBidi"/>
              </w:rPr>
              <w:t xml:space="preserve"> and all children</w:t>
            </w:r>
            <w:r w:rsidRPr="0046725D">
              <w:rPr>
                <w:rFonts w:asciiTheme="majorBidi" w:eastAsia="Times New Roman" w:hAnsiTheme="majorBidi" w:cstheme="majorBidi"/>
              </w:rPr>
              <w:t>.</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The legislative framework and regulation does not exist</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framework has been developed</w:t>
            </w:r>
          </w:p>
        </w:tc>
        <w:tc>
          <w:tcPr>
            <w:tcW w:w="1653"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Preschool institutions operate on the basis of new regulatory framework</w:t>
            </w:r>
          </w:p>
        </w:tc>
        <w:tc>
          <w:tcPr>
            <w:tcW w:w="1726"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Preschool institutions operate on the basis of new regulatory framework</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r>
      <w:tr w:rsidR="00B37CAD" w:rsidRPr="00B26D47" w:rsidTr="007225A6">
        <w:trPr>
          <w:trHeight w:val="701"/>
          <w:jc w:val="center"/>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rPr>
            </w:pPr>
            <w:r>
              <w:rPr>
                <w:rFonts w:asciiTheme="majorBidi" w:eastAsia="Times New Roman" w:hAnsiTheme="majorBidi" w:cstheme="majorBidi"/>
              </w:rPr>
              <w:t>12</w:t>
            </w:r>
          </w:p>
        </w:tc>
        <w:tc>
          <w:tcPr>
            <w:tcW w:w="4686" w:type="dxa"/>
            <w:tcBorders>
              <w:top w:val="nil"/>
              <w:left w:val="nil"/>
              <w:bottom w:val="single" w:sz="4" w:space="0" w:color="auto"/>
              <w:right w:val="single" w:sz="4" w:space="0" w:color="auto"/>
            </w:tcBorders>
            <w:shd w:val="clear" w:color="auto" w:fill="auto"/>
            <w:vAlign w:val="center"/>
            <w:hideMark/>
          </w:tcPr>
          <w:p w:rsidR="00B37CAD" w:rsidRPr="0046725D" w:rsidRDefault="00320BE5"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The presence of </w:t>
            </w:r>
            <w:r w:rsidR="003E7CCA" w:rsidRPr="0046725D">
              <w:rPr>
                <w:rFonts w:asciiTheme="majorBidi" w:eastAsia="Times New Roman" w:hAnsiTheme="majorBidi" w:cstheme="majorBidi"/>
              </w:rPr>
              <w:t xml:space="preserve">national standards </w:t>
            </w:r>
            <w:r w:rsidRPr="0046725D">
              <w:rPr>
                <w:rFonts w:asciiTheme="majorBidi" w:eastAsia="Times New Roman" w:hAnsiTheme="majorBidi" w:cstheme="majorBidi"/>
              </w:rPr>
              <w:t>on the construction of new types of preschool institutions</w:t>
            </w:r>
            <w:r w:rsidR="00467639" w:rsidRPr="0046725D">
              <w:rPr>
                <w:rFonts w:asciiTheme="majorBidi" w:eastAsia="Times New Roman" w:hAnsiTheme="majorBidi" w:cstheme="majorBidi"/>
              </w:rPr>
              <w:t xml:space="preserve"> (i.e. construction standards)</w:t>
            </w:r>
            <w:r w:rsidRPr="0046725D">
              <w:rPr>
                <w:rFonts w:asciiTheme="majorBidi" w:eastAsia="Times New Roman" w:hAnsiTheme="majorBidi" w:cstheme="majorBidi"/>
              </w:rPr>
              <w:t>.</w:t>
            </w:r>
          </w:p>
        </w:tc>
        <w:tc>
          <w:tcPr>
            <w:tcW w:w="1722"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Outdated documents used (1987 and 1988)</w:t>
            </w:r>
          </w:p>
        </w:tc>
        <w:tc>
          <w:tcPr>
            <w:tcW w:w="1698"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Construction </w:t>
            </w:r>
            <w:r w:rsidR="003E7CCA" w:rsidRPr="0046725D">
              <w:rPr>
                <w:rFonts w:asciiTheme="majorBidi" w:eastAsia="Times New Roman" w:hAnsiTheme="majorBidi" w:cstheme="majorBidi"/>
              </w:rPr>
              <w:t>standards</w:t>
            </w:r>
            <w:r w:rsidRPr="0046725D">
              <w:rPr>
                <w:rFonts w:asciiTheme="majorBidi" w:eastAsia="Times New Roman" w:hAnsiTheme="majorBidi" w:cstheme="majorBidi"/>
              </w:rPr>
              <w:t xml:space="preserve"> are developed for all types of preschool institutions</w:t>
            </w:r>
          </w:p>
        </w:tc>
        <w:tc>
          <w:tcPr>
            <w:tcW w:w="1653" w:type="dxa"/>
            <w:tcBorders>
              <w:top w:val="nil"/>
              <w:left w:val="nil"/>
              <w:bottom w:val="single" w:sz="4" w:space="0" w:color="auto"/>
              <w:right w:val="single" w:sz="4" w:space="0" w:color="auto"/>
            </w:tcBorders>
            <w:shd w:val="clear" w:color="auto" w:fill="auto"/>
            <w:noWrap/>
            <w:vAlign w:val="center"/>
            <w:hideMark/>
          </w:tcPr>
          <w:p w:rsidR="00B37CAD" w:rsidRPr="0046725D" w:rsidRDefault="00B37CAD" w:rsidP="007A3DFD">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Construction is undertaken on the basis of new </w:t>
            </w:r>
            <w:r w:rsidR="007A3DFD" w:rsidRPr="0046725D">
              <w:rPr>
                <w:rFonts w:asciiTheme="majorBidi" w:eastAsia="Times New Roman" w:hAnsiTheme="majorBidi" w:cstheme="majorBidi"/>
              </w:rPr>
              <w:t>standards</w:t>
            </w:r>
          </w:p>
        </w:tc>
        <w:tc>
          <w:tcPr>
            <w:tcW w:w="1726" w:type="dxa"/>
            <w:tcBorders>
              <w:top w:val="nil"/>
              <w:left w:val="nil"/>
              <w:bottom w:val="single" w:sz="4" w:space="0" w:color="auto"/>
              <w:right w:val="single" w:sz="4" w:space="0" w:color="auto"/>
            </w:tcBorders>
            <w:shd w:val="clear" w:color="auto" w:fill="auto"/>
            <w:noWrap/>
            <w:vAlign w:val="center"/>
            <w:hideMark/>
          </w:tcPr>
          <w:p w:rsidR="00B37CAD" w:rsidRPr="0046725D" w:rsidRDefault="00B37CAD" w:rsidP="007A3DFD">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Construction is undertaken on the basis of new </w:t>
            </w:r>
            <w:r w:rsidR="007A3DFD" w:rsidRPr="0046725D">
              <w:rPr>
                <w:rFonts w:asciiTheme="majorBidi" w:eastAsia="Times New Roman" w:hAnsiTheme="majorBidi" w:cstheme="majorBidi"/>
              </w:rPr>
              <w:t>standards</w:t>
            </w:r>
          </w:p>
        </w:tc>
        <w:tc>
          <w:tcPr>
            <w:tcW w:w="2220" w:type="dxa"/>
            <w:tcBorders>
              <w:top w:val="nil"/>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B37CAD" w:rsidRPr="00B26D47" w:rsidTr="0023340C">
        <w:trPr>
          <w:trHeight w:val="512"/>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 xml:space="preserve">Long-term outcome 2.2 (Policy priority 2): </w:t>
            </w:r>
            <w:r w:rsidR="00320BE5" w:rsidRPr="00320BE5">
              <w:rPr>
                <w:rFonts w:asciiTheme="majorBidi" w:eastAsia="Times New Roman" w:hAnsiTheme="majorBidi" w:cstheme="majorBidi"/>
                <w:b/>
                <w:bCs/>
                <w:color w:val="FFFFFF" w:themeColor="background1"/>
              </w:rPr>
              <w:t>Guaranteed quality inclusive early development and preschool education for all children</w:t>
            </w:r>
            <w:r w:rsidRPr="00B26D47">
              <w:rPr>
                <w:rFonts w:asciiTheme="majorBidi" w:eastAsia="Times New Roman" w:hAnsiTheme="majorBidi" w:cstheme="majorBidi"/>
                <w:b/>
                <w:bCs/>
                <w:color w:val="FFFFFF" w:themeColor="background1"/>
              </w:rPr>
              <w:t>.</w:t>
            </w:r>
          </w:p>
        </w:tc>
      </w:tr>
      <w:tr w:rsidR="00B37CAD" w:rsidRPr="00B26D47" w:rsidTr="0023340C">
        <w:trPr>
          <w:trHeight w:val="710"/>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 xml:space="preserve">Intermediate outcome 2.2.1: </w:t>
            </w:r>
            <w:r w:rsidR="00320BE5" w:rsidRPr="00320BE5">
              <w:rPr>
                <w:rFonts w:asciiTheme="majorBidi" w:eastAsia="Times New Roman" w:hAnsiTheme="majorBidi" w:cstheme="majorBidi"/>
                <w:b/>
                <w:bCs/>
              </w:rPr>
              <w:t>The professional competencies of specialists in early development and preschool education (of all forms of ownership) have been improved in accordance with modern requirements for the development and education of young children</w:t>
            </w:r>
            <w:r w:rsidRPr="00B26D47">
              <w:rPr>
                <w:rFonts w:asciiTheme="majorBidi" w:eastAsia="Times New Roman" w:hAnsiTheme="majorBidi" w:cstheme="majorBidi"/>
                <w:b/>
                <w:bCs/>
              </w:rPr>
              <w:t>.</w:t>
            </w:r>
          </w:p>
        </w:tc>
      </w:tr>
      <w:tr w:rsidR="00B37CAD" w:rsidRPr="00B26D47" w:rsidTr="0023340C">
        <w:trPr>
          <w:trHeight w:val="600"/>
          <w:jc w:val="center"/>
        </w:trPr>
        <w:tc>
          <w:tcPr>
            <w:tcW w:w="521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22"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698"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53"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26"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0"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CF4453">
        <w:trPr>
          <w:trHeight w:val="170"/>
          <w:jc w:val="center"/>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rPr>
            </w:pPr>
            <w:r>
              <w:rPr>
                <w:rFonts w:asciiTheme="majorBidi" w:eastAsia="Times New Roman" w:hAnsiTheme="majorBidi" w:cstheme="majorBidi"/>
              </w:rPr>
              <w:t>13</w:t>
            </w:r>
          </w:p>
        </w:tc>
        <w:tc>
          <w:tcPr>
            <w:tcW w:w="4686" w:type="dxa"/>
            <w:tcBorders>
              <w:top w:val="nil"/>
              <w:left w:val="nil"/>
              <w:bottom w:val="single" w:sz="4" w:space="0" w:color="auto"/>
              <w:right w:val="single" w:sz="4" w:space="0" w:color="auto"/>
            </w:tcBorders>
            <w:shd w:val="clear" w:color="auto" w:fill="auto"/>
            <w:vAlign w:val="bottom"/>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share of early development and education specialists who have completed professional development (training and re-training) courses</w:t>
            </w:r>
            <w:r w:rsidR="00320BE5" w:rsidRPr="00320BE5">
              <w:rPr>
                <w:rFonts w:asciiTheme="majorBidi" w:eastAsia="Times New Roman" w:hAnsiTheme="majorBidi" w:cstheme="majorBidi"/>
              </w:rPr>
              <w:t xml:space="preserve"> (</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w:t>
            </w:r>
            <w:r w:rsidR="00C02AD4">
              <w:rPr>
                <w:rFonts w:asciiTheme="majorBidi" w:eastAsia="Times New Roman" w:hAnsiTheme="majorBidi" w:cstheme="majorBidi"/>
              </w:rPr>
              <w:t xml:space="preserve"> of all teachers/specialists</w:t>
            </w:r>
            <w:r w:rsidR="00320BE5" w:rsidRPr="00320BE5">
              <w:rPr>
                <w:rFonts w:asciiTheme="majorBidi" w:eastAsia="Times New Roman" w:hAnsiTheme="majorBidi" w:cstheme="majorBidi"/>
              </w:rPr>
              <w:t>)</w:t>
            </w:r>
            <w:r w:rsidRPr="00B26D47">
              <w:rPr>
                <w:rFonts w:asciiTheme="majorBidi" w:eastAsia="Times New Roman" w:hAnsiTheme="majorBidi" w:cstheme="majorBidi"/>
              </w:rPr>
              <w:t>.</w:t>
            </w:r>
          </w:p>
        </w:tc>
        <w:tc>
          <w:tcPr>
            <w:tcW w:w="1722"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70.8%</w:t>
            </w:r>
          </w:p>
        </w:tc>
        <w:tc>
          <w:tcPr>
            <w:tcW w:w="169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75.0%</w:t>
            </w:r>
          </w:p>
        </w:tc>
        <w:tc>
          <w:tcPr>
            <w:tcW w:w="1653"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1726"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20" w:type="dxa"/>
            <w:tcBorders>
              <w:top w:val="nil"/>
              <w:left w:val="nil"/>
              <w:bottom w:val="single" w:sz="4" w:space="0" w:color="auto"/>
              <w:right w:val="single" w:sz="4" w:space="0" w:color="auto"/>
            </w:tcBorders>
            <w:shd w:val="clear" w:color="auto" w:fill="auto"/>
            <w:noWrap/>
            <w:vAlign w:val="center"/>
            <w:hideMark/>
          </w:tcPr>
          <w:p w:rsidR="006714FD" w:rsidRPr="006714FD" w:rsidRDefault="006714FD" w:rsidP="006714FD">
            <w:pPr>
              <w:spacing w:after="0" w:line="240" w:lineRule="auto"/>
              <w:jc w:val="center"/>
              <w:rPr>
                <w:rFonts w:asciiTheme="majorBidi" w:eastAsia="Times New Roman" w:hAnsiTheme="majorBidi" w:cstheme="majorBidi"/>
              </w:rPr>
            </w:pPr>
            <w:r w:rsidRPr="006714FD">
              <w:rPr>
                <w:rFonts w:asciiTheme="majorBidi" w:eastAsia="Times New Roman" w:hAnsiTheme="majorBidi" w:cstheme="majorBidi"/>
              </w:rPr>
              <w:t>Contributes to</w:t>
            </w:r>
          </w:p>
          <w:p w:rsidR="00B37CAD" w:rsidRPr="006714FD" w:rsidRDefault="006714FD" w:rsidP="006714FD">
            <w:pPr>
              <w:spacing w:after="0" w:line="240" w:lineRule="auto"/>
              <w:jc w:val="center"/>
              <w:rPr>
                <w:rFonts w:asciiTheme="majorBidi" w:eastAsia="Times New Roman" w:hAnsiTheme="majorBidi" w:cstheme="majorBidi"/>
              </w:rPr>
            </w:pPr>
            <w:r w:rsidRPr="006714FD">
              <w:rPr>
                <w:rFonts w:asciiTheme="majorBidi" w:eastAsia="Times New Roman" w:hAnsiTheme="majorBidi" w:cstheme="majorBidi"/>
              </w:rPr>
              <w:t>SDG Indicator 4.c.1</w:t>
            </w:r>
          </w:p>
        </w:tc>
      </w:tr>
      <w:tr w:rsidR="00B37CAD" w:rsidRPr="00B26D47" w:rsidTr="007225A6">
        <w:trPr>
          <w:trHeight w:val="1052"/>
          <w:jc w:val="center"/>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rPr>
            </w:pPr>
            <w:r>
              <w:rPr>
                <w:rFonts w:asciiTheme="majorBidi" w:eastAsia="Times New Roman" w:hAnsiTheme="majorBidi" w:cstheme="majorBidi"/>
              </w:rPr>
              <w:t>14</w:t>
            </w:r>
          </w:p>
        </w:tc>
        <w:tc>
          <w:tcPr>
            <w:tcW w:w="4686" w:type="dxa"/>
            <w:tcBorders>
              <w:top w:val="nil"/>
              <w:left w:val="nil"/>
              <w:bottom w:val="single" w:sz="4" w:space="0" w:color="auto"/>
              <w:right w:val="single" w:sz="4" w:space="0" w:color="auto"/>
            </w:tcBorders>
            <w:shd w:val="clear" w:color="auto" w:fill="auto"/>
            <w:vAlign w:val="bottom"/>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The share of preschool institutions of all types and forms of ownership using the competency framework for specialists in the area of early development and preschool education </w:t>
            </w:r>
            <w:r w:rsidR="00320BE5" w:rsidRPr="00320BE5">
              <w:rPr>
                <w:rFonts w:asciiTheme="majorBidi" w:eastAsia="Times New Roman" w:hAnsiTheme="majorBidi" w:cstheme="majorBidi"/>
              </w:rPr>
              <w:t>(</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w:t>
            </w:r>
            <w:r w:rsidRPr="00B26D47">
              <w:rPr>
                <w:rFonts w:asciiTheme="majorBidi" w:eastAsia="Times New Roman" w:hAnsiTheme="majorBidi" w:cstheme="majorBidi"/>
              </w:rPr>
              <w:t>.</w:t>
            </w:r>
          </w:p>
        </w:tc>
        <w:tc>
          <w:tcPr>
            <w:tcW w:w="1722"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169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1653"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1726"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20"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Including private early learning and preschool institutions</w:t>
            </w:r>
          </w:p>
        </w:tc>
      </w:tr>
      <w:tr w:rsidR="00B37CAD" w:rsidRPr="00B26D47" w:rsidTr="0023340C">
        <w:trPr>
          <w:trHeight w:val="525"/>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Intermediate outcome 2.2.2: Improved e</w:t>
            </w:r>
            <w:r w:rsidR="00320BE5" w:rsidRPr="00320BE5">
              <w:rPr>
                <w:rFonts w:asciiTheme="majorBidi" w:eastAsia="Times New Roman" w:hAnsiTheme="majorBidi" w:cstheme="majorBidi"/>
                <w:b/>
                <w:bCs/>
              </w:rPr>
              <w:t>arly development and preschool education curricula</w:t>
            </w:r>
            <w:r w:rsidRPr="00B26D47">
              <w:rPr>
                <w:rFonts w:asciiTheme="majorBidi" w:eastAsia="Times New Roman" w:hAnsiTheme="majorBidi" w:cstheme="majorBidi"/>
                <w:b/>
                <w:bCs/>
              </w:rPr>
              <w:t>.</w:t>
            </w:r>
          </w:p>
        </w:tc>
      </w:tr>
      <w:tr w:rsidR="00B37CAD" w:rsidRPr="00B26D47" w:rsidTr="0023340C">
        <w:trPr>
          <w:trHeight w:val="600"/>
          <w:jc w:val="center"/>
        </w:trPr>
        <w:tc>
          <w:tcPr>
            <w:tcW w:w="521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22"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698"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53"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26"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0"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46725D">
        <w:trPr>
          <w:trHeight w:val="85"/>
          <w:jc w:val="center"/>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15</w:t>
            </w:r>
          </w:p>
        </w:tc>
        <w:tc>
          <w:tcPr>
            <w:tcW w:w="4686" w:type="dxa"/>
            <w:tcBorders>
              <w:top w:val="nil"/>
              <w:left w:val="nil"/>
              <w:bottom w:val="single" w:sz="4" w:space="0" w:color="auto"/>
              <w:right w:val="single" w:sz="4" w:space="0" w:color="auto"/>
            </w:tcBorders>
            <w:shd w:val="clear" w:color="auto" w:fill="auto"/>
            <w:vAlign w:val="bottom"/>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number of programs for early development and preschool education</w:t>
            </w:r>
            <w:r w:rsidR="00BB19A4">
              <w:rPr>
                <w:rFonts w:asciiTheme="majorBidi" w:eastAsia="Times New Roman" w:hAnsiTheme="majorBidi" w:cstheme="majorBidi"/>
              </w:rPr>
              <w:t xml:space="preserve"> for all children</w:t>
            </w:r>
            <w:r w:rsidRPr="00B26D47">
              <w:rPr>
                <w:rFonts w:asciiTheme="majorBidi" w:eastAsia="Times New Roman" w:hAnsiTheme="majorBidi" w:cstheme="majorBidi"/>
              </w:rPr>
              <w:t xml:space="preserve"> approved by the Board of the Ministry of Education and Science of the Republic of Tajikistan</w:t>
            </w:r>
            <w:r w:rsidR="00320BE5" w:rsidRPr="00320BE5">
              <w:rPr>
                <w:rFonts w:asciiTheme="majorBidi" w:eastAsia="Times New Roman" w:hAnsiTheme="majorBidi" w:cstheme="majorBidi"/>
              </w:rPr>
              <w:t>.</w:t>
            </w:r>
          </w:p>
        </w:tc>
        <w:tc>
          <w:tcPr>
            <w:tcW w:w="1722"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w:t>
            </w:r>
          </w:p>
        </w:tc>
        <w:tc>
          <w:tcPr>
            <w:tcW w:w="169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p>
        </w:tc>
        <w:tc>
          <w:tcPr>
            <w:tcW w:w="1653"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p>
        </w:tc>
        <w:tc>
          <w:tcPr>
            <w:tcW w:w="1726"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p>
        </w:tc>
        <w:tc>
          <w:tcPr>
            <w:tcW w:w="2220"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23340C">
        <w:trPr>
          <w:trHeight w:val="690"/>
          <w:jc w:val="center"/>
        </w:trPr>
        <w:tc>
          <w:tcPr>
            <w:tcW w:w="1423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2.2.3: </w:t>
            </w:r>
            <w:r w:rsidR="00320BE5" w:rsidRPr="00320BE5">
              <w:rPr>
                <w:rFonts w:asciiTheme="majorBidi" w:eastAsia="Times New Roman" w:hAnsiTheme="majorBidi" w:cstheme="majorBidi"/>
                <w:b/>
                <w:bCs/>
                <w:color w:val="000000"/>
              </w:rPr>
              <w:t xml:space="preserve">An effective system and an institutional mechanism </w:t>
            </w:r>
            <w:r w:rsidRPr="00B26D47">
              <w:rPr>
                <w:rFonts w:asciiTheme="majorBidi" w:eastAsia="Times New Roman" w:hAnsiTheme="majorBidi" w:cstheme="majorBidi"/>
                <w:b/>
                <w:bCs/>
                <w:color w:val="000000"/>
              </w:rPr>
              <w:t xml:space="preserve">is introduced </w:t>
            </w:r>
            <w:r w:rsidR="00320BE5" w:rsidRPr="00320BE5">
              <w:rPr>
                <w:rFonts w:asciiTheme="majorBidi" w:eastAsia="Times New Roman" w:hAnsiTheme="majorBidi" w:cstheme="majorBidi"/>
                <w:b/>
                <w:bCs/>
                <w:color w:val="000000"/>
              </w:rPr>
              <w:t>for quality assessment of knowledge in all preschool educational institutions</w:t>
            </w:r>
            <w:r w:rsidRPr="00B26D47">
              <w:rPr>
                <w:rFonts w:asciiTheme="majorBidi" w:eastAsia="Times New Roman" w:hAnsiTheme="majorBidi" w:cstheme="majorBidi"/>
                <w:b/>
                <w:bCs/>
                <w:color w:val="000000"/>
              </w:rPr>
              <w:t>.</w:t>
            </w:r>
          </w:p>
        </w:tc>
      </w:tr>
      <w:tr w:rsidR="00B37CAD" w:rsidRPr="00B26D47" w:rsidTr="0023340C">
        <w:trPr>
          <w:trHeight w:val="600"/>
          <w:jc w:val="center"/>
        </w:trPr>
        <w:tc>
          <w:tcPr>
            <w:tcW w:w="521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22"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698"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653"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26"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0"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9B3EE7">
        <w:trPr>
          <w:trHeight w:val="260"/>
          <w:jc w:val="center"/>
        </w:trPr>
        <w:tc>
          <w:tcPr>
            <w:tcW w:w="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16</w:t>
            </w:r>
          </w:p>
        </w:tc>
        <w:tc>
          <w:tcPr>
            <w:tcW w:w="4686" w:type="dxa"/>
            <w:tcBorders>
              <w:top w:val="single" w:sz="4" w:space="0" w:color="auto"/>
              <w:left w:val="nil"/>
              <w:bottom w:val="single" w:sz="4" w:space="0" w:color="auto"/>
              <w:right w:val="single" w:sz="4" w:space="0" w:color="auto"/>
            </w:tcBorders>
            <w:shd w:val="clear" w:color="auto" w:fill="auto"/>
            <w:vAlign w:val="center"/>
            <w:hideMark/>
          </w:tcPr>
          <w:p w:rsidR="00B37CAD" w:rsidRPr="009B3EE7" w:rsidRDefault="009B3EE7" w:rsidP="009B3EE7">
            <w:pPr>
              <w:spacing w:after="0" w:line="240" w:lineRule="auto"/>
              <w:rPr>
                <w:rFonts w:asciiTheme="majorBidi" w:eastAsia="Times New Roman" w:hAnsiTheme="majorBidi" w:cstheme="majorBidi"/>
              </w:rPr>
            </w:pPr>
            <w:r w:rsidRPr="009B3EE7">
              <w:rPr>
                <w:rFonts w:asciiTheme="majorBidi" w:eastAsia="Times New Roman" w:hAnsiTheme="majorBidi" w:cstheme="majorBidi"/>
              </w:rPr>
              <w:t>Pr</w:t>
            </w:r>
            <w:r>
              <w:rPr>
                <w:rFonts w:asciiTheme="majorBidi" w:eastAsia="Times New Roman" w:hAnsiTheme="majorBidi" w:cstheme="majorBidi"/>
              </w:rPr>
              <w:t xml:space="preserve">esence and implementation of a tool </w:t>
            </w:r>
            <w:r w:rsidRPr="009B3EE7">
              <w:rPr>
                <w:rFonts w:asciiTheme="majorBidi" w:eastAsia="Times New Roman" w:hAnsiTheme="majorBidi" w:cstheme="majorBidi"/>
              </w:rPr>
              <w:t>for monitoring and evaluation of the quality of educational services.</w:t>
            </w:r>
          </w:p>
        </w:tc>
        <w:tc>
          <w:tcPr>
            <w:tcW w:w="1722"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9B3EE7"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Tool does not exist</w:t>
            </w:r>
          </w:p>
        </w:tc>
        <w:tc>
          <w:tcPr>
            <w:tcW w:w="1698"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9B3EE7"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Tool for M&amp;E</w:t>
            </w:r>
            <w:r w:rsidR="00B37CAD" w:rsidRPr="0046725D">
              <w:rPr>
                <w:rFonts w:asciiTheme="majorBidi" w:eastAsia="Times New Roman" w:hAnsiTheme="majorBidi" w:cstheme="majorBidi"/>
              </w:rPr>
              <w:t xml:space="preserve"> </w:t>
            </w:r>
            <w:r>
              <w:rPr>
                <w:rFonts w:asciiTheme="majorBidi" w:eastAsia="Times New Roman" w:hAnsiTheme="majorBidi" w:cstheme="majorBidi"/>
              </w:rPr>
              <w:t>of the quality of preschool educational services is approved</w:t>
            </w:r>
          </w:p>
        </w:tc>
        <w:tc>
          <w:tcPr>
            <w:tcW w:w="1653"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Monitoring is regular</w:t>
            </w:r>
            <w:r w:rsidR="000852B4" w:rsidRPr="0046725D">
              <w:rPr>
                <w:rFonts w:asciiTheme="majorBidi" w:eastAsia="Times New Roman" w:hAnsiTheme="majorBidi" w:cstheme="majorBidi"/>
              </w:rPr>
              <w:t>l</w:t>
            </w:r>
            <w:r w:rsidRPr="0046725D">
              <w:rPr>
                <w:rFonts w:asciiTheme="majorBidi" w:eastAsia="Times New Roman" w:hAnsiTheme="majorBidi" w:cstheme="majorBidi"/>
              </w:rPr>
              <w:t>y carried out on the basis of new tool</w:t>
            </w:r>
          </w:p>
        </w:tc>
        <w:tc>
          <w:tcPr>
            <w:tcW w:w="1726"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Monitoring </w:t>
            </w:r>
            <w:r w:rsidR="009B3EE7">
              <w:rPr>
                <w:rFonts w:asciiTheme="majorBidi" w:eastAsia="Times New Roman" w:hAnsiTheme="majorBidi" w:cstheme="majorBidi"/>
              </w:rPr>
              <w:t xml:space="preserve">and quality assessment </w:t>
            </w:r>
            <w:r w:rsidRPr="0046725D">
              <w:rPr>
                <w:rFonts w:asciiTheme="majorBidi" w:eastAsia="Times New Roman" w:hAnsiTheme="majorBidi" w:cstheme="majorBidi"/>
              </w:rPr>
              <w:t>is regular</w:t>
            </w:r>
            <w:r w:rsidR="000852B4" w:rsidRPr="0046725D">
              <w:rPr>
                <w:rFonts w:asciiTheme="majorBidi" w:eastAsia="Times New Roman" w:hAnsiTheme="majorBidi" w:cstheme="majorBidi"/>
              </w:rPr>
              <w:t>l</w:t>
            </w:r>
            <w:r w:rsidRPr="0046725D">
              <w:rPr>
                <w:rFonts w:asciiTheme="majorBidi" w:eastAsia="Times New Roman" w:hAnsiTheme="majorBidi" w:cstheme="majorBidi"/>
              </w:rPr>
              <w:t>y carried out on the basis of new tool</w:t>
            </w:r>
          </w:p>
        </w:tc>
        <w:tc>
          <w:tcPr>
            <w:tcW w:w="2220"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B37CAD" w:rsidRPr="00B26D47" w:rsidTr="000852B4">
        <w:trPr>
          <w:trHeight w:val="85"/>
          <w:jc w:val="center"/>
        </w:trPr>
        <w:tc>
          <w:tcPr>
            <w:tcW w:w="529"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9B3EE7" w:rsidP="00D65332">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17</w:t>
            </w:r>
          </w:p>
        </w:tc>
        <w:tc>
          <w:tcPr>
            <w:tcW w:w="4686"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0852B4">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The </w:t>
            </w:r>
            <w:r w:rsidR="000852B4" w:rsidRPr="0046725D">
              <w:rPr>
                <w:rFonts w:asciiTheme="majorBidi" w:eastAsia="Times New Roman" w:hAnsiTheme="majorBidi" w:cstheme="majorBidi"/>
              </w:rPr>
              <w:t>proportion of preschool institutions applying the newly developed monitoring tool to measure developmental and learning outcomes.</w:t>
            </w:r>
          </w:p>
        </w:tc>
        <w:tc>
          <w:tcPr>
            <w:tcW w:w="1722" w:type="dxa"/>
            <w:tcBorders>
              <w:top w:val="nil"/>
              <w:left w:val="nil"/>
              <w:bottom w:val="single" w:sz="4" w:space="0" w:color="auto"/>
              <w:right w:val="single" w:sz="4" w:space="0" w:color="auto"/>
            </w:tcBorders>
            <w:shd w:val="clear" w:color="auto" w:fill="auto"/>
            <w:vAlign w:val="center"/>
            <w:hideMark/>
          </w:tcPr>
          <w:p w:rsidR="00B37CAD" w:rsidRPr="0046725D" w:rsidRDefault="00320BE5" w:rsidP="000852B4">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0.0%</w:t>
            </w:r>
          </w:p>
        </w:tc>
        <w:tc>
          <w:tcPr>
            <w:tcW w:w="1698"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0.0%</w:t>
            </w:r>
          </w:p>
        </w:tc>
        <w:tc>
          <w:tcPr>
            <w:tcW w:w="1653" w:type="dxa"/>
            <w:tcBorders>
              <w:top w:val="nil"/>
              <w:left w:val="nil"/>
              <w:bottom w:val="single" w:sz="4" w:space="0" w:color="auto"/>
              <w:right w:val="single" w:sz="4" w:space="0" w:color="auto"/>
            </w:tcBorders>
            <w:shd w:val="clear" w:color="auto" w:fill="auto"/>
            <w:vAlign w:val="center"/>
            <w:hideMark/>
          </w:tcPr>
          <w:p w:rsidR="00B37CAD" w:rsidRPr="0046725D" w:rsidRDefault="000852B4"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2</w:t>
            </w:r>
            <w:r w:rsidR="00B37CAD" w:rsidRPr="0046725D">
              <w:rPr>
                <w:rFonts w:asciiTheme="majorBidi" w:eastAsia="Times New Roman" w:hAnsiTheme="majorBidi" w:cstheme="majorBidi"/>
                <w:lang w:val="ru-RU"/>
              </w:rPr>
              <w:t>0.0%</w:t>
            </w:r>
          </w:p>
        </w:tc>
        <w:tc>
          <w:tcPr>
            <w:tcW w:w="1726"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100.0%</w:t>
            </w:r>
          </w:p>
        </w:tc>
        <w:tc>
          <w:tcPr>
            <w:tcW w:w="2220" w:type="dxa"/>
            <w:tcBorders>
              <w:top w:val="nil"/>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Conditional on the availability of a monitoring tool</w:t>
            </w:r>
          </w:p>
        </w:tc>
      </w:tr>
    </w:tbl>
    <w:p w:rsidR="00B37CAD" w:rsidRDefault="00B37CAD" w:rsidP="00B37CAD">
      <w:pPr>
        <w:spacing w:after="0" w:line="240" w:lineRule="auto"/>
      </w:pPr>
    </w:p>
    <w:p w:rsidR="00B37CAD" w:rsidRDefault="00B37CAD" w:rsidP="00B37CAD">
      <w:pPr>
        <w:spacing w:after="0" w:line="240" w:lineRule="auto"/>
      </w:pPr>
    </w:p>
    <w:tbl>
      <w:tblPr>
        <w:tblW w:w="14402" w:type="dxa"/>
        <w:jc w:val="center"/>
        <w:tblLook w:val="04A0"/>
      </w:tblPr>
      <w:tblGrid>
        <w:gridCol w:w="535"/>
        <w:gridCol w:w="3841"/>
        <w:gridCol w:w="1838"/>
        <w:gridCol w:w="1710"/>
        <w:gridCol w:w="2011"/>
        <w:gridCol w:w="2251"/>
        <w:gridCol w:w="2216"/>
      </w:tblGrid>
      <w:tr w:rsidR="00B37CAD" w:rsidRPr="00B26D47" w:rsidTr="00315A82">
        <w:trPr>
          <w:trHeight w:val="465"/>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rPr>
            </w:pPr>
            <w:bookmarkStart w:id="2" w:name="RANGE!A1:G52"/>
            <w:r w:rsidRPr="00B26D47">
              <w:rPr>
                <w:rFonts w:asciiTheme="majorBidi" w:eastAsia="Times New Roman" w:hAnsiTheme="majorBidi" w:cstheme="majorBidi"/>
                <w:b/>
                <w:bCs/>
                <w:color w:val="FFFFFF"/>
              </w:rPr>
              <w:t xml:space="preserve">3. </w:t>
            </w:r>
            <w:bookmarkEnd w:id="2"/>
            <w:r w:rsidRPr="00B26D47">
              <w:rPr>
                <w:rFonts w:asciiTheme="majorBidi" w:eastAsia="Times New Roman" w:hAnsiTheme="majorBidi" w:cstheme="majorBidi"/>
                <w:b/>
                <w:bCs/>
                <w:color w:val="FFFFFF"/>
              </w:rPr>
              <w:t>GENERAL SECONDARY EDUCATION</w:t>
            </w:r>
          </w:p>
        </w:tc>
      </w:tr>
      <w:tr w:rsidR="00B37CAD" w:rsidRPr="00B26D47" w:rsidTr="00315A82">
        <w:trPr>
          <w:trHeight w:val="782"/>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Overall goal: By 2030, ensure that all girls and boys complete free, equitable and high-quality primary and secondary education to achieve relevant and effective learning outcomes (SDG 4.1).</w:t>
            </w:r>
          </w:p>
        </w:tc>
      </w:tr>
      <w:tr w:rsidR="00B37CAD" w:rsidRPr="00B26D47" w:rsidTr="00315A82">
        <w:trPr>
          <w:trHeight w:val="390"/>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3.1</w:t>
            </w:r>
            <w:r w:rsidR="00320BE5" w:rsidRPr="00320BE5">
              <w:rPr>
                <w:rFonts w:asciiTheme="majorBidi" w:eastAsia="Times New Roman" w:hAnsiTheme="majorBidi" w:cstheme="majorBidi"/>
                <w:b/>
                <w:bCs/>
                <w:color w:val="FFFFFF" w:themeColor="background1"/>
              </w:rPr>
              <w:t xml:space="preserve"> (</w:t>
            </w:r>
            <w:r w:rsidRPr="00B26D47">
              <w:rPr>
                <w:rFonts w:asciiTheme="majorBidi" w:eastAsia="Times New Roman" w:hAnsiTheme="majorBidi" w:cstheme="majorBidi"/>
                <w:b/>
                <w:bCs/>
                <w:color w:val="FFFFFF" w:themeColor="background1"/>
              </w:rPr>
              <w:t>Policy priority</w:t>
            </w:r>
            <w:r w:rsidR="00320BE5" w:rsidRPr="00320BE5">
              <w:rPr>
                <w:rFonts w:asciiTheme="majorBidi" w:eastAsia="Times New Roman" w:hAnsiTheme="majorBidi" w:cstheme="majorBidi"/>
                <w:b/>
                <w:bCs/>
                <w:color w:val="FFFFFF" w:themeColor="background1"/>
              </w:rPr>
              <w:t xml:space="preserve"> 1)</w:t>
            </w:r>
            <w:r w:rsidRPr="00B26D47">
              <w:rPr>
                <w:rFonts w:asciiTheme="majorBidi" w:eastAsia="Times New Roman" w:hAnsiTheme="majorBidi" w:cstheme="majorBidi"/>
                <w:b/>
                <w:bCs/>
                <w:color w:val="FFFFFF" w:themeColor="background1"/>
              </w:rPr>
              <w:t xml:space="preserve">: </w:t>
            </w:r>
            <w:r w:rsidR="00320BE5" w:rsidRPr="00320BE5">
              <w:rPr>
                <w:rFonts w:asciiTheme="majorBidi" w:eastAsia="Times New Roman" w:hAnsiTheme="majorBidi" w:cstheme="majorBidi"/>
                <w:b/>
                <w:bCs/>
                <w:color w:val="FFFFFF" w:themeColor="background1"/>
              </w:rPr>
              <w:t xml:space="preserve">Equal access to general secondary education </w:t>
            </w:r>
            <w:r w:rsidRPr="00B26D47">
              <w:rPr>
                <w:rFonts w:asciiTheme="majorBidi" w:eastAsia="Times New Roman" w:hAnsiTheme="majorBidi" w:cstheme="majorBidi"/>
                <w:b/>
                <w:bCs/>
                <w:color w:val="FFFFFF" w:themeColor="background1"/>
              </w:rPr>
              <w:t xml:space="preserve">is ensured </w:t>
            </w:r>
            <w:r w:rsidR="00320BE5" w:rsidRPr="00320BE5">
              <w:rPr>
                <w:rFonts w:asciiTheme="majorBidi" w:eastAsia="Times New Roman" w:hAnsiTheme="majorBidi" w:cstheme="majorBidi"/>
                <w:b/>
                <w:bCs/>
                <w:color w:val="FFFFFF" w:themeColor="background1"/>
              </w:rPr>
              <w:t>for all children</w:t>
            </w:r>
            <w:r w:rsidRPr="00B26D47">
              <w:rPr>
                <w:rFonts w:asciiTheme="majorBidi" w:eastAsia="Times New Roman" w:hAnsiTheme="majorBidi" w:cstheme="majorBidi"/>
                <w:b/>
                <w:bCs/>
                <w:color w:val="FFFFFF" w:themeColor="background1"/>
              </w:rPr>
              <w:t>.</w:t>
            </w:r>
          </w:p>
        </w:tc>
      </w:tr>
      <w:tr w:rsidR="00B37CAD" w:rsidRPr="00B26D47" w:rsidTr="00315A82">
        <w:trPr>
          <w:trHeight w:val="557"/>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3.1.1: </w:t>
            </w:r>
            <w:r w:rsidR="00320BE5" w:rsidRPr="00320BE5">
              <w:rPr>
                <w:rFonts w:asciiTheme="majorBidi" w:eastAsia="Times New Roman" w:hAnsiTheme="majorBidi" w:cstheme="majorBidi"/>
                <w:b/>
                <w:bCs/>
                <w:color w:val="000000"/>
              </w:rPr>
              <w:t>Equal access to general secondary education is ensured by providing appropriate and quality infrastructure</w:t>
            </w:r>
            <w:r w:rsidRPr="00B26D47">
              <w:rPr>
                <w:rFonts w:asciiTheme="majorBidi" w:eastAsia="Times New Roman" w:hAnsiTheme="majorBidi" w:cstheme="majorBidi"/>
                <w:b/>
                <w:bCs/>
                <w:color w:val="000000"/>
              </w:rPr>
              <w:t>.</w:t>
            </w:r>
          </w:p>
        </w:tc>
      </w:tr>
      <w:tr w:rsidR="00B37CAD" w:rsidRPr="00B26D47" w:rsidTr="00315A82">
        <w:trPr>
          <w:trHeight w:val="600"/>
          <w:jc w:val="center"/>
        </w:trPr>
        <w:tc>
          <w:tcPr>
            <w:tcW w:w="4376"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838"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2011"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2251"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16"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9B3EE7" w:rsidRPr="00B26D47" w:rsidTr="009B3EE7">
        <w:trPr>
          <w:trHeight w:val="548"/>
          <w:jc w:val="center"/>
        </w:trPr>
        <w:tc>
          <w:tcPr>
            <w:tcW w:w="535"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9B3EE7" w:rsidRPr="0046725D" w:rsidRDefault="004A5FF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18</w:t>
            </w:r>
          </w:p>
        </w:tc>
        <w:tc>
          <w:tcPr>
            <w:tcW w:w="3841" w:type="dxa"/>
            <w:tcBorders>
              <w:top w:val="single" w:sz="4" w:space="0" w:color="auto"/>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Net enrollment rate (NER) of children (in %), including:</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16" w:type="dxa"/>
            <w:vMerge w:val="restart"/>
            <w:tcBorders>
              <w:top w:val="nil"/>
              <w:left w:val="single" w:sz="4" w:space="0" w:color="auto"/>
              <w:bottom w:val="single" w:sz="4" w:space="0" w:color="000000"/>
              <w:right w:val="single" w:sz="4" w:space="0" w:color="auto"/>
            </w:tcBorders>
            <w:shd w:val="clear" w:color="auto" w:fill="auto"/>
            <w:vAlign w:val="center"/>
            <w:hideMark/>
          </w:tcPr>
          <w:p w:rsidR="009B3EE7" w:rsidRPr="00D65332" w:rsidRDefault="009B3EE7" w:rsidP="009B3EE7">
            <w:pPr>
              <w:spacing w:after="0" w:line="240" w:lineRule="auto"/>
              <w:jc w:val="center"/>
              <w:rPr>
                <w:rFonts w:asciiTheme="majorBidi" w:eastAsia="Times New Roman" w:hAnsiTheme="majorBidi" w:cstheme="majorBidi"/>
                <w:color w:val="C00000"/>
              </w:rPr>
            </w:pPr>
            <w:r w:rsidRPr="00B26D47">
              <w:rPr>
                <w:rFonts w:asciiTheme="majorBidi" w:eastAsia="Times New Roman" w:hAnsiTheme="majorBidi" w:cstheme="majorBidi"/>
              </w:rPr>
              <w:t>Indicator was not previously monitored</w:t>
            </w:r>
          </w:p>
        </w:tc>
      </w:tr>
      <w:tr w:rsidR="009B3EE7" w:rsidRPr="00B26D47" w:rsidTr="009B3EE7">
        <w:trPr>
          <w:trHeight w:val="300"/>
          <w:jc w:val="center"/>
        </w:trPr>
        <w:tc>
          <w:tcPr>
            <w:tcW w:w="535"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grade 1</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tg-Cyrl-TJ"/>
              </w:rPr>
            </w:pPr>
            <w:r w:rsidRPr="0046725D">
              <w:rPr>
                <w:rFonts w:asciiTheme="majorBidi" w:eastAsia="Times New Roman" w:hAnsiTheme="majorBidi" w:cstheme="majorBidi"/>
                <w:lang w:val="tg-Cyrl-TJ"/>
              </w:rPr>
              <w:t>96.6%</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tg-Cyrl-TJ"/>
              </w:rPr>
            </w:pPr>
            <w:r w:rsidRPr="0046725D">
              <w:rPr>
                <w:rFonts w:asciiTheme="majorBidi" w:eastAsia="Times New Roman" w:hAnsiTheme="majorBidi" w:cstheme="majorBidi"/>
                <w:lang w:val="tg-Cyrl-TJ"/>
              </w:rPr>
              <w:t>98.0%</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tg-Cyrl-TJ"/>
              </w:rPr>
            </w:pPr>
            <w:r w:rsidRPr="0046725D">
              <w:rPr>
                <w:rFonts w:asciiTheme="majorBidi" w:eastAsia="Times New Roman" w:hAnsiTheme="majorBidi" w:cstheme="majorBidi"/>
                <w:lang w:val="tg-Cyrl-TJ"/>
              </w:rPr>
              <w:t>100.0%</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100.0</w:t>
            </w:r>
            <w:r w:rsidRPr="0046725D">
              <w:rPr>
                <w:rFonts w:asciiTheme="majorBidi" w:eastAsia="Times New Roman" w:hAnsiTheme="majorBidi" w:cstheme="majorBidi"/>
                <w:lang w:val="ru-RU"/>
              </w:rPr>
              <w:t>%</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u w:val="single"/>
              </w:rPr>
            </w:pPr>
          </w:p>
        </w:tc>
      </w:tr>
      <w:tr w:rsidR="009B3EE7" w:rsidRPr="00B26D47" w:rsidTr="009B3EE7">
        <w:trPr>
          <w:trHeight w:val="300"/>
          <w:jc w:val="center"/>
        </w:trPr>
        <w:tc>
          <w:tcPr>
            <w:tcW w:w="535"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grade 5</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104.7%</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100.0%</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100.0%</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u w:val="single"/>
              </w:rPr>
            </w:pPr>
          </w:p>
        </w:tc>
      </w:tr>
      <w:tr w:rsidR="009B3EE7" w:rsidRPr="00B26D47" w:rsidTr="009B3EE7">
        <w:trPr>
          <w:trHeight w:val="300"/>
          <w:jc w:val="center"/>
        </w:trPr>
        <w:tc>
          <w:tcPr>
            <w:tcW w:w="535" w:type="dxa"/>
            <w:vMerge/>
            <w:tcBorders>
              <w:top w:val="single" w:sz="4" w:space="0" w:color="auto"/>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single" w:sz="4" w:space="0" w:color="auto"/>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grade 10</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82.5%</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85.0%</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90.0%</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95.0%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u w:val="single"/>
              </w:rPr>
            </w:pPr>
          </w:p>
        </w:tc>
      </w:tr>
      <w:tr w:rsidR="009B3EE7" w:rsidRPr="00B26D47" w:rsidTr="009B3EE7">
        <w:trPr>
          <w:trHeight w:val="300"/>
          <w:jc w:val="center"/>
        </w:trPr>
        <w:tc>
          <w:tcPr>
            <w:tcW w:w="535" w:type="dxa"/>
            <w:vMerge w:val="restart"/>
            <w:tcBorders>
              <w:top w:val="single" w:sz="4" w:space="0" w:color="auto"/>
              <w:left w:val="single" w:sz="4" w:space="0" w:color="auto"/>
              <w:right w:val="nil"/>
            </w:tcBorders>
            <w:shd w:val="clear" w:color="auto" w:fill="auto"/>
            <w:vAlign w:val="center"/>
            <w:hideMark/>
          </w:tcPr>
          <w:p w:rsidR="009B3EE7" w:rsidRPr="0046725D" w:rsidRDefault="004A5FF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19</w:t>
            </w:r>
          </w:p>
        </w:tc>
        <w:tc>
          <w:tcPr>
            <w:tcW w:w="3841" w:type="dxa"/>
            <w:tcBorders>
              <w:top w:val="single" w:sz="4" w:space="0" w:color="auto"/>
              <w:left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Net Intake Ratio (NIR) in the first grade of primary education (in %), including:</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96.6%</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97.5%</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98.5%</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100.0%</w:t>
            </w:r>
          </w:p>
        </w:tc>
        <w:tc>
          <w:tcPr>
            <w:tcW w:w="2216" w:type="dxa"/>
            <w:vMerge w:val="restart"/>
            <w:tcBorders>
              <w:top w:val="nil"/>
              <w:left w:val="single" w:sz="4" w:space="0" w:color="auto"/>
              <w:right w:val="single" w:sz="4" w:space="0" w:color="auto"/>
            </w:tcBorders>
            <w:shd w:val="clear" w:color="auto" w:fill="auto"/>
            <w:vAlign w:val="center"/>
            <w:hideMark/>
          </w:tcPr>
          <w:p w:rsidR="009B3EE7" w:rsidRPr="00B45A21" w:rsidRDefault="009B3EE7" w:rsidP="009B3EE7">
            <w:pPr>
              <w:spacing w:after="0" w:line="240" w:lineRule="auto"/>
              <w:jc w:val="center"/>
              <w:rPr>
                <w:rFonts w:asciiTheme="majorBidi" w:eastAsia="Times New Roman" w:hAnsiTheme="majorBidi" w:cstheme="majorBidi"/>
                <w:color w:val="C00000"/>
              </w:rPr>
            </w:pPr>
            <w:r w:rsidRPr="00B26D47">
              <w:rPr>
                <w:rFonts w:asciiTheme="majorBidi" w:eastAsia="Times New Roman" w:hAnsiTheme="majorBidi" w:cstheme="majorBidi"/>
              </w:rPr>
              <w:t>Indicator was not previously monitored</w:t>
            </w:r>
          </w:p>
        </w:tc>
      </w:tr>
      <w:tr w:rsidR="009B3EE7" w:rsidRPr="00B26D47" w:rsidTr="009B3EE7">
        <w:trPr>
          <w:trHeight w:val="300"/>
          <w:jc w:val="center"/>
        </w:trPr>
        <w:tc>
          <w:tcPr>
            <w:tcW w:w="535" w:type="dxa"/>
            <w:vMerge/>
            <w:tcBorders>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p>
        </w:tc>
        <w:tc>
          <w:tcPr>
            <w:tcW w:w="3841" w:type="dxa"/>
            <w:tcBorders>
              <w:top w:val="nil"/>
              <w:left w:val="single" w:sz="4" w:space="0" w:color="auto"/>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girls</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96.7%</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97.5%</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98.5%</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100.0%</w:t>
            </w:r>
          </w:p>
        </w:tc>
        <w:tc>
          <w:tcPr>
            <w:tcW w:w="2216" w:type="dxa"/>
            <w:vMerge/>
            <w:tcBorders>
              <w:left w:val="single" w:sz="4" w:space="0" w:color="auto"/>
              <w:bottom w:val="single" w:sz="4" w:space="0" w:color="000000"/>
              <w:right w:val="single" w:sz="4" w:space="0" w:color="auto"/>
            </w:tcBorders>
            <w:shd w:val="clear" w:color="auto" w:fill="auto"/>
            <w:vAlign w:val="center"/>
            <w:hideMark/>
          </w:tcPr>
          <w:p w:rsidR="009B3EE7" w:rsidRPr="00B45A21" w:rsidRDefault="009B3EE7" w:rsidP="009B3EE7">
            <w:pPr>
              <w:spacing w:after="0" w:line="240" w:lineRule="auto"/>
              <w:jc w:val="center"/>
              <w:rPr>
                <w:rFonts w:asciiTheme="majorBidi" w:eastAsia="Times New Roman" w:hAnsiTheme="majorBidi" w:cstheme="majorBidi"/>
                <w:color w:val="C00000"/>
              </w:rPr>
            </w:pPr>
          </w:p>
        </w:tc>
      </w:tr>
      <w:tr w:rsidR="009B3EE7" w:rsidRPr="00B26D47" w:rsidTr="009B3EE7">
        <w:trPr>
          <w:trHeight w:val="350"/>
          <w:jc w:val="center"/>
        </w:trPr>
        <w:tc>
          <w:tcPr>
            <w:tcW w:w="535" w:type="dxa"/>
            <w:vMerge w:val="restart"/>
            <w:tcBorders>
              <w:top w:val="nil"/>
              <w:left w:val="single" w:sz="4" w:space="0" w:color="auto"/>
              <w:bottom w:val="single" w:sz="4" w:space="0" w:color="000000"/>
              <w:right w:val="nil"/>
            </w:tcBorders>
            <w:shd w:val="clear" w:color="auto" w:fill="auto"/>
            <w:noWrap/>
            <w:vAlign w:val="center"/>
            <w:hideMark/>
          </w:tcPr>
          <w:p w:rsidR="009B3EE7" w:rsidRPr="0046725D" w:rsidRDefault="004A5FF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20</w:t>
            </w:r>
          </w:p>
        </w:tc>
        <w:tc>
          <w:tcPr>
            <w:tcW w:w="3841" w:type="dxa"/>
            <w:tcBorders>
              <w:top w:val="single" w:sz="4" w:space="0" w:color="auto"/>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Transition rate (TR), including:</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16" w:type="dxa"/>
            <w:vMerge w:val="restart"/>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9B3EE7" w:rsidRPr="00B26D47" w:rsidTr="009B3EE7">
        <w:trPr>
          <w:trHeight w:val="116"/>
          <w:jc w:val="center"/>
        </w:trPr>
        <w:tc>
          <w:tcPr>
            <w:tcW w:w="535" w:type="dxa"/>
            <w:vMerge/>
            <w:tcBorders>
              <w:top w:val="nil"/>
              <w:left w:val="single" w:sz="4" w:space="0" w:color="auto"/>
              <w:bottom w:val="single" w:sz="4" w:space="0" w:color="000000"/>
              <w:right w:val="nil"/>
            </w:tcBorders>
            <w:shd w:val="clear" w:color="auto" w:fill="auto"/>
            <w:noWrap/>
            <w:vAlign w:val="center"/>
            <w:hideMark/>
          </w:tcPr>
          <w:p w:rsidR="009B3EE7" w:rsidRPr="0046725D" w:rsidRDefault="009B3EE7" w:rsidP="009B3EE7">
            <w:pPr>
              <w:spacing w:after="0" w:line="240" w:lineRule="auto"/>
              <w:jc w:val="center"/>
              <w:rPr>
                <w:rFonts w:asciiTheme="majorBidi" w:eastAsia="Times New Roman" w:hAnsiTheme="majorBidi" w:cstheme="majorBidi"/>
              </w:rPr>
            </w:pPr>
          </w:p>
        </w:tc>
        <w:tc>
          <w:tcPr>
            <w:tcW w:w="3841" w:type="dxa"/>
            <w:tcBorders>
              <w:left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from grade 9 to grade 10 (all)</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78.8%</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82.</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011"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85.</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51"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9</w:t>
            </w:r>
            <w:r w:rsidRPr="0046725D">
              <w:rPr>
                <w:rFonts w:asciiTheme="majorBidi" w:eastAsia="Times New Roman" w:hAnsiTheme="majorBidi" w:cstheme="majorBidi"/>
              </w:rPr>
              <w:t>0.</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jc w:val="center"/>
              <w:rPr>
                <w:rFonts w:asciiTheme="majorBidi" w:eastAsia="Times New Roman" w:hAnsiTheme="majorBidi" w:cstheme="majorBidi"/>
                <w:color w:val="000000"/>
              </w:rPr>
            </w:pPr>
          </w:p>
        </w:tc>
      </w:tr>
      <w:tr w:rsidR="009B3EE7" w:rsidRPr="00B26D47" w:rsidTr="009B3EE7">
        <w:trPr>
          <w:trHeight w:val="300"/>
          <w:jc w:val="center"/>
        </w:trPr>
        <w:tc>
          <w:tcPr>
            <w:tcW w:w="535" w:type="dxa"/>
            <w:vMerge/>
            <w:tcBorders>
              <w:top w:val="nil"/>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single" w:sz="4" w:space="0" w:color="auto"/>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from grade 9 to grade 10 (boys)</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80.4%</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85.</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011"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88.</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51" w:type="dxa"/>
            <w:tcBorders>
              <w:top w:val="single" w:sz="4" w:space="0" w:color="auto"/>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9</w:t>
            </w:r>
            <w:r w:rsidRPr="0046725D">
              <w:rPr>
                <w:rFonts w:asciiTheme="majorBidi" w:eastAsia="Times New Roman" w:hAnsiTheme="majorBidi" w:cstheme="majorBidi"/>
              </w:rPr>
              <w:t>2.</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r>
      <w:tr w:rsidR="009B3EE7" w:rsidRPr="00B26D47" w:rsidTr="009B3EE7">
        <w:trPr>
          <w:trHeight w:val="85"/>
          <w:jc w:val="center"/>
        </w:trPr>
        <w:tc>
          <w:tcPr>
            <w:tcW w:w="535" w:type="dxa"/>
            <w:vMerge/>
            <w:tcBorders>
              <w:top w:val="nil"/>
              <w:left w:val="single" w:sz="4" w:space="0" w:color="auto"/>
              <w:bottom w:val="single" w:sz="4" w:space="0" w:color="000000"/>
              <w:right w:val="nil"/>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single" w:sz="4" w:space="0" w:color="auto"/>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from grade 9 to grade 10 (girls)</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77.1%</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83.</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9</w:t>
            </w:r>
            <w:r w:rsidRPr="0046725D">
              <w:rPr>
                <w:rFonts w:asciiTheme="majorBidi" w:eastAsia="Times New Roman" w:hAnsiTheme="majorBidi" w:cstheme="majorBidi"/>
              </w:rPr>
              <w:t>0.</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r>
      <w:tr w:rsidR="00B37CAD" w:rsidRPr="00B26D47" w:rsidTr="00315A82">
        <w:trPr>
          <w:trHeight w:val="539"/>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8E67EB">
            <w:pPr>
              <w:spacing w:after="0" w:line="240" w:lineRule="auto"/>
              <w:jc w:val="center"/>
              <w:rPr>
                <w:rFonts w:asciiTheme="majorBidi" w:eastAsia="Times New Roman" w:hAnsiTheme="majorBidi" w:cstheme="majorBidi"/>
              </w:rPr>
            </w:pPr>
            <w:r>
              <w:rPr>
                <w:rFonts w:asciiTheme="majorBidi" w:eastAsia="Times New Roman" w:hAnsiTheme="majorBidi" w:cstheme="majorBidi"/>
              </w:rPr>
              <w:t>21</w:t>
            </w:r>
          </w:p>
        </w:tc>
        <w:tc>
          <w:tcPr>
            <w:tcW w:w="3841" w:type="dxa"/>
            <w:tcBorders>
              <w:top w:val="single" w:sz="4" w:space="0" w:color="auto"/>
              <w:left w:val="nil"/>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average annual construction of student places in educational institutions.</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36,600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80,000</w:t>
            </w:r>
          </w:p>
        </w:tc>
        <w:tc>
          <w:tcPr>
            <w:tcW w:w="2011"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150,000</w:t>
            </w:r>
          </w:p>
        </w:tc>
        <w:tc>
          <w:tcPr>
            <w:tcW w:w="2251"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200,000</w:t>
            </w:r>
          </w:p>
        </w:tc>
        <w:tc>
          <w:tcPr>
            <w:tcW w:w="2216"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Proportional to expected population growth rates</w:t>
            </w:r>
          </w:p>
        </w:tc>
      </w:tr>
      <w:tr w:rsidR="00B37CAD" w:rsidRPr="00B26D47" w:rsidTr="00315A82">
        <w:trPr>
          <w:trHeight w:val="521"/>
          <w:jc w:val="center"/>
        </w:trPr>
        <w:tc>
          <w:tcPr>
            <w:tcW w:w="5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37CAD" w:rsidRPr="0046725D" w:rsidRDefault="004A5FF2" w:rsidP="008E67EB">
            <w:pPr>
              <w:spacing w:after="0" w:line="240" w:lineRule="auto"/>
              <w:jc w:val="center"/>
              <w:rPr>
                <w:rFonts w:asciiTheme="majorBidi" w:eastAsia="Times New Roman" w:hAnsiTheme="majorBidi" w:cstheme="majorBidi"/>
              </w:rPr>
            </w:pPr>
            <w:r>
              <w:rPr>
                <w:rFonts w:asciiTheme="majorBidi" w:eastAsia="Times New Roman" w:hAnsiTheme="majorBidi" w:cstheme="majorBidi"/>
              </w:rPr>
              <w:t>22</w:t>
            </w:r>
          </w:p>
        </w:tc>
        <w:tc>
          <w:tcPr>
            <w:tcW w:w="3841" w:type="dxa"/>
            <w:tcBorders>
              <w:top w:val="single" w:sz="4" w:space="0" w:color="auto"/>
              <w:left w:val="nil"/>
              <w:bottom w:val="nil"/>
              <w:right w:val="single" w:sz="4" w:space="0" w:color="auto"/>
            </w:tcBorders>
            <w:shd w:val="clear" w:color="auto" w:fill="auto"/>
            <w:vAlign w:val="center"/>
            <w:hideMark/>
          </w:tcPr>
          <w:p w:rsidR="00B37CAD" w:rsidRPr="0046725D" w:rsidRDefault="00315A82"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Proportion of schools offering basic services, by type of service</w:t>
            </w:r>
            <w:r w:rsidR="00320BE5" w:rsidRPr="0046725D">
              <w:rPr>
                <w:rFonts w:asciiTheme="majorBidi" w:eastAsia="Times New Roman" w:hAnsiTheme="majorBidi" w:cstheme="majorBidi"/>
              </w:rPr>
              <w:t xml:space="preserve"> (</w:t>
            </w:r>
            <w:r w:rsidR="00B37CAD" w:rsidRPr="0046725D">
              <w:rPr>
                <w:rFonts w:asciiTheme="majorBidi" w:eastAsia="Times New Roman" w:hAnsiTheme="majorBidi" w:cstheme="majorBidi"/>
              </w:rPr>
              <w:t>in</w:t>
            </w:r>
            <w:r w:rsidR="00320BE5" w:rsidRPr="0046725D">
              <w:rPr>
                <w:rFonts w:asciiTheme="majorBidi" w:eastAsia="Times New Roman" w:hAnsiTheme="majorBidi" w:cstheme="majorBidi"/>
              </w:rPr>
              <w:t xml:space="preserve"> %)</w:t>
            </w:r>
            <w:r w:rsidR="00B37CAD" w:rsidRPr="0046725D">
              <w:rPr>
                <w:rFonts w:asciiTheme="majorBidi" w:eastAsia="Times New Roman" w:hAnsiTheme="majorBidi" w:cstheme="majorBidi"/>
              </w:rPr>
              <w:t>:</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216" w:type="dxa"/>
            <w:vMerge w:val="restart"/>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SDG </w:t>
            </w:r>
            <w:r w:rsidR="00907117">
              <w:rPr>
                <w:rFonts w:asciiTheme="majorBidi" w:eastAsia="Times New Roman" w:hAnsiTheme="majorBidi" w:cstheme="majorBidi"/>
                <w:color w:val="000000"/>
              </w:rPr>
              <w:t xml:space="preserve">Indicator </w:t>
            </w:r>
            <w:r w:rsidRPr="00B26D47">
              <w:rPr>
                <w:rFonts w:asciiTheme="majorBidi" w:eastAsia="Times New Roman" w:hAnsiTheme="majorBidi" w:cstheme="majorBidi"/>
                <w:color w:val="000000"/>
              </w:rPr>
              <w:t>4.а.1</w:t>
            </w:r>
          </w:p>
        </w:tc>
      </w:tr>
      <w:tr w:rsidR="00B37CAD" w:rsidRPr="00B26D47" w:rsidTr="00315A82">
        <w:trPr>
          <w:trHeight w:val="300"/>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00217"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electricity</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95.0%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23"/>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315A82">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Internet </w:t>
            </w:r>
            <w:r w:rsidR="00315A82" w:rsidRPr="0046725D">
              <w:rPr>
                <w:rFonts w:asciiTheme="majorBidi" w:eastAsia="Times New Roman" w:hAnsiTheme="majorBidi" w:cstheme="majorBidi"/>
              </w:rPr>
              <w:t>access</w:t>
            </w:r>
            <w:r w:rsidRPr="0046725D">
              <w:rPr>
                <w:rFonts w:asciiTheme="majorBidi" w:eastAsia="Times New Roman" w:hAnsiTheme="majorBidi" w:cstheme="majorBidi"/>
              </w:rPr>
              <w:t xml:space="preserve"> for </w:t>
            </w:r>
            <w:r w:rsidR="00315A82" w:rsidRPr="0046725D">
              <w:rPr>
                <w:rFonts w:asciiTheme="majorBidi" w:eastAsia="Times New Roman" w:hAnsiTheme="majorBidi" w:cstheme="majorBidi"/>
              </w:rPr>
              <w:t>pedagogical</w:t>
            </w:r>
            <w:r w:rsidRPr="0046725D">
              <w:rPr>
                <w:rFonts w:asciiTheme="majorBidi" w:eastAsia="Times New Roman" w:hAnsiTheme="majorBidi" w:cstheme="majorBidi"/>
              </w:rPr>
              <w:t xml:space="preserve"> purposes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00"/>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315A82">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computers for </w:t>
            </w:r>
            <w:r w:rsidR="00315A82" w:rsidRPr="0046725D">
              <w:rPr>
                <w:rFonts w:asciiTheme="majorBidi" w:eastAsia="Times New Roman" w:hAnsiTheme="majorBidi" w:cstheme="majorBidi"/>
              </w:rPr>
              <w:t>pedagogical</w:t>
            </w:r>
            <w:r w:rsidRPr="0046725D">
              <w:rPr>
                <w:rFonts w:asciiTheme="majorBidi" w:eastAsia="Times New Roman" w:hAnsiTheme="majorBidi" w:cstheme="majorBidi"/>
              </w:rPr>
              <w:t xml:space="preserve"> purposes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00"/>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t>
            </w:r>
            <w:r w:rsidR="00B00217" w:rsidRPr="0046725D">
              <w:rPr>
                <w:rFonts w:asciiTheme="majorBidi" w:eastAsia="Times New Roman" w:hAnsiTheme="majorBidi" w:cstheme="majorBidi"/>
              </w:rPr>
              <w:t>adapted infrastructure (</w:t>
            </w:r>
            <w:r w:rsidRPr="0046725D">
              <w:rPr>
                <w:rFonts w:asciiTheme="majorBidi" w:eastAsia="Times New Roman" w:hAnsiTheme="majorBidi" w:cstheme="majorBidi"/>
              </w:rPr>
              <w:t>scientific and laboratory equipment and materials</w:t>
            </w:r>
            <w:r w:rsidR="00B00217" w:rsidRPr="0046725D">
              <w:rPr>
                <w:rFonts w:asciiTheme="majorBidi" w:eastAsia="Times New Roman" w:hAnsiTheme="majorBidi" w:cstheme="majorBidi"/>
              </w:rPr>
              <w:t>)</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00217" w:rsidRPr="00B26D47" w:rsidTr="00B00217">
        <w:trPr>
          <w:trHeight w:val="85"/>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00217" w:rsidRPr="0046725D" w:rsidRDefault="00B00217" w:rsidP="0023340C">
            <w:pPr>
              <w:spacing w:after="0" w:line="240" w:lineRule="auto"/>
              <w:rPr>
                <w:rFonts w:asciiTheme="majorBidi" w:eastAsia="Times New Roman" w:hAnsiTheme="majorBidi" w:cstheme="majorBidi"/>
              </w:rPr>
            </w:pPr>
          </w:p>
        </w:tc>
        <w:tc>
          <w:tcPr>
            <w:tcW w:w="3841" w:type="dxa"/>
            <w:tcBorders>
              <w:top w:val="nil"/>
              <w:left w:val="nil"/>
              <w:right w:val="single" w:sz="4" w:space="0" w:color="auto"/>
            </w:tcBorders>
            <w:shd w:val="clear" w:color="auto" w:fill="auto"/>
            <w:vAlign w:val="center"/>
            <w:hideMark/>
          </w:tcPr>
          <w:p w:rsidR="00B00217" w:rsidRPr="0046725D" w:rsidRDefault="00B00217"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accessible learning materials (e.g. learning literature, including textbooks</w:t>
            </w:r>
            <w:r w:rsidRPr="0046725D">
              <w:rPr>
                <w:rFonts w:asciiTheme="majorBidi" w:eastAsia="Times New Roman" w:hAnsiTheme="majorBidi" w:cstheme="majorBidi"/>
                <w:lang w:val="ru-RU"/>
              </w:rPr>
              <w:t>)</w:t>
            </w:r>
          </w:p>
        </w:tc>
        <w:tc>
          <w:tcPr>
            <w:tcW w:w="1838" w:type="dxa"/>
            <w:tcBorders>
              <w:top w:val="nil"/>
              <w:left w:val="nil"/>
              <w:right w:val="single" w:sz="4" w:space="0" w:color="auto"/>
            </w:tcBorders>
            <w:shd w:val="clear" w:color="auto" w:fill="auto"/>
            <w:vAlign w:val="center"/>
            <w:hideMark/>
          </w:tcPr>
          <w:p w:rsidR="00B00217" w:rsidRPr="00B26D47" w:rsidRDefault="00B00217"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92.0%</w:t>
            </w:r>
          </w:p>
        </w:tc>
        <w:tc>
          <w:tcPr>
            <w:tcW w:w="1710" w:type="dxa"/>
            <w:tcBorders>
              <w:top w:val="nil"/>
              <w:left w:val="nil"/>
              <w:right w:val="single" w:sz="4" w:space="0" w:color="auto"/>
            </w:tcBorders>
            <w:shd w:val="clear" w:color="auto" w:fill="auto"/>
            <w:vAlign w:val="center"/>
            <w:hideMark/>
          </w:tcPr>
          <w:p w:rsidR="00B00217" w:rsidRPr="00B26D47" w:rsidRDefault="00B00217"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95.0%</w:t>
            </w:r>
          </w:p>
        </w:tc>
        <w:tc>
          <w:tcPr>
            <w:tcW w:w="2011" w:type="dxa"/>
            <w:tcBorders>
              <w:top w:val="nil"/>
              <w:left w:val="nil"/>
              <w:right w:val="single" w:sz="4" w:space="0" w:color="auto"/>
            </w:tcBorders>
            <w:shd w:val="clear" w:color="auto" w:fill="auto"/>
            <w:vAlign w:val="center"/>
            <w:hideMark/>
          </w:tcPr>
          <w:p w:rsidR="00B00217" w:rsidRPr="00B26D47" w:rsidRDefault="00B00217"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98.0%</w:t>
            </w:r>
          </w:p>
        </w:tc>
        <w:tc>
          <w:tcPr>
            <w:tcW w:w="2251" w:type="dxa"/>
            <w:tcBorders>
              <w:top w:val="nil"/>
              <w:left w:val="nil"/>
              <w:right w:val="single" w:sz="4" w:space="0" w:color="auto"/>
            </w:tcBorders>
            <w:shd w:val="clear" w:color="auto" w:fill="auto"/>
            <w:vAlign w:val="center"/>
            <w:hideMark/>
          </w:tcPr>
          <w:p w:rsidR="00B00217" w:rsidRPr="00B26D47" w:rsidRDefault="00B00217"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00217" w:rsidRPr="00B26D47" w:rsidRDefault="00B00217" w:rsidP="0023340C">
            <w:pPr>
              <w:spacing w:after="0" w:line="240" w:lineRule="auto"/>
              <w:rPr>
                <w:rFonts w:asciiTheme="majorBidi" w:eastAsia="Times New Roman" w:hAnsiTheme="majorBidi" w:cstheme="majorBidi"/>
                <w:color w:val="000000"/>
              </w:rPr>
            </w:pPr>
          </w:p>
        </w:tc>
      </w:tr>
      <w:tr w:rsidR="00B37CAD" w:rsidRPr="00B26D47" w:rsidTr="00B00217">
        <w:trPr>
          <w:trHeight w:val="476"/>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adapted materials </w:t>
            </w:r>
            <w:r w:rsidR="00B00217" w:rsidRPr="0046725D">
              <w:rPr>
                <w:rFonts w:asciiTheme="majorBidi" w:eastAsia="Times New Roman" w:hAnsiTheme="majorBidi" w:cstheme="majorBidi"/>
              </w:rPr>
              <w:t xml:space="preserve">(e.g. </w:t>
            </w:r>
            <w:r w:rsidRPr="0046725D">
              <w:rPr>
                <w:rFonts w:asciiTheme="majorBidi" w:eastAsia="Times New Roman" w:hAnsiTheme="majorBidi" w:cstheme="majorBidi"/>
              </w:rPr>
              <w:t>for students with disabilities</w:t>
            </w:r>
            <w:r w:rsidR="00B00217" w:rsidRPr="0046725D">
              <w:rPr>
                <w:rFonts w:asciiTheme="majorBidi" w:eastAsia="Times New Roman" w:hAnsiTheme="majorBidi" w:cstheme="majorBidi"/>
              </w:rPr>
              <w:t>, such as computer programs, audiovisual materials, etc.)</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05"/>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basic drinking water</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66.2%</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260"/>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B37CAD" w:rsidRPr="0046725D" w:rsidRDefault="00B37CAD"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t>
            </w:r>
            <w:r w:rsidR="00B00217" w:rsidRPr="0046725D">
              <w:rPr>
                <w:rFonts w:asciiTheme="majorBidi" w:eastAsia="Times New Roman" w:hAnsiTheme="majorBidi" w:cstheme="majorBidi"/>
              </w:rPr>
              <w:t>single-sex basic sanitation facilities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00"/>
          <w:jc w:val="center"/>
        </w:trPr>
        <w:tc>
          <w:tcPr>
            <w:tcW w:w="53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3841"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basic </w:t>
            </w:r>
            <w:proofErr w:type="spellStart"/>
            <w:r w:rsidRPr="0046725D">
              <w:rPr>
                <w:rFonts w:asciiTheme="majorBidi" w:eastAsia="Times New Roman" w:hAnsiTheme="majorBidi" w:cstheme="majorBidi"/>
              </w:rPr>
              <w:t>handwashing</w:t>
            </w:r>
            <w:proofErr w:type="spellEnd"/>
            <w:r w:rsidRPr="0046725D">
              <w:rPr>
                <w:rFonts w:asciiTheme="majorBidi" w:eastAsia="Times New Roman" w:hAnsiTheme="majorBidi" w:cstheme="majorBidi"/>
              </w:rPr>
              <w:t xml:space="preserve"> </w:t>
            </w:r>
            <w:r w:rsidR="00B00217" w:rsidRPr="0046725D">
              <w:rPr>
                <w:rFonts w:asciiTheme="majorBidi" w:eastAsia="Times New Roman" w:hAnsiTheme="majorBidi" w:cstheme="majorBidi"/>
              </w:rPr>
              <w:t>facilities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315A82">
        <w:trPr>
          <w:trHeight w:val="314"/>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8E67EB">
            <w:pPr>
              <w:spacing w:after="0" w:line="240" w:lineRule="auto"/>
              <w:jc w:val="center"/>
              <w:rPr>
                <w:rFonts w:asciiTheme="majorBidi" w:eastAsia="Times New Roman" w:hAnsiTheme="majorBidi" w:cstheme="majorBidi"/>
              </w:rPr>
            </w:pPr>
            <w:r>
              <w:rPr>
                <w:rFonts w:asciiTheme="majorBidi" w:eastAsia="Times New Roman" w:hAnsiTheme="majorBidi" w:cstheme="majorBidi"/>
              </w:rPr>
              <w:t>23</w:t>
            </w:r>
          </w:p>
        </w:tc>
        <w:tc>
          <w:tcPr>
            <w:tcW w:w="3841"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Number of three-shift educational institutions (all state general secondary educational institutions).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110</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00217"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90</w:t>
            </w:r>
          </w:p>
        </w:tc>
        <w:tc>
          <w:tcPr>
            <w:tcW w:w="2011" w:type="dxa"/>
            <w:tcBorders>
              <w:top w:val="nil"/>
              <w:left w:val="nil"/>
              <w:bottom w:val="single" w:sz="4" w:space="0" w:color="auto"/>
              <w:right w:val="single" w:sz="4" w:space="0" w:color="auto"/>
            </w:tcBorders>
            <w:shd w:val="clear" w:color="auto" w:fill="auto"/>
            <w:vAlign w:val="center"/>
            <w:hideMark/>
          </w:tcPr>
          <w:p w:rsidR="00B37CAD" w:rsidRPr="0046725D" w:rsidRDefault="00B00217"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w:t>
            </w:r>
          </w:p>
        </w:tc>
        <w:tc>
          <w:tcPr>
            <w:tcW w:w="2251"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w:t>
            </w:r>
          </w:p>
        </w:tc>
        <w:tc>
          <w:tcPr>
            <w:tcW w:w="2216" w:type="dxa"/>
            <w:tcBorders>
              <w:top w:val="nil"/>
              <w:left w:val="nil"/>
              <w:bottom w:val="single" w:sz="4" w:space="0" w:color="auto"/>
              <w:right w:val="single" w:sz="4" w:space="0" w:color="auto"/>
            </w:tcBorders>
            <w:shd w:val="clear" w:color="auto" w:fill="auto"/>
            <w:vAlign w:val="center"/>
            <w:hideMark/>
          </w:tcPr>
          <w:p w:rsidR="00B37CAD" w:rsidRPr="00E14881" w:rsidRDefault="0074344E" w:rsidP="0074344E">
            <w:pPr>
              <w:spacing w:after="0" w:line="240" w:lineRule="auto"/>
              <w:jc w:val="center"/>
              <w:rPr>
                <w:rFonts w:asciiTheme="majorBidi" w:eastAsia="Times New Roman" w:hAnsiTheme="majorBidi" w:cstheme="majorBidi"/>
              </w:rPr>
            </w:pPr>
            <w:r w:rsidRPr="00E14881">
              <w:rPr>
                <w:rFonts w:asciiTheme="majorBidi" w:eastAsia="Times New Roman" w:hAnsiTheme="majorBidi" w:cstheme="majorBidi"/>
              </w:rPr>
              <w:t>The practice of three-shift schools will be gradually abandoned</w:t>
            </w:r>
          </w:p>
        </w:tc>
      </w:tr>
      <w:tr w:rsidR="00B37CAD" w:rsidRPr="005B64F7" w:rsidTr="00315A82">
        <w:trPr>
          <w:trHeight w:val="494"/>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8E67EB">
            <w:pPr>
              <w:spacing w:after="0" w:line="240" w:lineRule="auto"/>
              <w:jc w:val="center"/>
              <w:rPr>
                <w:rFonts w:asciiTheme="majorBidi" w:eastAsia="Times New Roman" w:hAnsiTheme="majorBidi" w:cstheme="majorBidi"/>
              </w:rPr>
            </w:pPr>
            <w:r>
              <w:rPr>
                <w:rFonts w:asciiTheme="majorBidi" w:eastAsia="Times New Roman" w:hAnsiTheme="majorBidi" w:cstheme="majorBidi"/>
              </w:rPr>
              <w:t>24</w:t>
            </w:r>
          </w:p>
        </w:tc>
        <w:tc>
          <w:tcPr>
            <w:tcW w:w="3841" w:type="dxa"/>
            <w:tcBorders>
              <w:top w:val="single" w:sz="4" w:space="0" w:color="auto"/>
              <w:left w:val="nil"/>
              <w:bottom w:val="single" w:sz="4" w:space="0" w:color="auto"/>
              <w:right w:val="single" w:sz="4" w:space="0" w:color="auto"/>
            </w:tcBorders>
            <w:shd w:val="clear" w:color="auto" w:fill="auto"/>
            <w:vAlign w:val="center"/>
            <w:hideMark/>
          </w:tcPr>
          <w:p w:rsidR="00B37CAD" w:rsidRPr="0046725D" w:rsidRDefault="00B37CAD" w:rsidP="00B0021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The share of educational institutions using </w:t>
            </w:r>
            <w:r w:rsidR="00683C70" w:rsidRPr="0046725D">
              <w:rPr>
                <w:rFonts w:asciiTheme="majorBidi" w:eastAsia="Times New Roman" w:hAnsiTheme="majorBidi" w:cstheme="majorBidi"/>
              </w:rPr>
              <w:t xml:space="preserve">digital learning platforms and </w:t>
            </w:r>
            <w:r w:rsidR="00B00217" w:rsidRPr="0046725D">
              <w:rPr>
                <w:rFonts w:asciiTheme="majorBidi" w:eastAsia="Times New Roman" w:hAnsiTheme="majorBidi" w:cstheme="majorBidi"/>
              </w:rPr>
              <w:t>solutions</w:t>
            </w:r>
            <w:r w:rsidRPr="0046725D">
              <w:rPr>
                <w:rFonts w:asciiTheme="majorBidi" w:eastAsia="Times New Roman" w:hAnsiTheme="majorBidi" w:cstheme="majorBidi"/>
              </w:rPr>
              <w:t xml:space="preserve"> </w:t>
            </w:r>
            <w:r w:rsidR="00320BE5" w:rsidRPr="0046725D">
              <w:rPr>
                <w:rFonts w:asciiTheme="majorBidi" w:eastAsia="Times New Roman" w:hAnsiTheme="majorBidi" w:cstheme="majorBidi"/>
              </w:rPr>
              <w:t>(</w:t>
            </w:r>
            <w:r w:rsidRPr="0046725D">
              <w:rPr>
                <w:rFonts w:asciiTheme="majorBidi" w:eastAsia="Times New Roman" w:hAnsiTheme="majorBidi" w:cstheme="majorBidi"/>
              </w:rPr>
              <w:t>in</w:t>
            </w:r>
            <w:r w:rsidR="00320BE5" w:rsidRPr="0046725D">
              <w:rPr>
                <w:rFonts w:asciiTheme="majorBidi" w:eastAsia="Times New Roman" w:hAnsiTheme="majorBidi" w:cstheme="majorBidi"/>
              </w:rPr>
              <w:t xml:space="preserve"> %)</w:t>
            </w:r>
            <w:r w:rsidRPr="0046725D">
              <w:rPr>
                <w:rFonts w:asciiTheme="majorBidi" w:eastAsia="Times New Roman" w:hAnsiTheme="majorBidi" w:cstheme="majorBidi"/>
              </w:rPr>
              <w:t>.</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rsidR="00B37CAD" w:rsidRPr="00B00217" w:rsidRDefault="00B37CAD" w:rsidP="0023340C">
            <w:pPr>
              <w:spacing w:after="0" w:line="240" w:lineRule="auto"/>
              <w:jc w:val="center"/>
              <w:rPr>
                <w:rFonts w:asciiTheme="majorBidi" w:eastAsia="Times New Roman" w:hAnsiTheme="majorBidi" w:cstheme="majorBidi"/>
                <w:lang w:val="ru-RU"/>
              </w:rPr>
            </w:pPr>
            <w:r w:rsidRPr="00B00217">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00217" w:rsidRDefault="00B37CAD" w:rsidP="0023340C">
            <w:pPr>
              <w:spacing w:after="0" w:line="240" w:lineRule="auto"/>
              <w:jc w:val="center"/>
              <w:rPr>
                <w:rFonts w:asciiTheme="majorBidi" w:eastAsia="Times New Roman" w:hAnsiTheme="majorBidi" w:cstheme="majorBidi"/>
                <w:lang w:val="ru-RU"/>
              </w:rPr>
            </w:pPr>
            <w:r w:rsidRPr="00B00217">
              <w:rPr>
                <w:rFonts w:asciiTheme="majorBidi" w:eastAsia="Times New Roman" w:hAnsiTheme="majorBidi" w:cstheme="majorBidi"/>
                <w:lang w:val="ru-RU"/>
              </w:rPr>
              <w:t>20.0%</w:t>
            </w:r>
          </w:p>
        </w:tc>
        <w:tc>
          <w:tcPr>
            <w:tcW w:w="2011" w:type="dxa"/>
            <w:tcBorders>
              <w:top w:val="single" w:sz="4" w:space="0" w:color="auto"/>
              <w:left w:val="nil"/>
              <w:bottom w:val="single" w:sz="4" w:space="0" w:color="auto"/>
              <w:right w:val="single" w:sz="4" w:space="0" w:color="auto"/>
            </w:tcBorders>
            <w:shd w:val="clear" w:color="auto" w:fill="auto"/>
            <w:vAlign w:val="center"/>
            <w:hideMark/>
          </w:tcPr>
          <w:p w:rsidR="00B37CAD" w:rsidRPr="00B00217" w:rsidRDefault="00B37CAD" w:rsidP="0023340C">
            <w:pPr>
              <w:spacing w:after="0" w:line="240" w:lineRule="auto"/>
              <w:jc w:val="center"/>
              <w:rPr>
                <w:rFonts w:asciiTheme="majorBidi" w:eastAsia="Times New Roman" w:hAnsiTheme="majorBidi" w:cstheme="majorBidi"/>
                <w:lang w:val="ru-RU"/>
              </w:rPr>
            </w:pPr>
            <w:r w:rsidRPr="00B00217">
              <w:rPr>
                <w:rFonts w:asciiTheme="majorBidi" w:eastAsia="Times New Roman" w:hAnsiTheme="majorBidi" w:cstheme="majorBidi"/>
                <w:lang w:val="ru-RU"/>
              </w:rPr>
              <w:t>30.0%</w:t>
            </w:r>
          </w:p>
        </w:tc>
        <w:tc>
          <w:tcPr>
            <w:tcW w:w="2251" w:type="dxa"/>
            <w:tcBorders>
              <w:top w:val="single" w:sz="4" w:space="0" w:color="auto"/>
              <w:left w:val="nil"/>
              <w:bottom w:val="single" w:sz="4" w:space="0" w:color="auto"/>
              <w:right w:val="single" w:sz="4" w:space="0" w:color="auto"/>
            </w:tcBorders>
            <w:shd w:val="clear" w:color="auto" w:fill="auto"/>
            <w:vAlign w:val="center"/>
            <w:hideMark/>
          </w:tcPr>
          <w:p w:rsidR="00B37CAD" w:rsidRPr="00B00217" w:rsidRDefault="00B37CAD" w:rsidP="0023340C">
            <w:pPr>
              <w:spacing w:after="0" w:line="240" w:lineRule="auto"/>
              <w:jc w:val="center"/>
              <w:rPr>
                <w:rFonts w:asciiTheme="majorBidi" w:eastAsia="Times New Roman" w:hAnsiTheme="majorBidi" w:cstheme="majorBidi"/>
                <w:lang w:val="ru-RU"/>
              </w:rPr>
            </w:pPr>
            <w:r w:rsidRPr="00B00217">
              <w:rPr>
                <w:rFonts w:asciiTheme="majorBidi" w:eastAsia="Times New Roman" w:hAnsiTheme="majorBidi" w:cstheme="majorBidi"/>
                <w:lang w:val="ru-RU"/>
              </w:rPr>
              <w:t>40.0%</w:t>
            </w:r>
          </w:p>
        </w:tc>
        <w:tc>
          <w:tcPr>
            <w:tcW w:w="2216" w:type="dxa"/>
            <w:tcBorders>
              <w:top w:val="single" w:sz="4" w:space="0" w:color="auto"/>
              <w:left w:val="nil"/>
              <w:bottom w:val="single" w:sz="4" w:space="0" w:color="auto"/>
              <w:right w:val="single" w:sz="4" w:space="0" w:color="auto"/>
            </w:tcBorders>
            <w:shd w:val="clear" w:color="auto" w:fill="auto"/>
            <w:vAlign w:val="center"/>
            <w:hideMark/>
          </w:tcPr>
          <w:p w:rsidR="00B37CAD" w:rsidRPr="00B00217" w:rsidRDefault="00B37CAD" w:rsidP="0023340C">
            <w:pPr>
              <w:spacing w:after="0" w:line="240" w:lineRule="auto"/>
              <w:jc w:val="center"/>
              <w:rPr>
                <w:rFonts w:asciiTheme="majorBidi" w:eastAsia="Times New Roman" w:hAnsiTheme="majorBidi" w:cstheme="majorBidi"/>
                <w:color w:val="000000"/>
              </w:rPr>
            </w:pPr>
            <w:r w:rsidRPr="00B00217">
              <w:rPr>
                <w:rFonts w:asciiTheme="majorBidi" w:eastAsia="Times New Roman" w:hAnsiTheme="majorBidi" w:cstheme="majorBidi"/>
                <w:color w:val="000000"/>
              </w:rPr>
              <w:t> </w:t>
            </w:r>
            <w:r w:rsidRPr="00B00217">
              <w:rPr>
                <w:rFonts w:asciiTheme="majorBidi" w:eastAsia="Times New Roman" w:hAnsiTheme="majorBidi" w:cstheme="majorBidi"/>
              </w:rPr>
              <w:t>Indicator was not previously monitored</w:t>
            </w:r>
          </w:p>
        </w:tc>
      </w:tr>
      <w:tr w:rsidR="00B37CAD" w:rsidRPr="00B26D47" w:rsidTr="00315A82">
        <w:trPr>
          <w:trHeight w:val="467"/>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3.1.2: </w:t>
            </w:r>
            <w:r w:rsidR="00320BE5" w:rsidRPr="00320BE5">
              <w:rPr>
                <w:rFonts w:asciiTheme="majorBidi" w:eastAsia="Times New Roman" w:hAnsiTheme="majorBidi" w:cstheme="majorBidi"/>
                <w:b/>
                <w:bCs/>
                <w:color w:val="000000"/>
              </w:rPr>
              <w:t>Equitable access to general secondary education is ensured by creating a socially safe and supportive learning environment.</w:t>
            </w:r>
          </w:p>
        </w:tc>
      </w:tr>
      <w:tr w:rsidR="00B37CAD" w:rsidRPr="00B26D47" w:rsidTr="00315A82">
        <w:trPr>
          <w:trHeight w:val="600"/>
          <w:jc w:val="center"/>
        </w:trPr>
        <w:tc>
          <w:tcPr>
            <w:tcW w:w="4376"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838" w:type="dxa"/>
            <w:tcBorders>
              <w:top w:val="single" w:sz="4" w:space="0" w:color="auto"/>
              <w:left w:val="single" w:sz="4" w:space="0" w:color="auto"/>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2011"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2251"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16"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9B3EE7" w:rsidRPr="00B26D47" w:rsidTr="009B3EE7">
        <w:trPr>
          <w:trHeight w:val="440"/>
          <w:jc w:val="center"/>
        </w:trPr>
        <w:tc>
          <w:tcPr>
            <w:tcW w:w="53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9B3EE7" w:rsidRPr="0046725D" w:rsidRDefault="004A5FF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25</w:t>
            </w:r>
          </w:p>
        </w:tc>
        <w:tc>
          <w:tcPr>
            <w:tcW w:w="3841" w:type="dxa"/>
            <w:tcBorders>
              <w:top w:val="single" w:sz="4" w:space="0" w:color="auto"/>
              <w:left w:val="nil"/>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Gender Parity Index (GPI) for pupils by level of general secondary education, including:</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16" w:type="dxa"/>
            <w:vMerge w:val="restart"/>
            <w:tcBorders>
              <w:top w:val="nil"/>
              <w:left w:val="single" w:sz="4" w:space="0" w:color="auto"/>
              <w:bottom w:val="single" w:sz="4" w:space="0" w:color="000000"/>
              <w:right w:val="single" w:sz="4" w:space="0" w:color="auto"/>
            </w:tcBorders>
            <w:shd w:val="clear" w:color="auto" w:fill="auto"/>
            <w:vAlign w:val="center"/>
            <w:hideMark/>
          </w:tcPr>
          <w:p w:rsidR="009B3EE7" w:rsidRDefault="009B3EE7" w:rsidP="009B3EE7">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Contributes to</w:t>
            </w:r>
          </w:p>
          <w:p w:rsidR="009B3EE7" w:rsidRDefault="009B3EE7"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SDG </w:t>
            </w:r>
            <w:r>
              <w:rPr>
                <w:rFonts w:asciiTheme="majorBidi" w:eastAsia="Times New Roman" w:hAnsiTheme="majorBidi" w:cstheme="majorBidi"/>
                <w:color w:val="000000"/>
              </w:rPr>
              <w:t xml:space="preserve">Indicator </w:t>
            </w:r>
            <w:r w:rsidRPr="00B26D47">
              <w:rPr>
                <w:rFonts w:asciiTheme="majorBidi" w:eastAsia="Times New Roman" w:hAnsiTheme="majorBidi" w:cstheme="majorBidi"/>
                <w:color w:val="000000"/>
              </w:rPr>
              <w:t>4.5.1</w:t>
            </w:r>
          </w:p>
          <w:p w:rsidR="009B3EE7" w:rsidRDefault="009B3EE7" w:rsidP="009B3EE7">
            <w:pPr>
              <w:spacing w:after="0" w:line="240" w:lineRule="auto"/>
              <w:jc w:val="center"/>
              <w:rPr>
                <w:rFonts w:asciiTheme="majorBidi" w:eastAsia="Times New Roman" w:hAnsiTheme="majorBidi" w:cstheme="majorBidi"/>
              </w:rPr>
            </w:pPr>
          </w:p>
          <w:p w:rsidR="009B3EE7" w:rsidRPr="00B26D47" w:rsidRDefault="009B3EE7"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9B3EE7" w:rsidRPr="00B26D47" w:rsidTr="009B3EE7">
        <w:trPr>
          <w:trHeight w:val="300"/>
          <w:jc w:val="center"/>
        </w:trPr>
        <w:tc>
          <w:tcPr>
            <w:tcW w:w="535" w:type="dxa"/>
            <w:vMerge/>
            <w:tcBorders>
              <w:top w:val="nil"/>
              <w:left w:val="single" w:sz="4" w:space="0" w:color="auto"/>
              <w:bottom w:val="single" w:sz="4" w:space="0" w:color="000000"/>
              <w:right w:val="single" w:sz="4" w:space="0" w:color="auto"/>
            </w:tcBorders>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grades </w:t>
            </w:r>
            <w:r w:rsidRPr="0046725D">
              <w:rPr>
                <w:rFonts w:asciiTheme="majorBidi" w:eastAsia="Times New Roman" w:hAnsiTheme="majorBidi" w:cstheme="majorBidi"/>
                <w:lang w:val="ru-RU"/>
              </w:rPr>
              <w:t>1-4</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0.940</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0.950</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0.965</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0.985</w:t>
            </w:r>
          </w:p>
        </w:tc>
        <w:tc>
          <w:tcPr>
            <w:tcW w:w="2216" w:type="dxa"/>
            <w:vMerge/>
            <w:tcBorders>
              <w:top w:val="nil"/>
              <w:left w:val="single" w:sz="4" w:space="0" w:color="auto"/>
              <w:bottom w:val="single" w:sz="4" w:space="0" w:color="000000"/>
              <w:right w:val="single" w:sz="4" w:space="0" w:color="auto"/>
            </w:tcBorders>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r>
      <w:tr w:rsidR="009B3EE7" w:rsidRPr="00B26D47" w:rsidTr="009B3EE7">
        <w:trPr>
          <w:trHeight w:val="300"/>
          <w:jc w:val="center"/>
        </w:trPr>
        <w:tc>
          <w:tcPr>
            <w:tcW w:w="535" w:type="dxa"/>
            <w:vMerge/>
            <w:tcBorders>
              <w:top w:val="nil"/>
              <w:left w:val="single" w:sz="4" w:space="0" w:color="auto"/>
              <w:bottom w:val="single" w:sz="4" w:space="0" w:color="000000"/>
              <w:right w:val="single" w:sz="4" w:space="0" w:color="auto"/>
            </w:tcBorders>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nil"/>
              <w:bottom w:val="nil"/>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grades </w:t>
            </w:r>
            <w:r w:rsidRPr="0046725D">
              <w:rPr>
                <w:rFonts w:asciiTheme="majorBidi" w:eastAsia="Times New Roman" w:hAnsiTheme="majorBidi" w:cstheme="majorBidi"/>
                <w:lang w:val="ru-RU"/>
              </w:rPr>
              <w:t>5-9</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0.936</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0.945</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0.955</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0.980</w:t>
            </w:r>
          </w:p>
        </w:tc>
        <w:tc>
          <w:tcPr>
            <w:tcW w:w="2216" w:type="dxa"/>
            <w:vMerge/>
            <w:tcBorders>
              <w:top w:val="nil"/>
              <w:left w:val="single" w:sz="4" w:space="0" w:color="auto"/>
              <w:bottom w:val="single" w:sz="4" w:space="0" w:color="000000"/>
              <w:right w:val="single" w:sz="4" w:space="0" w:color="auto"/>
            </w:tcBorders>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r>
      <w:tr w:rsidR="009B3EE7" w:rsidRPr="00B26D47" w:rsidTr="009B3EE7">
        <w:trPr>
          <w:trHeight w:val="300"/>
          <w:jc w:val="center"/>
        </w:trPr>
        <w:tc>
          <w:tcPr>
            <w:tcW w:w="535" w:type="dxa"/>
            <w:vMerge/>
            <w:tcBorders>
              <w:top w:val="nil"/>
              <w:left w:val="single" w:sz="4" w:space="0" w:color="auto"/>
              <w:bottom w:val="single" w:sz="4" w:space="0" w:color="000000"/>
              <w:right w:val="single" w:sz="4" w:space="0" w:color="auto"/>
            </w:tcBorders>
            <w:vAlign w:val="center"/>
            <w:hideMark/>
          </w:tcPr>
          <w:p w:rsidR="009B3EE7" w:rsidRPr="0046725D" w:rsidRDefault="009B3EE7" w:rsidP="009B3EE7">
            <w:pPr>
              <w:spacing w:after="0" w:line="240" w:lineRule="auto"/>
              <w:rPr>
                <w:rFonts w:asciiTheme="majorBidi" w:eastAsia="Times New Roman" w:hAnsiTheme="majorBidi" w:cstheme="majorBidi"/>
              </w:rPr>
            </w:pPr>
          </w:p>
        </w:tc>
        <w:tc>
          <w:tcPr>
            <w:tcW w:w="384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grades </w:t>
            </w:r>
            <w:r w:rsidRPr="0046725D">
              <w:rPr>
                <w:rFonts w:asciiTheme="majorBidi" w:eastAsia="Times New Roman" w:hAnsiTheme="majorBidi" w:cstheme="majorBidi"/>
                <w:lang w:val="ru-RU"/>
              </w:rPr>
              <w:t>10-11</w:t>
            </w:r>
          </w:p>
        </w:tc>
        <w:tc>
          <w:tcPr>
            <w:tcW w:w="1838"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0.870</w:t>
            </w:r>
          </w:p>
        </w:tc>
        <w:tc>
          <w:tcPr>
            <w:tcW w:w="1710"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0.890</w:t>
            </w:r>
          </w:p>
        </w:tc>
        <w:tc>
          <w:tcPr>
            <w:tcW w:w="201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0.920</w:t>
            </w:r>
          </w:p>
        </w:tc>
        <w:tc>
          <w:tcPr>
            <w:tcW w:w="2251" w:type="dxa"/>
            <w:tcBorders>
              <w:top w:val="nil"/>
              <w:left w:val="nil"/>
              <w:bottom w:val="single" w:sz="4" w:space="0" w:color="auto"/>
              <w:right w:val="single" w:sz="4" w:space="0" w:color="auto"/>
            </w:tcBorders>
            <w:shd w:val="clear" w:color="auto" w:fill="auto"/>
            <w:vAlign w:val="center"/>
            <w:hideMark/>
          </w:tcPr>
          <w:p w:rsidR="009B3EE7" w:rsidRPr="0046725D" w:rsidRDefault="009B3EE7" w:rsidP="009B3EE7">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0.950</w:t>
            </w:r>
          </w:p>
        </w:tc>
        <w:tc>
          <w:tcPr>
            <w:tcW w:w="2216" w:type="dxa"/>
            <w:vMerge/>
            <w:tcBorders>
              <w:top w:val="nil"/>
              <w:left w:val="single" w:sz="4" w:space="0" w:color="auto"/>
              <w:bottom w:val="single" w:sz="4" w:space="0" w:color="000000"/>
              <w:right w:val="single" w:sz="4" w:space="0" w:color="auto"/>
            </w:tcBorders>
            <w:vAlign w:val="center"/>
            <w:hideMark/>
          </w:tcPr>
          <w:p w:rsidR="009B3EE7" w:rsidRPr="00B26D47" w:rsidRDefault="009B3EE7" w:rsidP="009B3EE7">
            <w:pPr>
              <w:spacing w:after="0" w:line="240" w:lineRule="auto"/>
              <w:rPr>
                <w:rFonts w:asciiTheme="majorBidi" w:eastAsia="Times New Roman" w:hAnsiTheme="majorBidi" w:cstheme="majorBidi"/>
                <w:color w:val="000000"/>
              </w:rPr>
            </w:pPr>
          </w:p>
        </w:tc>
      </w:tr>
      <w:tr w:rsidR="00B37CAD" w:rsidRPr="00B26D47" w:rsidTr="00315A82">
        <w:trPr>
          <w:trHeight w:val="899"/>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8E67EB">
            <w:pPr>
              <w:spacing w:after="0" w:line="240" w:lineRule="auto"/>
              <w:jc w:val="center"/>
              <w:rPr>
                <w:rFonts w:asciiTheme="majorBidi" w:eastAsia="Times New Roman" w:hAnsiTheme="majorBidi" w:cstheme="majorBidi"/>
              </w:rPr>
            </w:pPr>
            <w:r>
              <w:rPr>
                <w:rFonts w:asciiTheme="majorBidi" w:eastAsia="Times New Roman" w:hAnsiTheme="majorBidi" w:cstheme="majorBidi"/>
              </w:rPr>
              <w:t>26</w:t>
            </w:r>
          </w:p>
        </w:tc>
        <w:tc>
          <w:tcPr>
            <w:tcW w:w="3841"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Presence of approved regulatory documents governing access to inclusive education for all children, including children from vulnerable groups.</w:t>
            </w:r>
          </w:p>
        </w:tc>
        <w:tc>
          <w:tcPr>
            <w:tcW w:w="1838"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 Regulatory documents are outdated</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documents are updated</w:t>
            </w:r>
          </w:p>
        </w:tc>
        <w:tc>
          <w:tcPr>
            <w:tcW w:w="201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documents are approved and used</w:t>
            </w:r>
          </w:p>
        </w:tc>
        <w:tc>
          <w:tcPr>
            <w:tcW w:w="2251"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documents are approved and used</w:t>
            </w:r>
          </w:p>
        </w:tc>
        <w:tc>
          <w:tcPr>
            <w:tcW w:w="2216"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315A82">
        <w:trPr>
          <w:trHeight w:val="899"/>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23340C">
            <w:pPr>
              <w:spacing w:after="0" w:line="240" w:lineRule="auto"/>
              <w:jc w:val="center"/>
              <w:rPr>
                <w:rFonts w:asciiTheme="majorBidi" w:eastAsia="Times New Roman" w:hAnsiTheme="majorBidi" w:cstheme="majorBidi"/>
              </w:rPr>
            </w:pPr>
            <w:bookmarkStart w:id="3" w:name="_Hlk52804864"/>
            <w:r>
              <w:rPr>
                <w:rFonts w:asciiTheme="majorBidi" w:eastAsia="Times New Roman" w:hAnsiTheme="majorBidi" w:cstheme="majorBidi"/>
              </w:rPr>
              <w:t>27</w:t>
            </w:r>
          </w:p>
        </w:tc>
        <w:tc>
          <w:tcPr>
            <w:tcW w:w="3841" w:type="dxa"/>
            <w:tcBorders>
              <w:top w:val="single" w:sz="4" w:space="0" w:color="auto"/>
              <w:left w:val="nil"/>
              <w:bottom w:val="nil"/>
              <w:right w:val="single" w:sz="4" w:space="0" w:color="auto"/>
            </w:tcBorders>
            <w:shd w:val="clear" w:color="auto" w:fill="auto"/>
            <w:vAlign w:val="center"/>
            <w:hideMark/>
          </w:tcPr>
          <w:p w:rsidR="00B37CAD" w:rsidRPr="0046725D" w:rsidRDefault="00320BE5"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teachers professionally trained to provide a socially safe and supportive learning environment (</w:t>
            </w:r>
            <w:r w:rsidR="00B37CAD" w:rsidRPr="0046725D">
              <w:rPr>
                <w:rFonts w:asciiTheme="majorBidi" w:eastAsia="Times New Roman" w:hAnsiTheme="majorBidi" w:cstheme="majorBidi"/>
              </w:rPr>
              <w:t>in</w:t>
            </w:r>
            <w:r w:rsidRPr="0046725D">
              <w:rPr>
                <w:rFonts w:asciiTheme="majorBidi" w:eastAsia="Times New Roman" w:hAnsiTheme="majorBidi" w:cstheme="majorBidi"/>
              </w:rPr>
              <w:t xml:space="preserve"> %).</w:t>
            </w:r>
          </w:p>
        </w:tc>
        <w:tc>
          <w:tcPr>
            <w:tcW w:w="1838" w:type="dxa"/>
            <w:tcBorders>
              <w:top w:val="single" w:sz="4" w:space="0" w:color="auto"/>
              <w:left w:val="nil"/>
              <w:bottom w:val="single" w:sz="4" w:space="0" w:color="auto"/>
              <w:right w:val="single" w:sz="4" w:space="0" w:color="auto"/>
            </w:tcBorders>
            <w:shd w:val="clear" w:color="auto" w:fill="auto"/>
            <w:vAlign w:val="center"/>
            <w:hideMark/>
          </w:tcPr>
          <w:p w:rsidR="00B37CAD" w:rsidRPr="00001105" w:rsidRDefault="00B37CAD" w:rsidP="0023340C">
            <w:pPr>
              <w:spacing w:after="0" w:line="240" w:lineRule="auto"/>
              <w:jc w:val="center"/>
              <w:rPr>
                <w:rFonts w:asciiTheme="majorBidi" w:eastAsia="Times New Roman" w:hAnsiTheme="majorBidi" w:cstheme="majorBidi"/>
                <w:lang w:val="ru-RU"/>
              </w:rPr>
            </w:pPr>
            <w:r w:rsidRPr="00001105">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001105" w:rsidRDefault="00B37CAD" w:rsidP="0023340C">
            <w:pPr>
              <w:spacing w:after="0" w:line="240" w:lineRule="auto"/>
              <w:jc w:val="center"/>
              <w:rPr>
                <w:rFonts w:asciiTheme="majorBidi" w:eastAsia="Times New Roman" w:hAnsiTheme="majorBidi" w:cstheme="majorBidi"/>
                <w:lang w:val="ru-RU"/>
              </w:rPr>
            </w:pPr>
            <w:r w:rsidRPr="00001105">
              <w:rPr>
                <w:rFonts w:asciiTheme="majorBidi" w:eastAsia="Times New Roman" w:hAnsiTheme="majorBidi" w:cstheme="majorBidi"/>
                <w:lang w:val="ru-RU"/>
              </w:rPr>
              <w:t>20.0%</w:t>
            </w:r>
          </w:p>
        </w:tc>
        <w:tc>
          <w:tcPr>
            <w:tcW w:w="2011" w:type="dxa"/>
            <w:tcBorders>
              <w:top w:val="single" w:sz="4" w:space="0" w:color="auto"/>
              <w:left w:val="nil"/>
              <w:bottom w:val="single" w:sz="4" w:space="0" w:color="auto"/>
              <w:right w:val="single" w:sz="4" w:space="0" w:color="auto"/>
            </w:tcBorders>
            <w:shd w:val="clear" w:color="auto" w:fill="auto"/>
            <w:vAlign w:val="center"/>
            <w:hideMark/>
          </w:tcPr>
          <w:p w:rsidR="00B37CAD" w:rsidRPr="00001105" w:rsidRDefault="00B37CAD" w:rsidP="0023340C">
            <w:pPr>
              <w:spacing w:after="0" w:line="240" w:lineRule="auto"/>
              <w:jc w:val="center"/>
              <w:rPr>
                <w:rFonts w:asciiTheme="majorBidi" w:eastAsia="Times New Roman" w:hAnsiTheme="majorBidi" w:cstheme="majorBidi"/>
                <w:lang w:val="ru-RU"/>
              </w:rPr>
            </w:pPr>
            <w:r w:rsidRPr="00001105">
              <w:rPr>
                <w:rFonts w:asciiTheme="majorBidi" w:eastAsia="Times New Roman" w:hAnsiTheme="majorBidi" w:cstheme="majorBidi"/>
                <w:lang w:val="ru-RU"/>
              </w:rPr>
              <w:t>40.0%</w:t>
            </w:r>
          </w:p>
        </w:tc>
        <w:tc>
          <w:tcPr>
            <w:tcW w:w="2251" w:type="dxa"/>
            <w:tcBorders>
              <w:top w:val="single" w:sz="4" w:space="0" w:color="auto"/>
              <w:left w:val="nil"/>
              <w:bottom w:val="single" w:sz="4" w:space="0" w:color="auto"/>
              <w:right w:val="single" w:sz="4" w:space="0" w:color="auto"/>
            </w:tcBorders>
            <w:shd w:val="clear" w:color="auto" w:fill="auto"/>
            <w:vAlign w:val="center"/>
            <w:hideMark/>
          </w:tcPr>
          <w:p w:rsidR="00B37CAD" w:rsidRPr="00001105" w:rsidRDefault="00B37CAD" w:rsidP="0023340C">
            <w:pPr>
              <w:spacing w:after="0" w:line="240" w:lineRule="auto"/>
              <w:jc w:val="center"/>
              <w:rPr>
                <w:rFonts w:asciiTheme="majorBidi" w:eastAsia="Times New Roman" w:hAnsiTheme="majorBidi" w:cstheme="majorBidi"/>
                <w:lang w:val="ru-RU"/>
              </w:rPr>
            </w:pPr>
            <w:r w:rsidRPr="00001105">
              <w:rPr>
                <w:rFonts w:asciiTheme="majorBidi" w:eastAsia="Times New Roman" w:hAnsiTheme="majorBidi" w:cstheme="majorBidi"/>
                <w:lang w:val="ru-RU"/>
              </w:rPr>
              <w:t>60.0%</w:t>
            </w:r>
          </w:p>
        </w:tc>
        <w:tc>
          <w:tcPr>
            <w:tcW w:w="2216" w:type="dxa"/>
            <w:tcBorders>
              <w:top w:val="single" w:sz="4" w:space="0" w:color="auto"/>
              <w:left w:val="nil"/>
              <w:bottom w:val="single" w:sz="4" w:space="0" w:color="auto"/>
              <w:right w:val="single" w:sz="4" w:space="0" w:color="auto"/>
            </w:tcBorders>
            <w:shd w:val="clear" w:color="auto" w:fill="auto"/>
            <w:vAlign w:val="center"/>
            <w:hideMark/>
          </w:tcPr>
          <w:p w:rsidR="00B37CAD" w:rsidRPr="00001105" w:rsidRDefault="00B37CAD" w:rsidP="0023340C">
            <w:pPr>
              <w:spacing w:after="0" w:line="240" w:lineRule="auto"/>
              <w:jc w:val="center"/>
              <w:rPr>
                <w:rFonts w:asciiTheme="majorBidi" w:eastAsia="Times New Roman" w:hAnsiTheme="majorBidi" w:cstheme="majorBidi"/>
                <w:color w:val="000000"/>
              </w:rPr>
            </w:pPr>
            <w:r w:rsidRPr="00001105">
              <w:rPr>
                <w:rFonts w:asciiTheme="majorBidi" w:eastAsia="Times New Roman" w:hAnsiTheme="majorBidi" w:cstheme="majorBidi"/>
              </w:rPr>
              <w:t>Indicator was not previously monitored</w:t>
            </w:r>
          </w:p>
        </w:tc>
      </w:tr>
      <w:bookmarkEnd w:id="3"/>
      <w:tr w:rsidR="00B37CAD" w:rsidRPr="00B26D47" w:rsidTr="00315A82">
        <w:trPr>
          <w:trHeight w:val="615"/>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 xml:space="preserve">Long-term outcome 3.2 (Policy priority 2): </w:t>
            </w:r>
            <w:r w:rsidR="00320BE5" w:rsidRPr="00320BE5">
              <w:rPr>
                <w:rFonts w:asciiTheme="majorBidi" w:eastAsia="Times New Roman" w:hAnsiTheme="majorBidi" w:cstheme="majorBidi"/>
                <w:b/>
                <w:bCs/>
                <w:color w:val="FFFFFF" w:themeColor="background1"/>
              </w:rPr>
              <w:t xml:space="preserve">The quality and relevance of primary and secondary general education </w:t>
            </w:r>
            <w:r w:rsidRPr="00B26D47">
              <w:rPr>
                <w:rFonts w:asciiTheme="majorBidi" w:eastAsia="Times New Roman" w:hAnsiTheme="majorBidi" w:cstheme="majorBidi"/>
                <w:b/>
                <w:bCs/>
                <w:color w:val="FFFFFF" w:themeColor="background1"/>
              </w:rPr>
              <w:t>is</w:t>
            </w:r>
            <w:r w:rsidR="00320BE5" w:rsidRPr="00320BE5">
              <w:rPr>
                <w:rFonts w:asciiTheme="majorBidi" w:eastAsia="Times New Roman" w:hAnsiTheme="majorBidi" w:cstheme="majorBidi"/>
                <w:b/>
                <w:bCs/>
                <w:color w:val="FFFFFF" w:themeColor="background1"/>
              </w:rPr>
              <w:t xml:space="preserve"> improved, enabling all </w:t>
            </w:r>
            <w:r w:rsidRPr="00B26D47">
              <w:rPr>
                <w:rFonts w:asciiTheme="majorBidi" w:eastAsia="Times New Roman" w:hAnsiTheme="majorBidi" w:cstheme="majorBidi"/>
                <w:b/>
                <w:bCs/>
                <w:color w:val="FFFFFF" w:themeColor="background1"/>
              </w:rPr>
              <w:t>pupils</w:t>
            </w:r>
            <w:r w:rsidR="00320BE5" w:rsidRPr="00320BE5">
              <w:rPr>
                <w:rFonts w:asciiTheme="majorBidi" w:eastAsia="Times New Roman" w:hAnsiTheme="majorBidi" w:cstheme="majorBidi"/>
                <w:b/>
                <w:bCs/>
                <w:color w:val="FFFFFF" w:themeColor="background1"/>
              </w:rPr>
              <w:t xml:space="preserve"> to achieve the established learning outcomes</w:t>
            </w:r>
            <w:r w:rsidRPr="00B26D47">
              <w:rPr>
                <w:rFonts w:asciiTheme="majorBidi" w:eastAsia="Times New Roman" w:hAnsiTheme="majorBidi" w:cstheme="majorBidi"/>
                <w:b/>
                <w:bCs/>
                <w:color w:val="FFFFFF" w:themeColor="background1"/>
              </w:rPr>
              <w:t>.</w:t>
            </w:r>
          </w:p>
        </w:tc>
      </w:tr>
      <w:tr w:rsidR="00B37CAD" w:rsidRPr="00B26D47" w:rsidTr="00315A82">
        <w:trPr>
          <w:trHeight w:val="450"/>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3.2.1: </w:t>
            </w:r>
            <w:r w:rsidR="00320BE5" w:rsidRPr="00320BE5">
              <w:rPr>
                <w:rFonts w:asciiTheme="majorBidi" w:eastAsia="Times New Roman" w:hAnsiTheme="majorBidi" w:cstheme="majorBidi"/>
                <w:b/>
                <w:bCs/>
                <w:color w:val="000000"/>
              </w:rPr>
              <w:t xml:space="preserve">The staffing potential of professional workers of all general secondary educational institutions </w:t>
            </w:r>
            <w:r w:rsidRPr="00B26D47">
              <w:rPr>
                <w:rFonts w:asciiTheme="majorBidi" w:eastAsia="Times New Roman" w:hAnsiTheme="majorBidi" w:cstheme="majorBidi"/>
                <w:b/>
                <w:bCs/>
                <w:color w:val="000000"/>
              </w:rPr>
              <w:t>is</w:t>
            </w:r>
            <w:r w:rsidR="00320BE5" w:rsidRPr="00320BE5">
              <w:rPr>
                <w:rFonts w:asciiTheme="majorBidi" w:eastAsia="Times New Roman" w:hAnsiTheme="majorBidi" w:cstheme="majorBidi"/>
                <w:b/>
                <w:bCs/>
                <w:color w:val="000000"/>
              </w:rPr>
              <w:t xml:space="preserve"> strengthened.</w:t>
            </w:r>
          </w:p>
        </w:tc>
      </w:tr>
      <w:tr w:rsidR="00B37CAD" w:rsidRPr="00B26D47" w:rsidTr="00315A82">
        <w:trPr>
          <w:trHeight w:val="600"/>
          <w:jc w:val="center"/>
        </w:trPr>
        <w:tc>
          <w:tcPr>
            <w:tcW w:w="4376"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838"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2011"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2251"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16"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7E0467" w:rsidRPr="00B26D47" w:rsidTr="005A4EEE">
        <w:trPr>
          <w:trHeight w:val="431"/>
          <w:jc w:val="center"/>
        </w:trPr>
        <w:tc>
          <w:tcPr>
            <w:tcW w:w="535"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7E0467" w:rsidRPr="0046725D"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28</w:t>
            </w:r>
          </w:p>
        </w:tc>
        <w:tc>
          <w:tcPr>
            <w:tcW w:w="3841" w:type="dxa"/>
            <w:tcBorders>
              <w:top w:val="single" w:sz="4" w:space="0" w:color="auto"/>
              <w:left w:val="single" w:sz="4" w:space="0" w:color="auto"/>
              <w:bottom w:val="nil"/>
              <w:right w:val="single" w:sz="4" w:space="0" w:color="auto"/>
            </w:tcBorders>
            <w:shd w:val="clear" w:color="auto" w:fill="auto"/>
            <w:vAlign w:val="center"/>
            <w:hideMark/>
          </w:tcPr>
          <w:p w:rsidR="007E0467" w:rsidRPr="0046725D" w:rsidRDefault="007E0467"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Student-teacher ratio in general secondary education, including:</w:t>
            </w:r>
          </w:p>
        </w:tc>
        <w:tc>
          <w:tcPr>
            <w:tcW w:w="1838"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16.0</w:t>
            </w:r>
          </w:p>
        </w:tc>
        <w:tc>
          <w:tcPr>
            <w:tcW w:w="1710"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16.5</w:t>
            </w:r>
          </w:p>
        </w:tc>
        <w:tc>
          <w:tcPr>
            <w:tcW w:w="201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17.0</w:t>
            </w:r>
          </w:p>
        </w:tc>
        <w:tc>
          <w:tcPr>
            <w:tcW w:w="225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18.0</w:t>
            </w:r>
          </w:p>
        </w:tc>
        <w:tc>
          <w:tcPr>
            <w:tcW w:w="2216" w:type="dxa"/>
            <w:vMerge w:val="restart"/>
            <w:tcBorders>
              <w:top w:val="nil"/>
              <w:left w:val="single" w:sz="4" w:space="0" w:color="auto"/>
              <w:bottom w:val="single" w:sz="4" w:space="0" w:color="000000"/>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r>
      <w:tr w:rsidR="007E0467" w:rsidRPr="00B26D47" w:rsidTr="005A4EEE">
        <w:trPr>
          <w:trHeight w:val="300"/>
          <w:jc w:val="center"/>
        </w:trPr>
        <w:tc>
          <w:tcPr>
            <w:tcW w:w="535" w:type="dxa"/>
            <w:vMerge/>
            <w:tcBorders>
              <w:top w:val="single" w:sz="4" w:space="0" w:color="auto"/>
              <w:left w:val="single" w:sz="4" w:space="0" w:color="auto"/>
              <w:bottom w:val="single" w:sz="4" w:space="0" w:color="000000"/>
              <w:right w:val="nil"/>
            </w:tcBorders>
            <w:shd w:val="clear" w:color="auto" w:fill="auto"/>
            <w:vAlign w:val="center"/>
            <w:hideMark/>
          </w:tcPr>
          <w:p w:rsidR="007E0467" w:rsidRPr="0046725D" w:rsidRDefault="007E0467" w:rsidP="005A4EEE">
            <w:pPr>
              <w:spacing w:after="0" w:line="240" w:lineRule="auto"/>
              <w:rPr>
                <w:rFonts w:asciiTheme="majorBidi" w:eastAsia="Times New Roman" w:hAnsiTheme="majorBidi" w:cstheme="majorBidi"/>
              </w:rPr>
            </w:pPr>
          </w:p>
        </w:tc>
        <w:tc>
          <w:tcPr>
            <w:tcW w:w="3841" w:type="dxa"/>
            <w:tcBorders>
              <w:top w:val="nil"/>
              <w:left w:val="single" w:sz="4" w:space="0" w:color="auto"/>
              <w:bottom w:val="nil"/>
              <w:right w:val="single" w:sz="4" w:space="0" w:color="auto"/>
            </w:tcBorders>
            <w:shd w:val="clear" w:color="auto" w:fill="auto"/>
            <w:vAlign w:val="center"/>
            <w:hideMark/>
          </w:tcPr>
          <w:p w:rsidR="007E0467" w:rsidRPr="0046725D" w:rsidRDefault="007E0467"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grades 1-4</w:t>
            </w:r>
          </w:p>
        </w:tc>
        <w:tc>
          <w:tcPr>
            <w:tcW w:w="1838"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23.3</w:t>
            </w:r>
          </w:p>
        </w:tc>
        <w:tc>
          <w:tcPr>
            <w:tcW w:w="1710"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23.0</w:t>
            </w:r>
          </w:p>
        </w:tc>
        <w:tc>
          <w:tcPr>
            <w:tcW w:w="201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22.0</w:t>
            </w:r>
          </w:p>
        </w:tc>
        <w:tc>
          <w:tcPr>
            <w:tcW w:w="225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21.0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rPr>
            </w:pPr>
          </w:p>
        </w:tc>
      </w:tr>
      <w:tr w:rsidR="007E0467" w:rsidRPr="00B26D47" w:rsidTr="005A4EEE">
        <w:trPr>
          <w:trHeight w:val="85"/>
          <w:jc w:val="center"/>
        </w:trPr>
        <w:tc>
          <w:tcPr>
            <w:tcW w:w="535" w:type="dxa"/>
            <w:vMerge/>
            <w:tcBorders>
              <w:top w:val="single" w:sz="4" w:space="0" w:color="auto"/>
              <w:left w:val="single" w:sz="4" w:space="0" w:color="auto"/>
              <w:bottom w:val="single" w:sz="4" w:space="0" w:color="000000"/>
              <w:right w:val="nil"/>
            </w:tcBorders>
            <w:shd w:val="clear" w:color="auto" w:fill="auto"/>
            <w:vAlign w:val="center"/>
            <w:hideMark/>
          </w:tcPr>
          <w:p w:rsidR="007E0467" w:rsidRPr="0046725D" w:rsidRDefault="007E0467" w:rsidP="005A4EEE">
            <w:pPr>
              <w:spacing w:after="0" w:line="240" w:lineRule="auto"/>
              <w:rPr>
                <w:rFonts w:asciiTheme="majorBidi" w:eastAsia="Times New Roman" w:hAnsiTheme="majorBidi" w:cstheme="majorBidi"/>
              </w:rPr>
            </w:pPr>
          </w:p>
        </w:tc>
        <w:tc>
          <w:tcPr>
            <w:tcW w:w="3841" w:type="dxa"/>
            <w:tcBorders>
              <w:top w:val="nil"/>
              <w:left w:val="single" w:sz="4" w:space="0" w:color="auto"/>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grades 5-11</w:t>
            </w:r>
          </w:p>
        </w:tc>
        <w:tc>
          <w:tcPr>
            <w:tcW w:w="1838"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12.7</w:t>
            </w:r>
          </w:p>
        </w:tc>
        <w:tc>
          <w:tcPr>
            <w:tcW w:w="1710"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14.0</w:t>
            </w:r>
          </w:p>
        </w:tc>
        <w:tc>
          <w:tcPr>
            <w:tcW w:w="201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15.5</w:t>
            </w:r>
          </w:p>
        </w:tc>
        <w:tc>
          <w:tcPr>
            <w:tcW w:w="2251" w:type="dxa"/>
            <w:tcBorders>
              <w:top w:val="nil"/>
              <w:left w:val="nil"/>
              <w:bottom w:val="single" w:sz="4" w:space="0" w:color="auto"/>
              <w:right w:val="single" w:sz="4" w:space="0" w:color="auto"/>
            </w:tcBorders>
            <w:shd w:val="clear" w:color="auto" w:fill="auto"/>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18.0</w:t>
            </w:r>
          </w:p>
        </w:tc>
        <w:tc>
          <w:tcPr>
            <w:tcW w:w="2216" w:type="dxa"/>
            <w:vMerge/>
            <w:tcBorders>
              <w:top w:val="nil"/>
              <w:left w:val="single" w:sz="4" w:space="0" w:color="auto"/>
              <w:bottom w:val="single" w:sz="4" w:space="0" w:color="000000"/>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rPr>
            </w:pPr>
          </w:p>
        </w:tc>
      </w:tr>
      <w:tr w:rsidR="00B37CAD" w:rsidRPr="00B26D47" w:rsidTr="00315A82">
        <w:trPr>
          <w:trHeight w:val="8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6725D" w:rsidRDefault="004A5FF2" w:rsidP="00836054">
            <w:pPr>
              <w:spacing w:after="0" w:line="240" w:lineRule="auto"/>
              <w:jc w:val="center"/>
              <w:rPr>
                <w:rFonts w:asciiTheme="majorBidi" w:eastAsia="Times New Roman" w:hAnsiTheme="majorBidi" w:cstheme="majorBidi"/>
              </w:rPr>
            </w:pPr>
            <w:r>
              <w:rPr>
                <w:rFonts w:asciiTheme="majorBidi" w:eastAsia="Times New Roman" w:hAnsiTheme="majorBidi" w:cstheme="majorBidi"/>
              </w:rPr>
              <w:t>29</w:t>
            </w:r>
          </w:p>
        </w:tc>
        <w:tc>
          <w:tcPr>
            <w:tcW w:w="3841" w:type="dxa"/>
            <w:tcBorders>
              <w:top w:val="single" w:sz="4" w:space="0" w:color="auto"/>
              <w:left w:val="nil"/>
              <w:bottom w:val="single" w:sz="4" w:space="0" w:color="auto"/>
              <w:right w:val="single" w:sz="4" w:space="0" w:color="auto"/>
            </w:tcBorders>
            <w:shd w:val="clear" w:color="auto" w:fill="auto"/>
            <w:vAlign w:val="bottom"/>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teachers of general secondary educational institutions who have completed advanced training and retraining courses, i.e. professional development courses (in %).</w:t>
            </w:r>
          </w:p>
        </w:tc>
        <w:tc>
          <w:tcPr>
            <w:tcW w:w="1838"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024743" w:rsidP="00024743">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20% of all teachers each year (in accordance with education legislation)</w:t>
            </w:r>
          </w:p>
        </w:tc>
        <w:tc>
          <w:tcPr>
            <w:tcW w:w="1710"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60.0%</w:t>
            </w:r>
            <w:r w:rsidR="00024743" w:rsidRPr="0046725D">
              <w:rPr>
                <w:rFonts w:asciiTheme="majorBidi" w:eastAsia="Times New Roman" w:hAnsiTheme="majorBidi" w:cstheme="majorBidi"/>
              </w:rPr>
              <w:t xml:space="preserve"> (or 20% each year)</w:t>
            </w:r>
          </w:p>
        </w:tc>
        <w:tc>
          <w:tcPr>
            <w:tcW w:w="2011"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024743"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6</w:t>
            </w:r>
            <w:r w:rsidR="00B37CAD" w:rsidRPr="0046725D">
              <w:rPr>
                <w:rFonts w:asciiTheme="majorBidi" w:eastAsia="Times New Roman" w:hAnsiTheme="majorBidi" w:cstheme="majorBidi"/>
                <w:lang w:val="ru-RU"/>
              </w:rPr>
              <w:t>0.0%</w:t>
            </w:r>
            <w:r w:rsidRPr="0046725D">
              <w:rPr>
                <w:rFonts w:asciiTheme="majorBidi" w:eastAsia="Times New Roman" w:hAnsiTheme="majorBidi" w:cstheme="majorBidi"/>
              </w:rPr>
              <w:t xml:space="preserve"> (or 20% each year)</w:t>
            </w:r>
          </w:p>
        </w:tc>
        <w:tc>
          <w:tcPr>
            <w:tcW w:w="2251" w:type="dxa"/>
            <w:tcBorders>
              <w:top w:val="single" w:sz="4" w:space="0" w:color="auto"/>
              <w:left w:val="nil"/>
              <w:bottom w:val="single" w:sz="4" w:space="0" w:color="auto"/>
              <w:right w:val="single" w:sz="4" w:space="0" w:color="auto"/>
            </w:tcBorders>
            <w:shd w:val="clear" w:color="auto" w:fill="auto"/>
            <w:noWrap/>
            <w:vAlign w:val="center"/>
            <w:hideMark/>
          </w:tcPr>
          <w:p w:rsidR="00B37CAD" w:rsidRPr="0046725D" w:rsidRDefault="00024743"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6</w:t>
            </w:r>
            <w:r w:rsidR="00B37CAD" w:rsidRPr="0046725D">
              <w:rPr>
                <w:rFonts w:asciiTheme="majorBidi" w:eastAsia="Times New Roman" w:hAnsiTheme="majorBidi" w:cstheme="majorBidi"/>
                <w:lang w:val="ru-RU"/>
              </w:rPr>
              <w:t>0.0%</w:t>
            </w:r>
            <w:r w:rsidRPr="0046725D">
              <w:rPr>
                <w:rFonts w:asciiTheme="majorBidi" w:eastAsia="Times New Roman" w:hAnsiTheme="majorBidi" w:cstheme="majorBidi"/>
              </w:rPr>
              <w:t xml:space="preserve"> (or 20% each year)</w:t>
            </w:r>
          </w:p>
        </w:tc>
        <w:tc>
          <w:tcPr>
            <w:tcW w:w="2216" w:type="dxa"/>
            <w:tcBorders>
              <w:top w:val="single" w:sz="4" w:space="0" w:color="auto"/>
              <w:left w:val="nil"/>
              <w:bottom w:val="single" w:sz="4" w:space="0" w:color="auto"/>
              <w:right w:val="single" w:sz="4" w:space="0" w:color="auto"/>
            </w:tcBorders>
            <w:shd w:val="clear" w:color="auto" w:fill="auto"/>
            <w:vAlign w:val="center"/>
            <w:hideMark/>
          </w:tcPr>
          <w:p w:rsidR="006714FD" w:rsidRDefault="006714FD" w:rsidP="006714FD">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Contributes to</w:t>
            </w:r>
          </w:p>
          <w:p w:rsidR="00B37CAD" w:rsidRPr="00024743" w:rsidRDefault="00B37CAD" w:rsidP="006714FD">
            <w:pPr>
              <w:spacing w:after="0" w:line="240" w:lineRule="auto"/>
              <w:jc w:val="center"/>
              <w:rPr>
                <w:rFonts w:asciiTheme="majorBidi" w:eastAsia="Times New Roman" w:hAnsiTheme="majorBidi" w:cstheme="majorBidi"/>
                <w:color w:val="000000"/>
              </w:rPr>
            </w:pPr>
            <w:r w:rsidRPr="00024743">
              <w:rPr>
                <w:rFonts w:asciiTheme="majorBidi" w:eastAsia="Times New Roman" w:hAnsiTheme="majorBidi" w:cstheme="majorBidi"/>
                <w:color w:val="000000"/>
              </w:rPr>
              <w:t xml:space="preserve">SDG </w:t>
            </w:r>
            <w:r w:rsidR="006714FD">
              <w:rPr>
                <w:rFonts w:asciiTheme="majorBidi" w:eastAsia="Times New Roman" w:hAnsiTheme="majorBidi" w:cstheme="majorBidi"/>
                <w:color w:val="000000"/>
              </w:rPr>
              <w:t xml:space="preserve">Indicator </w:t>
            </w:r>
            <w:r w:rsidRPr="00024743">
              <w:rPr>
                <w:rFonts w:asciiTheme="majorBidi" w:eastAsia="Times New Roman" w:hAnsiTheme="majorBidi" w:cstheme="majorBidi"/>
                <w:color w:val="000000"/>
              </w:rPr>
              <w:t>4.</w:t>
            </w:r>
            <w:r w:rsidR="006714FD">
              <w:rPr>
                <w:rFonts w:asciiTheme="majorBidi" w:eastAsia="Times New Roman" w:hAnsiTheme="majorBidi" w:cstheme="majorBidi"/>
                <w:color w:val="000000"/>
              </w:rPr>
              <w:t>c</w:t>
            </w:r>
            <w:r w:rsidRPr="00024743">
              <w:rPr>
                <w:rFonts w:asciiTheme="majorBidi" w:eastAsia="Times New Roman" w:hAnsiTheme="majorBidi" w:cstheme="majorBidi"/>
                <w:color w:val="000000"/>
              </w:rPr>
              <w:t>.</w:t>
            </w:r>
            <w:r w:rsidR="006714FD">
              <w:rPr>
                <w:rFonts w:asciiTheme="majorBidi" w:eastAsia="Times New Roman" w:hAnsiTheme="majorBidi" w:cstheme="majorBidi"/>
                <w:color w:val="000000"/>
              </w:rPr>
              <w:t>1</w:t>
            </w:r>
          </w:p>
        </w:tc>
      </w:tr>
      <w:tr w:rsidR="00C75B51" w:rsidRPr="00B26D47" w:rsidTr="00315A82">
        <w:trPr>
          <w:trHeight w:val="800"/>
          <w:jc w:val="center"/>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75B51" w:rsidRPr="0046725D" w:rsidRDefault="004A5FF2" w:rsidP="00836054">
            <w:pPr>
              <w:spacing w:after="0" w:line="240" w:lineRule="auto"/>
              <w:jc w:val="center"/>
              <w:rPr>
                <w:rFonts w:asciiTheme="majorBidi" w:eastAsia="Times New Roman" w:hAnsiTheme="majorBidi" w:cstheme="majorBidi"/>
              </w:rPr>
            </w:pPr>
            <w:r>
              <w:rPr>
                <w:rFonts w:asciiTheme="majorBidi" w:eastAsia="Times New Roman" w:hAnsiTheme="majorBidi" w:cstheme="majorBidi"/>
              </w:rPr>
              <w:t>30</w:t>
            </w:r>
          </w:p>
        </w:tc>
        <w:tc>
          <w:tcPr>
            <w:tcW w:w="3841" w:type="dxa"/>
            <w:tcBorders>
              <w:top w:val="single" w:sz="4" w:space="0" w:color="auto"/>
              <w:left w:val="nil"/>
              <w:bottom w:val="single" w:sz="4" w:space="0" w:color="auto"/>
              <w:right w:val="single" w:sz="4" w:space="0" w:color="auto"/>
            </w:tcBorders>
            <w:shd w:val="clear" w:color="auto" w:fill="auto"/>
            <w:vAlign w:val="bottom"/>
          </w:tcPr>
          <w:p w:rsidR="00C75B51" w:rsidRPr="0046725D" w:rsidRDefault="004C35D9" w:rsidP="00C75B51">
            <w:pPr>
              <w:spacing w:after="0" w:line="240" w:lineRule="auto"/>
              <w:rPr>
                <w:rFonts w:asciiTheme="majorBidi" w:eastAsia="Times New Roman" w:hAnsiTheme="majorBidi" w:cstheme="majorBidi"/>
              </w:rPr>
            </w:pPr>
            <w:r w:rsidRPr="0046725D">
              <w:rPr>
                <w:rFonts w:asciiTheme="majorBidi" w:eastAsia="Times New Roman" w:hAnsiTheme="majorBidi" w:cstheme="majorBidi"/>
              </w:rPr>
              <w:t>M</w:t>
            </w:r>
            <w:r w:rsidR="00C75B51" w:rsidRPr="0046725D">
              <w:rPr>
                <w:rFonts w:asciiTheme="majorBidi" w:eastAsia="Times New Roman" w:hAnsiTheme="majorBidi" w:cstheme="majorBidi"/>
              </w:rPr>
              <w:t xml:space="preserve">echanisms and necessary infrastructure for distance and blended learning are developed and </w:t>
            </w:r>
            <w:r w:rsidR="00F722C6" w:rsidRPr="0046725D">
              <w:rPr>
                <w:rFonts w:asciiTheme="majorBidi" w:eastAsia="Times New Roman" w:hAnsiTheme="majorBidi" w:cstheme="majorBidi"/>
              </w:rPr>
              <w:t xml:space="preserve">digital solutions </w:t>
            </w:r>
            <w:r w:rsidRPr="0046725D">
              <w:rPr>
                <w:rFonts w:asciiTheme="majorBidi" w:eastAsia="Times New Roman" w:hAnsiTheme="majorBidi" w:cstheme="majorBidi"/>
              </w:rPr>
              <w:t xml:space="preserve">are </w:t>
            </w:r>
            <w:r w:rsidR="00C75B51" w:rsidRPr="0046725D">
              <w:rPr>
                <w:rFonts w:asciiTheme="majorBidi" w:eastAsia="Times New Roman" w:hAnsiTheme="majorBidi" w:cstheme="majorBidi"/>
              </w:rPr>
              <w:t xml:space="preserve">provided to support </w:t>
            </w:r>
            <w:r w:rsidR="00F722C6" w:rsidRPr="0046725D">
              <w:rPr>
                <w:rFonts w:asciiTheme="majorBidi" w:eastAsia="Times New Roman" w:hAnsiTheme="majorBidi" w:cstheme="majorBidi"/>
              </w:rPr>
              <w:t>teachers’ pedagogical skills and improve students’ learning outcomes</w:t>
            </w:r>
            <w:r w:rsidRPr="0046725D">
              <w:rPr>
                <w:rFonts w:asciiTheme="majorBidi" w:eastAsia="Times New Roman" w:hAnsiTheme="majorBidi" w:cstheme="majorBidi"/>
              </w:rPr>
              <w:t>.</w:t>
            </w:r>
          </w:p>
        </w:tc>
        <w:tc>
          <w:tcPr>
            <w:tcW w:w="1838" w:type="dxa"/>
            <w:tcBorders>
              <w:top w:val="single" w:sz="4" w:space="0" w:color="auto"/>
              <w:left w:val="nil"/>
              <w:bottom w:val="single" w:sz="4" w:space="0" w:color="auto"/>
              <w:right w:val="single" w:sz="4" w:space="0" w:color="auto"/>
            </w:tcBorders>
            <w:shd w:val="clear" w:color="auto" w:fill="auto"/>
            <w:noWrap/>
            <w:vAlign w:val="center"/>
          </w:tcPr>
          <w:p w:rsidR="00C75B51" w:rsidRPr="0046725D" w:rsidRDefault="004C35D9" w:rsidP="00C75B51">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Mechanisms for distance and blended learning do not exist</w:t>
            </w:r>
          </w:p>
        </w:tc>
        <w:tc>
          <w:tcPr>
            <w:tcW w:w="1710" w:type="dxa"/>
            <w:tcBorders>
              <w:top w:val="single" w:sz="4" w:space="0" w:color="auto"/>
              <w:left w:val="nil"/>
              <w:bottom w:val="single" w:sz="4" w:space="0" w:color="auto"/>
              <w:right w:val="single" w:sz="4" w:space="0" w:color="auto"/>
            </w:tcBorders>
            <w:shd w:val="clear" w:color="auto" w:fill="auto"/>
            <w:noWrap/>
            <w:vAlign w:val="center"/>
          </w:tcPr>
          <w:p w:rsidR="00C75B51" w:rsidRPr="0046725D" w:rsidRDefault="004C35D9" w:rsidP="00C75B51">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Mechanisms are developed, taking into account infrastructure needs</w:t>
            </w:r>
          </w:p>
        </w:tc>
        <w:tc>
          <w:tcPr>
            <w:tcW w:w="2011" w:type="dxa"/>
            <w:tcBorders>
              <w:top w:val="single" w:sz="4" w:space="0" w:color="auto"/>
              <w:left w:val="nil"/>
              <w:bottom w:val="single" w:sz="4" w:space="0" w:color="auto"/>
              <w:right w:val="single" w:sz="4" w:space="0" w:color="auto"/>
            </w:tcBorders>
            <w:shd w:val="clear" w:color="auto" w:fill="auto"/>
            <w:noWrap/>
            <w:vAlign w:val="center"/>
          </w:tcPr>
          <w:p w:rsidR="00C75B51" w:rsidRPr="0046725D" w:rsidRDefault="004C35D9" w:rsidP="004C35D9">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Mechanisms and digital solutions are piloted, assessed and approved for nationwide implementation</w:t>
            </w:r>
          </w:p>
        </w:tc>
        <w:tc>
          <w:tcPr>
            <w:tcW w:w="2251" w:type="dxa"/>
            <w:tcBorders>
              <w:top w:val="single" w:sz="4" w:space="0" w:color="auto"/>
              <w:left w:val="nil"/>
              <w:bottom w:val="single" w:sz="4" w:space="0" w:color="auto"/>
              <w:right w:val="single" w:sz="4" w:space="0" w:color="auto"/>
            </w:tcBorders>
            <w:shd w:val="clear" w:color="auto" w:fill="auto"/>
            <w:noWrap/>
            <w:vAlign w:val="center"/>
          </w:tcPr>
          <w:p w:rsidR="00C75B51" w:rsidRPr="0046725D" w:rsidRDefault="004C35D9" w:rsidP="00C75B51">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Mechanisms and digital solutions are in place and implemented nationally</w:t>
            </w:r>
          </w:p>
        </w:tc>
        <w:tc>
          <w:tcPr>
            <w:tcW w:w="2216" w:type="dxa"/>
            <w:tcBorders>
              <w:top w:val="single" w:sz="4" w:space="0" w:color="auto"/>
              <w:left w:val="nil"/>
              <w:bottom w:val="single" w:sz="4" w:space="0" w:color="auto"/>
              <w:right w:val="single" w:sz="4" w:space="0" w:color="auto"/>
            </w:tcBorders>
            <w:shd w:val="clear" w:color="auto" w:fill="auto"/>
            <w:vAlign w:val="center"/>
          </w:tcPr>
          <w:p w:rsidR="00C75B51" w:rsidRPr="0046725D" w:rsidRDefault="00AE6C6F" w:rsidP="00C75B51">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r>
      <w:tr w:rsidR="00C75B51" w:rsidRPr="00B26D47" w:rsidTr="00315A82">
        <w:trPr>
          <w:trHeight w:val="899"/>
          <w:jc w:val="center"/>
        </w:trPr>
        <w:tc>
          <w:tcPr>
            <w:tcW w:w="535" w:type="dxa"/>
            <w:vMerge w:val="restart"/>
            <w:tcBorders>
              <w:top w:val="single" w:sz="4" w:space="0" w:color="auto"/>
              <w:left w:val="single" w:sz="4" w:space="0" w:color="auto"/>
              <w:right w:val="single" w:sz="4" w:space="0" w:color="auto"/>
            </w:tcBorders>
            <w:shd w:val="clear" w:color="auto" w:fill="auto"/>
            <w:noWrap/>
            <w:vAlign w:val="center"/>
            <w:hideMark/>
          </w:tcPr>
          <w:p w:rsidR="00C75B51" w:rsidRPr="0046725D" w:rsidRDefault="004A5FF2" w:rsidP="00836054">
            <w:pPr>
              <w:spacing w:after="0" w:line="240" w:lineRule="auto"/>
              <w:jc w:val="center"/>
              <w:rPr>
                <w:rFonts w:asciiTheme="majorBidi" w:eastAsia="Times New Roman" w:hAnsiTheme="majorBidi" w:cstheme="majorBidi"/>
              </w:rPr>
            </w:pPr>
            <w:r>
              <w:rPr>
                <w:rFonts w:asciiTheme="majorBidi" w:eastAsia="Times New Roman" w:hAnsiTheme="majorBidi" w:cstheme="majorBidi"/>
              </w:rPr>
              <w:t>31</w:t>
            </w:r>
          </w:p>
        </w:tc>
        <w:tc>
          <w:tcPr>
            <w:tcW w:w="3841" w:type="dxa"/>
            <w:tcBorders>
              <w:top w:val="single" w:sz="4" w:space="0" w:color="auto"/>
              <w:left w:val="single" w:sz="4" w:space="0" w:color="auto"/>
              <w:right w:val="single" w:sz="4" w:space="0" w:color="auto"/>
            </w:tcBorders>
            <w:shd w:val="clear" w:color="auto" w:fill="auto"/>
            <w:vAlign w:val="bottom"/>
            <w:hideMark/>
          </w:tcPr>
          <w:p w:rsidR="00C75B51" w:rsidRPr="00B26D47" w:rsidRDefault="00C75B51" w:rsidP="00C75B51">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The share of teachers of the Institute for Professional Development who completed professional development courses </w:t>
            </w:r>
            <w:r w:rsidR="00320BE5" w:rsidRPr="00320BE5">
              <w:rPr>
                <w:rFonts w:asciiTheme="majorBidi" w:eastAsia="Times New Roman" w:hAnsiTheme="majorBidi" w:cstheme="majorBidi"/>
                <w:color w:val="000000"/>
              </w:rPr>
              <w:t>(</w:t>
            </w:r>
            <w:r w:rsidRPr="00B26D47">
              <w:rPr>
                <w:rFonts w:asciiTheme="majorBidi" w:eastAsia="Times New Roman" w:hAnsiTheme="majorBidi" w:cstheme="majorBidi"/>
                <w:color w:val="000000"/>
              </w:rPr>
              <w:t>in</w:t>
            </w:r>
            <w:r w:rsidR="00320BE5" w:rsidRPr="00320BE5">
              <w:rPr>
                <w:rFonts w:asciiTheme="majorBidi" w:eastAsia="Times New Roman" w:hAnsiTheme="majorBidi" w:cstheme="majorBidi"/>
                <w:color w:val="000000"/>
              </w:rPr>
              <w:t xml:space="preserve"> %), </w:t>
            </w:r>
            <w:r w:rsidRPr="00B26D47">
              <w:rPr>
                <w:rFonts w:asciiTheme="majorBidi" w:eastAsia="Times New Roman" w:hAnsiTheme="majorBidi" w:cstheme="majorBidi"/>
                <w:color w:val="000000"/>
              </w:rPr>
              <w:t>including</w:t>
            </w:r>
            <w:r w:rsidR="00320BE5" w:rsidRPr="00320BE5">
              <w:rPr>
                <w:rFonts w:asciiTheme="majorBidi" w:eastAsia="Times New Roman" w:hAnsiTheme="majorBidi" w:cstheme="majorBidi"/>
                <w:color w:val="000000"/>
              </w:rPr>
              <w:t>:</w:t>
            </w:r>
          </w:p>
        </w:tc>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w:t>
            </w:r>
          </w:p>
        </w:tc>
        <w:tc>
          <w:tcPr>
            <w:tcW w:w="2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2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16" w:type="dxa"/>
            <w:vMerge w:val="restart"/>
            <w:tcBorders>
              <w:top w:val="single" w:sz="4" w:space="0" w:color="auto"/>
              <w:left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color w:val="FF0000"/>
              </w:rPr>
            </w:pPr>
            <w:r w:rsidRPr="00B26D47">
              <w:rPr>
                <w:rFonts w:asciiTheme="majorBidi" w:eastAsia="Times New Roman" w:hAnsiTheme="majorBidi" w:cstheme="majorBidi"/>
              </w:rPr>
              <w:t>Indicator was not previously monitored</w:t>
            </w:r>
          </w:p>
        </w:tc>
      </w:tr>
      <w:tr w:rsidR="00C75B51" w:rsidRPr="00B26D47" w:rsidTr="00315A82">
        <w:trPr>
          <w:trHeight w:val="287"/>
          <w:jc w:val="center"/>
        </w:trPr>
        <w:tc>
          <w:tcPr>
            <w:tcW w:w="535" w:type="dxa"/>
            <w:vMerge/>
            <w:tcBorders>
              <w:left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p>
        </w:tc>
        <w:tc>
          <w:tcPr>
            <w:tcW w:w="3841" w:type="dxa"/>
            <w:tcBorders>
              <w:left w:val="single" w:sz="4" w:space="0" w:color="auto"/>
              <w:right w:val="single" w:sz="4" w:space="0" w:color="auto"/>
            </w:tcBorders>
            <w:shd w:val="clear" w:color="auto" w:fill="auto"/>
            <w:vAlign w:val="center"/>
            <w:hideMark/>
          </w:tcPr>
          <w:p w:rsidR="00C75B51" w:rsidRPr="00B26D47" w:rsidRDefault="00C75B51" w:rsidP="00C75B51">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national courses</w:t>
            </w:r>
          </w:p>
        </w:tc>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024743" w:rsidP="00C75B51">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3</w:t>
            </w:r>
            <w:r w:rsidR="00C75B51" w:rsidRPr="00B26D47">
              <w:rPr>
                <w:rFonts w:asciiTheme="majorBidi" w:eastAsia="Times New Roman" w:hAnsiTheme="majorBidi" w:cstheme="majorBidi"/>
                <w:lang w:val="ru-RU"/>
              </w:rPr>
              <w:t>0.0%</w:t>
            </w:r>
          </w:p>
        </w:tc>
        <w:tc>
          <w:tcPr>
            <w:tcW w:w="2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024743" w:rsidP="00C75B51">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5</w:t>
            </w:r>
            <w:r w:rsidR="00C75B51" w:rsidRPr="00B26D47">
              <w:rPr>
                <w:rFonts w:asciiTheme="majorBidi" w:eastAsia="Times New Roman" w:hAnsiTheme="majorBidi" w:cstheme="majorBidi"/>
                <w:lang w:val="ru-RU"/>
              </w:rPr>
              <w:t>0.0%</w:t>
            </w:r>
          </w:p>
        </w:tc>
        <w:tc>
          <w:tcPr>
            <w:tcW w:w="2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024743" w:rsidP="00C75B51">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8</w:t>
            </w:r>
            <w:r w:rsidR="00C75B51" w:rsidRPr="00B26D47">
              <w:rPr>
                <w:rFonts w:asciiTheme="majorBidi" w:eastAsia="Times New Roman" w:hAnsiTheme="majorBidi" w:cstheme="majorBidi"/>
                <w:lang w:val="ru-RU"/>
              </w:rPr>
              <w:t>0.0%</w:t>
            </w:r>
          </w:p>
        </w:tc>
        <w:tc>
          <w:tcPr>
            <w:tcW w:w="2216" w:type="dxa"/>
            <w:vMerge/>
            <w:tcBorders>
              <w:left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rPr>
                <w:rFonts w:asciiTheme="majorBidi" w:eastAsia="Times New Roman" w:hAnsiTheme="majorBidi" w:cstheme="majorBidi"/>
                <w:color w:val="FF0000"/>
              </w:rPr>
            </w:pPr>
          </w:p>
        </w:tc>
      </w:tr>
      <w:tr w:rsidR="00C75B51" w:rsidRPr="00B26D47" w:rsidTr="00315A82">
        <w:trPr>
          <w:trHeight w:val="170"/>
          <w:jc w:val="center"/>
        </w:trPr>
        <w:tc>
          <w:tcPr>
            <w:tcW w:w="535" w:type="dxa"/>
            <w:vMerge/>
            <w:tcBorders>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p>
        </w:tc>
        <w:tc>
          <w:tcPr>
            <w:tcW w:w="3841" w:type="dxa"/>
            <w:tcBorders>
              <w:left w:val="single" w:sz="4" w:space="0" w:color="auto"/>
              <w:bottom w:val="single" w:sz="4" w:space="0" w:color="auto"/>
              <w:right w:val="single" w:sz="4" w:space="0" w:color="auto"/>
            </w:tcBorders>
            <w:shd w:val="clear" w:color="auto" w:fill="auto"/>
            <w:vAlign w:val="center"/>
            <w:hideMark/>
          </w:tcPr>
          <w:p w:rsidR="00C75B51" w:rsidRPr="0046725D" w:rsidRDefault="00C75B51" w:rsidP="00C75B51">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international courses</w:t>
            </w:r>
          </w:p>
        </w:tc>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0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225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2216" w:type="dxa"/>
            <w:vMerge/>
            <w:tcBorders>
              <w:left w:val="single" w:sz="4" w:space="0" w:color="auto"/>
              <w:bottom w:val="single" w:sz="4" w:space="0" w:color="auto"/>
              <w:right w:val="single" w:sz="4" w:space="0" w:color="auto"/>
            </w:tcBorders>
            <w:shd w:val="clear" w:color="auto" w:fill="auto"/>
            <w:noWrap/>
            <w:vAlign w:val="center"/>
            <w:hideMark/>
          </w:tcPr>
          <w:p w:rsidR="00C75B51" w:rsidRPr="00B26D47" w:rsidRDefault="00C75B51" w:rsidP="00C75B51">
            <w:pPr>
              <w:spacing w:after="0" w:line="240" w:lineRule="auto"/>
              <w:rPr>
                <w:rFonts w:asciiTheme="majorBidi" w:eastAsia="Times New Roman" w:hAnsiTheme="majorBidi" w:cstheme="majorBidi"/>
                <w:color w:val="FF0000"/>
              </w:rPr>
            </w:pPr>
          </w:p>
        </w:tc>
      </w:tr>
      <w:tr w:rsidR="00C75B51" w:rsidRPr="00B26D47" w:rsidTr="00315A82">
        <w:trPr>
          <w:trHeight w:val="530"/>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C75B51" w:rsidRPr="00B26D47" w:rsidRDefault="00C75B51" w:rsidP="00C75B51">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3.2.2: The curriculum based on the competency-based approach in general secondary educational institutions has been improved.</w:t>
            </w:r>
          </w:p>
        </w:tc>
      </w:tr>
      <w:tr w:rsidR="00C75B51" w:rsidRPr="00B26D47" w:rsidTr="00315A82">
        <w:trPr>
          <w:trHeight w:val="600"/>
          <w:jc w:val="center"/>
        </w:trPr>
        <w:tc>
          <w:tcPr>
            <w:tcW w:w="4376"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838"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2011"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2251"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16" w:type="dxa"/>
            <w:tcBorders>
              <w:top w:val="nil"/>
              <w:left w:val="nil"/>
              <w:bottom w:val="single" w:sz="4" w:space="0" w:color="auto"/>
              <w:right w:val="single" w:sz="4" w:space="0" w:color="auto"/>
            </w:tcBorders>
            <w:shd w:val="clear" w:color="000000" w:fill="D9D9D9"/>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7E0467" w:rsidRPr="00B26D47" w:rsidTr="005A4EEE">
        <w:trPr>
          <w:trHeight w:val="300"/>
          <w:jc w:val="center"/>
        </w:trPr>
        <w:tc>
          <w:tcPr>
            <w:tcW w:w="535" w:type="dxa"/>
            <w:vMerge w:val="restart"/>
            <w:tcBorders>
              <w:top w:val="nil"/>
              <w:left w:val="single" w:sz="4" w:space="0" w:color="auto"/>
              <w:right w:val="single" w:sz="4" w:space="0" w:color="auto"/>
            </w:tcBorders>
            <w:vAlign w:val="center"/>
            <w:hideMark/>
          </w:tcPr>
          <w:p w:rsidR="007E0467" w:rsidRPr="0046725D" w:rsidRDefault="004A5FF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32</w:t>
            </w:r>
          </w:p>
        </w:tc>
        <w:tc>
          <w:tcPr>
            <w:tcW w:w="3841" w:type="dxa"/>
            <w:tcBorders>
              <w:top w:val="single" w:sz="4" w:space="0" w:color="auto"/>
              <w:left w:val="nil"/>
              <w:right w:val="single" w:sz="4" w:space="0" w:color="auto"/>
            </w:tcBorders>
            <w:shd w:val="clear" w:color="auto" w:fill="auto"/>
            <w:vAlign w:val="center"/>
            <w:hideMark/>
          </w:tcPr>
          <w:p w:rsidR="007E0467" w:rsidRPr="00330DD1" w:rsidRDefault="007E0467" w:rsidP="005A4EEE">
            <w:pPr>
              <w:spacing w:after="0" w:line="240" w:lineRule="auto"/>
              <w:rPr>
                <w:rFonts w:asciiTheme="majorBidi" w:eastAsia="Times New Roman" w:hAnsiTheme="majorBidi" w:cstheme="majorBidi"/>
                <w:color w:val="000000"/>
              </w:rPr>
            </w:pPr>
            <w:r>
              <w:rPr>
                <w:rFonts w:asciiTheme="majorBidi" w:eastAsia="Times New Roman" w:hAnsiTheme="majorBidi" w:cstheme="majorBidi"/>
                <w:color w:val="000000"/>
              </w:rPr>
              <w:t>Proportion</w:t>
            </w:r>
            <w:r w:rsidRPr="00320BE5">
              <w:rPr>
                <w:rFonts w:asciiTheme="majorBidi" w:eastAsia="Times New Roman" w:hAnsiTheme="majorBidi" w:cstheme="majorBidi"/>
                <w:color w:val="000000"/>
              </w:rPr>
              <w:t xml:space="preserve"> of children and you</w:t>
            </w:r>
            <w:r>
              <w:rPr>
                <w:rFonts w:asciiTheme="majorBidi" w:eastAsia="Times New Roman" w:hAnsiTheme="majorBidi" w:cstheme="majorBidi"/>
                <w:color w:val="000000"/>
              </w:rPr>
              <w:t xml:space="preserve">ng people </w:t>
            </w:r>
            <w:r w:rsidRPr="00320BE5">
              <w:rPr>
                <w:rFonts w:asciiTheme="majorBidi" w:eastAsia="Times New Roman" w:hAnsiTheme="majorBidi" w:cstheme="majorBidi"/>
                <w:color w:val="000000"/>
              </w:rPr>
              <w:t>who have reached a</w:t>
            </w:r>
            <w:r>
              <w:rPr>
                <w:rFonts w:asciiTheme="majorBidi" w:eastAsia="Times New Roman" w:hAnsiTheme="majorBidi" w:cstheme="majorBidi"/>
                <w:color w:val="000000"/>
              </w:rPr>
              <w:t>chieving a</w:t>
            </w:r>
            <w:r w:rsidRPr="00320BE5">
              <w:rPr>
                <w:rFonts w:asciiTheme="majorBidi" w:eastAsia="Times New Roman" w:hAnsiTheme="majorBidi" w:cstheme="majorBidi"/>
                <w:color w:val="000000"/>
              </w:rPr>
              <w:t xml:space="preserve">t least </w:t>
            </w:r>
            <w:r>
              <w:rPr>
                <w:rFonts w:asciiTheme="majorBidi" w:eastAsia="Times New Roman" w:hAnsiTheme="majorBidi" w:cstheme="majorBidi"/>
                <w:color w:val="000000"/>
              </w:rPr>
              <w:t>a</w:t>
            </w:r>
            <w:r w:rsidRPr="00320BE5">
              <w:rPr>
                <w:rFonts w:asciiTheme="majorBidi" w:eastAsia="Times New Roman" w:hAnsiTheme="majorBidi" w:cstheme="majorBidi"/>
                <w:color w:val="000000"/>
              </w:rPr>
              <w:t xml:space="preserve"> minimum </w:t>
            </w:r>
            <w:r>
              <w:rPr>
                <w:rFonts w:asciiTheme="majorBidi" w:eastAsia="Times New Roman" w:hAnsiTheme="majorBidi" w:cstheme="majorBidi"/>
                <w:color w:val="000000"/>
              </w:rPr>
              <w:t xml:space="preserve">proficiency </w:t>
            </w:r>
            <w:r w:rsidRPr="00320BE5">
              <w:rPr>
                <w:rFonts w:asciiTheme="majorBidi" w:eastAsia="Times New Roman" w:hAnsiTheme="majorBidi" w:cstheme="majorBidi"/>
                <w:color w:val="000000"/>
              </w:rPr>
              <w:t xml:space="preserve">level </w:t>
            </w:r>
            <w:r>
              <w:rPr>
                <w:rFonts w:asciiTheme="majorBidi" w:eastAsia="Times New Roman" w:hAnsiTheme="majorBidi" w:cstheme="majorBidi"/>
                <w:color w:val="000000"/>
              </w:rPr>
              <w:t>in reading and mathematics</w:t>
            </w:r>
            <w:r w:rsidRPr="00320BE5">
              <w:rPr>
                <w:rFonts w:asciiTheme="majorBidi" w:eastAsia="Times New Roman" w:hAnsiTheme="majorBidi" w:cstheme="majorBidi"/>
                <w:color w:val="000000"/>
              </w:rPr>
              <w:t xml:space="preserve"> (in %), including:</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50.0%</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75.0%</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100.0%</w:t>
            </w:r>
          </w:p>
        </w:tc>
        <w:tc>
          <w:tcPr>
            <w:tcW w:w="2216" w:type="dxa"/>
            <w:vMerge w:val="restart"/>
            <w:tcBorders>
              <w:top w:val="nil"/>
              <w:left w:val="single" w:sz="4" w:space="0" w:color="auto"/>
              <w:right w:val="single" w:sz="4" w:space="0" w:color="auto"/>
            </w:tcBorders>
            <w:vAlign w:val="center"/>
            <w:hideMark/>
          </w:tcPr>
          <w:p w:rsidR="007E0467" w:rsidRDefault="007E0467"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SDG</w:t>
            </w:r>
            <w:r w:rsidRPr="00320BE5">
              <w:rPr>
                <w:rFonts w:asciiTheme="majorBidi" w:eastAsia="Times New Roman" w:hAnsiTheme="majorBidi" w:cstheme="majorBidi"/>
                <w:color w:val="000000"/>
              </w:rPr>
              <w:t xml:space="preserve"> </w:t>
            </w:r>
            <w:r>
              <w:rPr>
                <w:rFonts w:asciiTheme="majorBidi" w:eastAsia="Times New Roman" w:hAnsiTheme="majorBidi" w:cstheme="majorBidi"/>
                <w:color w:val="000000"/>
              </w:rPr>
              <w:t xml:space="preserve">Indicator </w:t>
            </w:r>
            <w:r w:rsidRPr="00320BE5">
              <w:rPr>
                <w:rFonts w:asciiTheme="majorBidi" w:eastAsia="Times New Roman" w:hAnsiTheme="majorBidi" w:cstheme="majorBidi"/>
                <w:color w:val="000000"/>
              </w:rPr>
              <w:t>4.1.1</w:t>
            </w:r>
          </w:p>
          <w:p w:rsidR="007E0467" w:rsidRDefault="007E0467" w:rsidP="005A4EEE">
            <w:pPr>
              <w:spacing w:after="0" w:line="240" w:lineRule="auto"/>
              <w:jc w:val="center"/>
              <w:rPr>
                <w:rFonts w:asciiTheme="majorBidi" w:eastAsia="Times New Roman" w:hAnsiTheme="majorBidi" w:cstheme="majorBidi"/>
                <w:color w:val="000000"/>
              </w:rPr>
            </w:pPr>
          </w:p>
          <w:p w:rsidR="007E0467" w:rsidRDefault="007E0467"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Contributes to</w:t>
            </w:r>
          </w:p>
          <w:p w:rsidR="007E0467" w:rsidRPr="00B26D47" w:rsidRDefault="007E0467"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SDG Indicator 4.6.1</w:t>
            </w:r>
          </w:p>
          <w:p w:rsidR="007E0467" w:rsidRDefault="007E0467" w:rsidP="005A4EEE">
            <w:pPr>
              <w:spacing w:after="0" w:line="240" w:lineRule="auto"/>
              <w:jc w:val="center"/>
              <w:rPr>
                <w:rFonts w:asciiTheme="majorBidi" w:eastAsia="Times New Roman" w:hAnsiTheme="majorBidi" w:cstheme="majorBidi"/>
                <w:color w:val="000000"/>
              </w:rPr>
            </w:pPr>
          </w:p>
          <w:p w:rsidR="007E0467" w:rsidRPr="00B26D47" w:rsidRDefault="007E0467"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Baseline and intermediate targets will be drawn from Early Grade Reading Assessment</w:t>
            </w:r>
            <w:r>
              <w:rPr>
                <w:rFonts w:asciiTheme="majorBidi" w:eastAsia="Times New Roman" w:hAnsiTheme="majorBidi" w:cstheme="majorBidi"/>
                <w:color w:val="000000"/>
              </w:rPr>
              <w:t>s</w:t>
            </w:r>
            <w:r w:rsidRPr="00B26D47">
              <w:rPr>
                <w:rFonts w:asciiTheme="majorBidi" w:eastAsia="Times New Roman" w:hAnsiTheme="majorBidi" w:cstheme="majorBidi"/>
                <w:color w:val="000000"/>
              </w:rPr>
              <w:t xml:space="preserve"> (EGRA)</w:t>
            </w:r>
          </w:p>
        </w:tc>
      </w:tr>
      <w:tr w:rsidR="007E0467" w:rsidRPr="00B26D47" w:rsidTr="005A4EEE">
        <w:trPr>
          <w:trHeight w:val="300"/>
          <w:jc w:val="center"/>
        </w:trPr>
        <w:tc>
          <w:tcPr>
            <w:tcW w:w="535" w:type="dxa"/>
            <w:vMerge/>
            <w:tcBorders>
              <w:left w:val="single" w:sz="4" w:space="0" w:color="auto"/>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rPr>
            </w:pPr>
          </w:p>
        </w:tc>
        <w:tc>
          <w:tcPr>
            <w:tcW w:w="3841" w:type="dxa"/>
            <w:tcBorders>
              <w:top w:val="nil"/>
              <w:left w:val="nil"/>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w:t>
            </w:r>
            <w:r>
              <w:rPr>
                <w:rFonts w:asciiTheme="majorBidi" w:eastAsia="Times New Roman" w:hAnsiTheme="majorBidi" w:cstheme="majorBidi"/>
                <w:color w:val="000000"/>
              </w:rPr>
              <w:t xml:space="preserve"> - in 2nd and 3rd grades (boys)</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vMerge/>
            <w:tcBorders>
              <w:left w:val="single" w:sz="4" w:space="0" w:color="auto"/>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p>
        </w:tc>
        <w:tc>
          <w:tcPr>
            <w:tcW w:w="3841" w:type="dxa"/>
            <w:tcBorders>
              <w:top w:val="nil"/>
              <w:left w:val="nil"/>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w:t>
            </w:r>
            <w:r>
              <w:rPr>
                <w:rFonts w:asciiTheme="majorBidi" w:eastAsia="Times New Roman" w:hAnsiTheme="majorBidi" w:cstheme="majorBidi"/>
                <w:color w:val="000000"/>
              </w:rPr>
              <w:t>- in 2nd and 3rd grades (girls)</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vMerge/>
            <w:tcBorders>
              <w:left w:val="single" w:sz="4" w:space="0" w:color="auto"/>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p>
        </w:tc>
        <w:tc>
          <w:tcPr>
            <w:tcW w:w="3841" w:type="dxa"/>
            <w:tcBorders>
              <w:top w:val="nil"/>
              <w:left w:val="nil"/>
              <w:right w:val="single" w:sz="4" w:space="0" w:color="auto"/>
            </w:tcBorders>
            <w:shd w:val="clear" w:color="auto" w:fill="auto"/>
            <w:vAlign w:val="center"/>
            <w:hideMark/>
          </w:tcPr>
          <w:p w:rsidR="007E0467" w:rsidRPr="00330DD1"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Pr>
                <w:rFonts w:asciiTheme="majorBidi" w:eastAsia="Times New Roman" w:hAnsiTheme="majorBidi" w:cstheme="majorBidi"/>
                <w:color w:val="000000"/>
              </w:rPr>
              <w:t>at the end</w:t>
            </w:r>
            <w:r w:rsidRPr="00B26D47">
              <w:rPr>
                <w:rFonts w:asciiTheme="majorBidi" w:eastAsia="Times New Roman" w:hAnsiTheme="majorBidi" w:cstheme="majorBidi"/>
                <w:color w:val="000000"/>
              </w:rPr>
              <w:t xml:space="preserve"> of primary (boys)</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vMerge/>
            <w:tcBorders>
              <w:left w:val="single" w:sz="4" w:space="0" w:color="auto"/>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p>
        </w:tc>
        <w:tc>
          <w:tcPr>
            <w:tcW w:w="3841" w:type="dxa"/>
            <w:tcBorders>
              <w:top w:val="nil"/>
              <w:left w:val="nil"/>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Pr>
                <w:rFonts w:asciiTheme="majorBidi" w:eastAsia="Times New Roman" w:hAnsiTheme="majorBidi" w:cstheme="majorBidi"/>
                <w:color w:val="000000"/>
              </w:rPr>
              <w:t>at the end</w:t>
            </w:r>
            <w:r w:rsidRPr="00B26D47">
              <w:rPr>
                <w:rFonts w:asciiTheme="majorBidi" w:eastAsia="Times New Roman" w:hAnsiTheme="majorBidi" w:cstheme="majorBidi"/>
                <w:color w:val="000000"/>
              </w:rPr>
              <w:t xml:space="preserve"> of primary</w:t>
            </w:r>
            <w:r w:rsidRPr="00320BE5">
              <w:rPr>
                <w:rFonts w:asciiTheme="majorBidi" w:eastAsia="Times New Roman" w:hAnsiTheme="majorBidi" w:cstheme="majorBidi"/>
                <w:color w:val="000000"/>
              </w:rPr>
              <w:t xml:space="preserve"> (</w:t>
            </w:r>
            <w:r w:rsidRPr="00B26D47">
              <w:rPr>
                <w:rFonts w:asciiTheme="majorBidi" w:eastAsia="Times New Roman" w:hAnsiTheme="majorBidi" w:cstheme="majorBidi"/>
                <w:color w:val="000000"/>
              </w:rPr>
              <w:t>girls</w:t>
            </w:r>
            <w:r w:rsidRPr="00320BE5">
              <w:rPr>
                <w:rFonts w:asciiTheme="majorBidi" w:eastAsia="Times New Roman" w:hAnsiTheme="majorBidi" w:cstheme="majorBidi"/>
                <w:color w:val="000000"/>
              </w:rPr>
              <w:t>)</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vMerge/>
            <w:tcBorders>
              <w:left w:val="single" w:sz="4" w:space="0" w:color="auto"/>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p>
        </w:tc>
        <w:tc>
          <w:tcPr>
            <w:tcW w:w="3841" w:type="dxa"/>
            <w:tcBorders>
              <w:top w:val="nil"/>
              <w:left w:val="nil"/>
              <w:right w:val="single" w:sz="4" w:space="0" w:color="auto"/>
            </w:tcBorders>
            <w:shd w:val="clear" w:color="auto" w:fill="auto"/>
            <w:vAlign w:val="center"/>
            <w:hideMark/>
          </w:tcPr>
          <w:p w:rsidR="007E0467" w:rsidRPr="00330DD1"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Pr>
                <w:rFonts w:asciiTheme="majorBidi" w:eastAsia="Times New Roman" w:hAnsiTheme="majorBidi" w:cstheme="majorBidi"/>
                <w:color w:val="000000"/>
              </w:rPr>
              <w:t xml:space="preserve">at the end of lower </w:t>
            </w:r>
            <w:r w:rsidRPr="00B26D47">
              <w:rPr>
                <w:rFonts w:asciiTheme="majorBidi" w:eastAsia="Times New Roman" w:hAnsiTheme="majorBidi" w:cstheme="majorBidi"/>
                <w:color w:val="000000"/>
              </w:rPr>
              <w:t>secondary</w:t>
            </w:r>
            <w:r w:rsidRPr="00320BE5">
              <w:rPr>
                <w:rFonts w:asciiTheme="majorBidi" w:eastAsia="Times New Roman" w:hAnsiTheme="majorBidi" w:cstheme="majorBidi"/>
                <w:color w:val="000000"/>
              </w:rPr>
              <w:t xml:space="preserve"> (</w:t>
            </w:r>
            <w:r w:rsidRPr="00B26D47">
              <w:rPr>
                <w:rFonts w:asciiTheme="majorBidi" w:eastAsia="Times New Roman" w:hAnsiTheme="majorBidi" w:cstheme="majorBidi"/>
                <w:color w:val="000000"/>
              </w:rPr>
              <w:t>boys</w:t>
            </w:r>
            <w:r w:rsidRPr="00320BE5">
              <w:rPr>
                <w:rFonts w:asciiTheme="majorBidi" w:eastAsia="Times New Roman" w:hAnsiTheme="majorBidi" w:cstheme="majorBidi"/>
                <w:color w:val="000000"/>
              </w:rPr>
              <w:t>)</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vMerge/>
            <w:tcBorders>
              <w:left w:val="single" w:sz="4" w:space="0" w:color="auto"/>
              <w:bottom w:val="single" w:sz="4" w:space="0" w:color="000000"/>
              <w:right w:val="single" w:sz="4" w:space="0" w:color="auto"/>
            </w:tcBorders>
            <w:vAlign w:val="center"/>
            <w:hideMark/>
          </w:tcPr>
          <w:p w:rsidR="007E0467" w:rsidRPr="0046725D" w:rsidRDefault="007E0467" w:rsidP="005A4EEE">
            <w:pPr>
              <w:spacing w:after="0" w:line="240" w:lineRule="auto"/>
              <w:jc w:val="center"/>
              <w:rPr>
                <w:rFonts w:asciiTheme="majorBidi" w:eastAsia="Times New Roman" w:hAnsiTheme="majorBidi" w:cstheme="majorBidi"/>
                <w:lang w:val="ru-RU"/>
              </w:rPr>
            </w:pPr>
          </w:p>
        </w:tc>
        <w:tc>
          <w:tcPr>
            <w:tcW w:w="384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Pr>
                <w:rFonts w:asciiTheme="majorBidi" w:eastAsia="Times New Roman" w:hAnsiTheme="majorBidi" w:cstheme="majorBidi"/>
                <w:color w:val="000000"/>
              </w:rPr>
              <w:t xml:space="preserve">at the end of lower </w:t>
            </w:r>
            <w:r w:rsidRPr="00B26D47">
              <w:rPr>
                <w:rFonts w:asciiTheme="majorBidi" w:eastAsia="Times New Roman" w:hAnsiTheme="majorBidi" w:cstheme="majorBidi"/>
                <w:color w:val="000000"/>
              </w:rPr>
              <w:t>secondary</w:t>
            </w:r>
            <w:r w:rsidRPr="00320BE5">
              <w:rPr>
                <w:rFonts w:asciiTheme="majorBidi" w:eastAsia="Times New Roman" w:hAnsiTheme="majorBidi" w:cstheme="majorBidi"/>
                <w:color w:val="000000"/>
              </w:rPr>
              <w:t xml:space="preserve"> (</w:t>
            </w:r>
            <w:r w:rsidRPr="00B26D47">
              <w:rPr>
                <w:rFonts w:asciiTheme="majorBidi" w:eastAsia="Times New Roman" w:hAnsiTheme="majorBidi" w:cstheme="majorBidi"/>
                <w:color w:val="000000"/>
              </w:rPr>
              <w:t>girls</w:t>
            </w:r>
            <w:r w:rsidRPr="00320BE5">
              <w:rPr>
                <w:rFonts w:asciiTheme="majorBidi" w:eastAsia="Times New Roman" w:hAnsiTheme="majorBidi" w:cstheme="majorBidi"/>
                <w:color w:val="000000"/>
              </w:rPr>
              <w:t>)</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01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51"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16" w:type="dxa"/>
            <w:vMerge/>
            <w:tcBorders>
              <w:left w:val="single" w:sz="4" w:space="0" w:color="auto"/>
              <w:bottom w:val="single" w:sz="4" w:space="0" w:color="000000"/>
              <w:right w:val="single" w:sz="4" w:space="0" w:color="auto"/>
            </w:tcBorders>
            <w:vAlign w:val="center"/>
            <w:hideMark/>
          </w:tcPr>
          <w:p w:rsidR="007E0467" w:rsidRPr="00B26D47" w:rsidRDefault="007E0467" w:rsidP="005A4EEE">
            <w:pPr>
              <w:spacing w:after="0" w:line="240" w:lineRule="auto"/>
              <w:rPr>
                <w:rFonts w:asciiTheme="majorBidi" w:eastAsia="Times New Roman" w:hAnsiTheme="majorBidi" w:cstheme="majorBidi"/>
                <w:color w:val="000000"/>
              </w:rPr>
            </w:pPr>
          </w:p>
        </w:tc>
      </w:tr>
      <w:tr w:rsidR="007E0467" w:rsidRPr="00B26D47" w:rsidTr="005A4EEE">
        <w:trPr>
          <w:trHeight w:val="300"/>
          <w:jc w:val="center"/>
        </w:trPr>
        <w:tc>
          <w:tcPr>
            <w:tcW w:w="535" w:type="dxa"/>
            <w:tcBorders>
              <w:left w:val="single" w:sz="4" w:space="0" w:color="auto"/>
              <w:bottom w:val="single" w:sz="4" w:space="0" w:color="000000"/>
              <w:right w:val="single" w:sz="4" w:space="0" w:color="auto"/>
            </w:tcBorders>
            <w:vAlign w:val="center"/>
            <w:hideMark/>
          </w:tcPr>
          <w:p w:rsidR="007E0467" w:rsidRPr="0046725D" w:rsidRDefault="004A5FF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33</w:t>
            </w:r>
          </w:p>
        </w:tc>
        <w:tc>
          <w:tcPr>
            <w:tcW w:w="3841" w:type="dxa"/>
            <w:tcBorders>
              <w:top w:val="nil"/>
              <w:left w:val="nil"/>
              <w:bottom w:val="single" w:sz="4" w:space="0" w:color="auto"/>
              <w:right w:val="single" w:sz="4" w:space="0" w:color="auto"/>
            </w:tcBorders>
            <w:shd w:val="clear" w:color="auto" w:fill="auto"/>
            <w:vAlign w:val="center"/>
            <w:hideMark/>
          </w:tcPr>
          <w:p w:rsidR="007E0467" w:rsidRPr="00330DD1" w:rsidRDefault="007E0467" w:rsidP="005A4EEE">
            <w:pPr>
              <w:spacing w:after="0" w:line="240" w:lineRule="auto"/>
              <w:rPr>
                <w:rFonts w:asciiTheme="majorBidi" w:eastAsia="Times New Roman" w:hAnsiTheme="majorBidi" w:cstheme="majorBidi"/>
                <w:color w:val="000000"/>
              </w:rPr>
            </w:pPr>
            <w:r w:rsidRPr="00320BE5">
              <w:rPr>
                <w:rFonts w:asciiTheme="majorBidi" w:eastAsia="Times New Roman" w:hAnsiTheme="majorBidi" w:cstheme="majorBidi"/>
                <w:color w:val="000000"/>
              </w:rPr>
              <w:t>Implement</w:t>
            </w:r>
            <w:r w:rsidRPr="00B26D47">
              <w:rPr>
                <w:rFonts w:asciiTheme="majorBidi" w:eastAsia="Times New Roman" w:hAnsiTheme="majorBidi" w:cstheme="majorBidi"/>
                <w:color w:val="000000"/>
              </w:rPr>
              <w:t>ation of</w:t>
            </w:r>
            <w:r w:rsidRPr="00320BE5">
              <w:rPr>
                <w:rFonts w:asciiTheme="majorBidi" w:eastAsia="Times New Roman" w:hAnsiTheme="majorBidi" w:cstheme="majorBidi"/>
                <w:color w:val="000000"/>
              </w:rPr>
              <w:t xml:space="preserve"> a gradual and effective transition to 12-year </w:t>
            </w:r>
            <w:r w:rsidRPr="00B26D47">
              <w:rPr>
                <w:rFonts w:asciiTheme="majorBidi" w:eastAsia="Times New Roman" w:hAnsiTheme="majorBidi" w:cstheme="majorBidi"/>
                <w:color w:val="000000"/>
              </w:rPr>
              <w:t xml:space="preserve">general </w:t>
            </w:r>
            <w:r w:rsidRPr="00320BE5">
              <w:rPr>
                <w:rFonts w:asciiTheme="majorBidi" w:eastAsia="Times New Roman" w:hAnsiTheme="majorBidi" w:cstheme="majorBidi"/>
                <w:color w:val="000000"/>
              </w:rPr>
              <w:t>secondary education.</w:t>
            </w:r>
          </w:p>
        </w:tc>
        <w:tc>
          <w:tcPr>
            <w:tcW w:w="1838" w:type="dxa"/>
            <w:tcBorders>
              <w:top w:val="nil"/>
              <w:left w:val="nil"/>
              <w:bottom w:val="single" w:sz="4" w:space="0" w:color="auto"/>
              <w:right w:val="single" w:sz="4" w:space="0" w:color="auto"/>
            </w:tcBorders>
            <w:shd w:val="clear" w:color="auto" w:fill="auto"/>
            <w:vAlign w:val="center"/>
            <w:hideMark/>
          </w:tcPr>
          <w:p w:rsidR="007E0467" w:rsidRPr="00B26D47"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Potential transition</w:t>
            </w:r>
            <w:r>
              <w:rPr>
                <w:rFonts w:asciiTheme="majorBidi" w:eastAsia="Times New Roman" w:hAnsiTheme="majorBidi" w:cstheme="majorBidi"/>
              </w:rPr>
              <w:t xml:space="preserve"> </w:t>
            </w:r>
            <w:r w:rsidRPr="00B26D47">
              <w:rPr>
                <w:rFonts w:asciiTheme="majorBidi" w:eastAsia="Times New Roman" w:hAnsiTheme="majorBidi" w:cstheme="majorBidi"/>
              </w:rPr>
              <w:t>scenarios are being reviewed</w:t>
            </w:r>
          </w:p>
        </w:tc>
        <w:tc>
          <w:tcPr>
            <w:tcW w:w="1710" w:type="dxa"/>
            <w:tcBorders>
              <w:top w:val="nil"/>
              <w:left w:val="nil"/>
              <w:bottom w:val="single" w:sz="4" w:space="0" w:color="auto"/>
              <w:right w:val="single" w:sz="4" w:space="0" w:color="auto"/>
            </w:tcBorders>
            <w:shd w:val="clear" w:color="auto" w:fill="auto"/>
            <w:vAlign w:val="center"/>
            <w:hideMark/>
          </w:tcPr>
          <w:p w:rsidR="007E0467" w:rsidRPr="00330DD1"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Transition Concept is developed and approved</w:t>
            </w:r>
          </w:p>
        </w:tc>
        <w:tc>
          <w:tcPr>
            <w:tcW w:w="2011" w:type="dxa"/>
            <w:tcBorders>
              <w:top w:val="nil"/>
              <w:left w:val="nil"/>
              <w:bottom w:val="single" w:sz="4" w:space="0" w:color="auto"/>
              <w:right w:val="single" w:sz="4" w:space="0" w:color="auto"/>
            </w:tcBorders>
            <w:shd w:val="clear" w:color="auto" w:fill="auto"/>
            <w:vAlign w:val="center"/>
            <w:hideMark/>
          </w:tcPr>
          <w:p w:rsidR="007E0467" w:rsidRPr="00330DD1"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Piloting is completed and main outcomes of the pilot are analyzed</w:t>
            </w:r>
          </w:p>
        </w:tc>
        <w:tc>
          <w:tcPr>
            <w:tcW w:w="2251" w:type="dxa"/>
            <w:tcBorders>
              <w:top w:val="nil"/>
              <w:left w:val="nil"/>
              <w:bottom w:val="single" w:sz="4" w:space="0" w:color="auto"/>
              <w:right w:val="single" w:sz="4" w:space="0" w:color="auto"/>
            </w:tcBorders>
            <w:shd w:val="clear" w:color="auto" w:fill="auto"/>
            <w:vAlign w:val="center"/>
            <w:hideMark/>
          </w:tcPr>
          <w:p w:rsidR="007E0467" w:rsidRPr="00330DD1" w:rsidRDefault="007E0467"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Fully-fledged transition to 12-year schooling has begun at a national scale</w:t>
            </w:r>
          </w:p>
        </w:tc>
        <w:tc>
          <w:tcPr>
            <w:tcW w:w="2216" w:type="dxa"/>
            <w:tcBorders>
              <w:left w:val="single" w:sz="4" w:space="0" w:color="auto"/>
              <w:bottom w:val="single" w:sz="4" w:space="0" w:color="000000"/>
              <w:right w:val="single" w:sz="4" w:space="0" w:color="auto"/>
            </w:tcBorders>
            <w:vAlign w:val="center"/>
            <w:hideMark/>
          </w:tcPr>
          <w:p w:rsidR="007E0467" w:rsidRPr="00B26D47" w:rsidRDefault="007E0467"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The issue and scenarios of transition are being reviewed by the Government of Tajikistan</w:t>
            </w:r>
          </w:p>
        </w:tc>
      </w:tr>
      <w:tr w:rsidR="00C75B51" w:rsidRPr="00B26D47" w:rsidTr="00315A82">
        <w:trPr>
          <w:trHeight w:val="449"/>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C75B51" w:rsidRPr="0046725D" w:rsidRDefault="004A5FF2" w:rsidP="00836054">
            <w:pPr>
              <w:spacing w:after="0" w:line="240" w:lineRule="auto"/>
              <w:jc w:val="center"/>
              <w:rPr>
                <w:rFonts w:asciiTheme="majorBidi" w:eastAsia="Times New Roman" w:hAnsiTheme="majorBidi" w:cstheme="majorBidi"/>
              </w:rPr>
            </w:pPr>
            <w:r>
              <w:rPr>
                <w:rFonts w:asciiTheme="majorBidi" w:eastAsia="Times New Roman" w:hAnsiTheme="majorBidi" w:cstheme="majorBidi"/>
              </w:rPr>
              <w:t>34</w:t>
            </w:r>
          </w:p>
        </w:tc>
        <w:tc>
          <w:tcPr>
            <w:tcW w:w="3841" w:type="dxa"/>
            <w:tcBorders>
              <w:top w:val="nil"/>
              <w:left w:val="nil"/>
              <w:bottom w:val="single" w:sz="4" w:space="0" w:color="auto"/>
              <w:right w:val="single" w:sz="4" w:space="0" w:color="auto"/>
            </w:tcBorders>
            <w:shd w:val="clear" w:color="auto" w:fill="auto"/>
            <w:vAlign w:val="center"/>
            <w:hideMark/>
          </w:tcPr>
          <w:p w:rsidR="00C75B51" w:rsidRPr="00B26D47" w:rsidRDefault="00320BE5" w:rsidP="00C02AD4">
            <w:pPr>
              <w:spacing w:after="0" w:line="240" w:lineRule="auto"/>
              <w:rPr>
                <w:rFonts w:asciiTheme="majorBidi" w:eastAsia="Times New Roman" w:hAnsiTheme="majorBidi" w:cstheme="majorBidi"/>
                <w:color w:val="000000"/>
              </w:rPr>
            </w:pPr>
            <w:r w:rsidRPr="00320BE5">
              <w:rPr>
                <w:rFonts w:asciiTheme="majorBidi" w:eastAsia="Times New Roman" w:hAnsiTheme="majorBidi" w:cstheme="majorBidi"/>
                <w:color w:val="000000"/>
              </w:rPr>
              <w:t>The presence of modernized curriculum that determines the learning outcomes in relation to the curriculum and level of competency for each grade</w:t>
            </w:r>
            <w:r w:rsidR="00C75B51" w:rsidRPr="00B26D47">
              <w:rPr>
                <w:rFonts w:asciiTheme="majorBidi" w:eastAsia="Times New Roman" w:hAnsiTheme="majorBidi" w:cstheme="majorBidi"/>
                <w:color w:val="000000"/>
              </w:rPr>
              <w:t>.</w:t>
            </w:r>
          </w:p>
        </w:tc>
        <w:tc>
          <w:tcPr>
            <w:tcW w:w="1838" w:type="dxa"/>
            <w:tcBorders>
              <w:top w:val="nil"/>
              <w:left w:val="nil"/>
              <w:bottom w:val="single" w:sz="4" w:space="0" w:color="auto"/>
              <w:right w:val="single" w:sz="4" w:space="0" w:color="auto"/>
            </w:tcBorders>
            <w:shd w:val="clear" w:color="auto" w:fill="auto"/>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Curriculum is outdated</w:t>
            </w:r>
          </w:p>
        </w:tc>
        <w:tc>
          <w:tcPr>
            <w:tcW w:w="1710"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46725D">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xml:space="preserve">Curriculum modernization plan developed, agreed with partners and approved by </w:t>
            </w:r>
            <w:r w:rsidR="0046725D">
              <w:rPr>
                <w:rFonts w:asciiTheme="majorBidi" w:eastAsia="Times New Roman" w:hAnsiTheme="majorBidi" w:cstheme="majorBidi"/>
              </w:rPr>
              <w:t xml:space="preserve">the </w:t>
            </w:r>
            <w:proofErr w:type="spellStart"/>
            <w:r w:rsidRPr="00B26D47">
              <w:rPr>
                <w:rFonts w:asciiTheme="majorBidi" w:eastAsia="Times New Roman" w:hAnsiTheme="majorBidi" w:cstheme="majorBidi"/>
              </w:rPr>
              <w:t>MoES</w:t>
            </w:r>
            <w:proofErr w:type="spellEnd"/>
          </w:p>
        </w:tc>
        <w:tc>
          <w:tcPr>
            <w:tcW w:w="2011"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Curriculum modernization is successfully completed</w:t>
            </w:r>
          </w:p>
        </w:tc>
        <w:tc>
          <w:tcPr>
            <w:tcW w:w="2251"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Modernized curriculum is broadly used by general secondary educational institutions</w:t>
            </w:r>
          </w:p>
        </w:tc>
        <w:tc>
          <w:tcPr>
            <w:tcW w:w="2216" w:type="dxa"/>
            <w:tcBorders>
              <w:top w:val="nil"/>
              <w:left w:val="nil"/>
              <w:bottom w:val="single" w:sz="4" w:space="0" w:color="auto"/>
              <w:right w:val="single" w:sz="4" w:space="0" w:color="auto"/>
            </w:tcBorders>
            <w:shd w:val="clear" w:color="auto" w:fill="auto"/>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C75B51" w:rsidRPr="00B26D47" w:rsidTr="00315A82">
        <w:trPr>
          <w:trHeight w:val="660"/>
          <w:jc w:val="center"/>
        </w:trPr>
        <w:tc>
          <w:tcPr>
            <w:tcW w:w="14402"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C75B51" w:rsidRPr="00B26D47" w:rsidRDefault="00C75B51" w:rsidP="00C75B51">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3.2.3: An effective system and institutional quality assessment mechanism is introduced in institutions of general secondary education, based on a competency-based approach.</w:t>
            </w:r>
          </w:p>
        </w:tc>
      </w:tr>
      <w:tr w:rsidR="00C75B51" w:rsidRPr="00B26D47" w:rsidTr="00315A82">
        <w:trPr>
          <w:trHeight w:val="600"/>
          <w:jc w:val="center"/>
        </w:trPr>
        <w:tc>
          <w:tcPr>
            <w:tcW w:w="4376"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838"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2011"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2251" w:type="dxa"/>
            <w:tcBorders>
              <w:top w:val="nil"/>
              <w:left w:val="nil"/>
              <w:bottom w:val="single" w:sz="4" w:space="0" w:color="auto"/>
              <w:right w:val="single" w:sz="4" w:space="0" w:color="auto"/>
            </w:tcBorders>
            <w:shd w:val="clear" w:color="000000" w:fill="DBDBDB"/>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16" w:type="dxa"/>
            <w:tcBorders>
              <w:top w:val="nil"/>
              <w:left w:val="nil"/>
              <w:bottom w:val="single" w:sz="4" w:space="0" w:color="auto"/>
              <w:right w:val="single" w:sz="4" w:space="0" w:color="auto"/>
            </w:tcBorders>
            <w:shd w:val="clear" w:color="000000" w:fill="D9D9D9"/>
            <w:vAlign w:val="center"/>
            <w:hideMark/>
          </w:tcPr>
          <w:p w:rsidR="00C75B51" w:rsidRPr="00B26D47" w:rsidRDefault="00C75B51" w:rsidP="00C75B51">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C75B51" w:rsidRPr="00B26D47" w:rsidTr="008E67EB">
        <w:trPr>
          <w:trHeight w:val="440"/>
          <w:jc w:val="center"/>
        </w:trPr>
        <w:tc>
          <w:tcPr>
            <w:tcW w:w="535" w:type="dxa"/>
            <w:tcBorders>
              <w:top w:val="nil"/>
              <w:left w:val="single" w:sz="4" w:space="0" w:color="auto"/>
              <w:bottom w:val="single" w:sz="4" w:space="0" w:color="auto"/>
              <w:right w:val="single" w:sz="4" w:space="0" w:color="auto"/>
            </w:tcBorders>
            <w:shd w:val="clear" w:color="auto" w:fill="auto"/>
            <w:noWrap/>
            <w:vAlign w:val="center"/>
            <w:hideMark/>
          </w:tcPr>
          <w:p w:rsidR="00C75B51" w:rsidRPr="0046725D" w:rsidRDefault="004A5FF2" w:rsidP="00836054">
            <w:pPr>
              <w:spacing w:after="0" w:line="240" w:lineRule="auto"/>
              <w:jc w:val="center"/>
              <w:rPr>
                <w:rFonts w:asciiTheme="majorBidi" w:eastAsia="Times New Roman" w:hAnsiTheme="majorBidi" w:cstheme="majorBidi"/>
              </w:rPr>
            </w:pPr>
            <w:r>
              <w:rPr>
                <w:rFonts w:asciiTheme="majorBidi" w:eastAsia="Times New Roman" w:hAnsiTheme="majorBidi" w:cstheme="majorBidi"/>
              </w:rPr>
              <w:t>35</w:t>
            </w:r>
          </w:p>
        </w:tc>
        <w:tc>
          <w:tcPr>
            <w:tcW w:w="3841" w:type="dxa"/>
            <w:tcBorders>
              <w:top w:val="nil"/>
              <w:left w:val="nil"/>
              <w:bottom w:val="single" w:sz="4" w:space="0" w:color="auto"/>
              <w:right w:val="single" w:sz="4" w:space="0" w:color="auto"/>
            </w:tcBorders>
            <w:shd w:val="clear" w:color="auto" w:fill="auto"/>
            <w:vAlign w:val="center"/>
            <w:hideMark/>
          </w:tcPr>
          <w:p w:rsidR="00C75B51" w:rsidRPr="00B26D47" w:rsidRDefault="00C75B51" w:rsidP="00C75B51">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The presence of a </w:t>
            </w:r>
            <w:r w:rsidR="00C65670">
              <w:rPr>
                <w:rFonts w:asciiTheme="majorBidi" w:eastAsia="Times New Roman" w:hAnsiTheme="majorBidi" w:cstheme="majorBidi"/>
                <w:color w:val="000000"/>
              </w:rPr>
              <w:t xml:space="preserve">concept </w:t>
            </w:r>
            <w:r w:rsidRPr="00B26D47">
              <w:rPr>
                <w:rFonts w:asciiTheme="majorBidi" w:eastAsia="Times New Roman" w:hAnsiTheme="majorBidi" w:cstheme="majorBidi"/>
                <w:color w:val="000000"/>
              </w:rPr>
              <w:t xml:space="preserve">and instruments for formative, summative and standardized </w:t>
            </w:r>
            <w:r w:rsidR="00C65670">
              <w:rPr>
                <w:rFonts w:asciiTheme="majorBidi" w:eastAsia="Times New Roman" w:hAnsiTheme="majorBidi" w:cstheme="majorBidi"/>
                <w:color w:val="000000"/>
              </w:rPr>
              <w:t>assessment</w:t>
            </w:r>
            <w:r w:rsidR="00C65670" w:rsidRPr="00B26D47">
              <w:rPr>
                <w:rFonts w:asciiTheme="majorBidi" w:eastAsia="Times New Roman" w:hAnsiTheme="majorBidi" w:cstheme="majorBidi"/>
                <w:color w:val="000000"/>
              </w:rPr>
              <w:t xml:space="preserve"> </w:t>
            </w:r>
            <w:r w:rsidRPr="00B26D47">
              <w:rPr>
                <w:rFonts w:asciiTheme="majorBidi" w:eastAsia="Times New Roman" w:hAnsiTheme="majorBidi" w:cstheme="majorBidi"/>
                <w:color w:val="000000"/>
              </w:rPr>
              <w:t xml:space="preserve">of </w:t>
            </w:r>
            <w:r w:rsidR="00C65670">
              <w:rPr>
                <w:rFonts w:asciiTheme="majorBidi" w:eastAsia="Times New Roman" w:hAnsiTheme="majorBidi" w:cstheme="majorBidi"/>
                <w:color w:val="000000"/>
              </w:rPr>
              <w:t xml:space="preserve">learning. </w:t>
            </w:r>
          </w:p>
        </w:tc>
        <w:tc>
          <w:tcPr>
            <w:tcW w:w="1838"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Framework and instruments do not exist or outdated</w:t>
            </w:r>
          </w:p>
        </w:tc>
        <w:tc>
          <w:tcPr>
            <w:tcW w:w="1710"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An action plan is formulated for development of the framework and instruments</w:t>
            </w:r>
          </w:p>
        </w:tc>
        <w:tc>
          <w:tcPr>
            <w:tcW w:w="2011"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Framework and instruments are developed</w:t>
            </w:r>
          </w:p>
        </w:tc>
        <w:tc>
          <w:tcPr>
            <w:tcW w:w="2251" w:type="dxa"/>
            <w:tcBorders>
              <w:top w:val="nil"/>
              <w:left w:val="nil"/>
              <w:bottom w:val="single" w:sz="4" w:space="0" w:color="auto"/>
              <w:right w:val="single" w:sz="4" w:space="0" w:color="auto"/>
            </w:tcBorders>
            <w:shd w:val="clear" w:color="auto" w:fill="auto"/>
            <w:vAlign w:val="center"/>
            <w:hideMark/>
          </w:tcPr>
          <w:p w:rsidR="00C75B51" w:rsidRPr="00330DD1" w:rsidRDefault="00C75B51" w:rsidP="00C75B5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Framework and instruments are broadly utilized in general secondary education</w:t>
            </w:r>
          </w:p>
        </w:tc>
        <w:tc>
          <w:tcPr>
            <w:tcW w:w="2216" w:type="dxa"/>
            <w:tcBorders>
              <w:top w:val="nil"/>
              <w:left w:val="nil"/>
              <w:bottom w:val="single" w:sz="4" w:space="0" w:color="auto"/>
              <w:right w:val="single" w:sz="4" w:space="0" w:color="auto"/>
            </w:tcBorders>
            <w:shd w:val="clear" w:color="auto" w:fill="auto"/>
            <w:vAlign w:val="center"/>
            <w:hideMark/>
          </w:tcPr>
          <w:p w:rsidR="00C75B51" w:rsidRPr="00B26D47" w:rsidRDefault="00C75B51" w:rsidP="00C75B51">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r>
    </w:tbl>
    <w:p w:rsidR="0046725D" w:rsidRDefault="0046725D" w:rsidP="00B37CAD">
      <w:pPr>
        <w:spacing w:after="0" w:line="240" w:lineRule="auto"/>
      </w:pPr>
    </w:p>
    <w:p w:rsidR="0046725D" w:rsidRPr="0046725D" w:rsidRDefault="0046725D" w:rsidP="00B37CAD">
      <w:pPr>
        <w:spacing w:after="0" w:line="240" w:lineRule="auto"/>
      </w:pPr>
    </w:p>
    <w:tbl>
      <w:tblPr>
        <w:tblW w:w="14381" w:type="dxa"/>
        <w:jc w:val="center"/>
        <w:tblLook w:val="04A0"/>
      </w:tblPr>
      <w:tblGrid>
        <w:gridCol w:w="528"/>
        <w:gridCol w:w="4818"/>
        <w:gridCol w:w="1710"/>
        <w:gridCol w:w="1710"/>
        <w:gridCol w:w="1710"/>
        <w:gridCol w:w="1710"/>
        <w:gridCol w:w="2195"/>
      </w:tblGrid>
      <w:tr w:rsidR="00B37CAD" w:rsidRPr="00B26D47" w:rsidTr="00BF23B6">
        <w:trPr>
          <w:trHeight w:val="465"/>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rPr>
            </w:pPr>
            <w:bookmarkStart w:id="4" w:name="RANGE!A1:G36"/>
            <w:r w:rsidRPr="00B26D47">
              <w:rPr>
                <w:rFonts w:asciiTheme="majorBidi" w:eastAsia="Times New Roman" w:hAnsiTheme="majorBidi" w:cstheme="majorBidi"/>
                <w:b/>
                <w:bCs/>
                <w:color w:val="FFFFFF"/>
              </w:rPr>
              <w:t xml:space="preserve">4. </w:t>
            </w:r>
            <w:bookmarkEnd w:id="4"/>
            <w:r w:rsidRPr="00B26D47">
              <w:rPr>
                <w:rFonts w:asciiTheme="majorBidi" w:eastAsia="Times New Roman" w:hAnsiTheme="majorBidi" w:cstheme="majorBidi"/>
                <w:b/>
                <w:bCs/>
                <w:color w:val="FFFFFF"/>
              </w:rPr>
              <w:t>PRIMARY AND SECONDARY PROFESSIONAL EDUCATION</w:t>
            </w:r>
          </w:p>
        </w:tc>
      </w:tr>
      <w:tr w:rsidR="00B37CAD" w:rsidRPr="00B26D47" w:rsidTr="00BF23B6">
        <w:trPr>
          <w:trHeight w:val="615"/>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Overall goal: By 2030, ensure equal access to primary and secondary professional education, as well as the training of highly qualified specialists who will have been demanded on the domestic and international labor market.</w:t>
            </w:r>
          </w:p>
        </w:tc>
      </w:tr>
      <w:tr w:rsidR="00B37CAD" w:rsidRPr="00B26D47" w:rsidTr="00BF23B6">
        <w:trPr>
          <w:trHeight w:val="503"/>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 xml:space="preserve">Long-term outcome 4.1 (Policy priority 1): </w:t>
            </w:r>
            <w:r w:rsidR="00320BE5" w:rsidRPr="00320BE5">
              <w:rPr>
                <w:rFonts w:asciiTheme="majorBidi" w:eastAsia="Times New Roman" w:hAnsiTheme="majorBidi" w:cstheme="majorBidi"/>
                <w:b/>
                <w:bCs/>
                <w:color w:val="FFFFFF" w:themeColor="background1"/>
              </w:rPr>
              <w:t>All women and men have equal access to primary and secondary professional education</w:t>
            </w:r>
            <w:r w:rsidRPr="00B26D47">
              <w:rPr>
                <w:rFonts w:asciiTheme="majorBidi" w:eastAsia="Times New Roman" w:hAnsiTheme="majorBidi" w:cstheme="majorBidi"/>
                <w:b/>
                <w:bCs/>
                <w:color w:val="FFFFFF" w:themeColor="background1"/>
              </w:rPr>
              <w:t>.</w:t>
            </w:r>
          </w:p>
        </w:tc>
      </w:tr>
      <w:tr w:rsidR="00B37CAD" w:rsidRPr="00B26D47" w:rsidTr="00BF23B6">
        <w:trPr>
          <w:trHeight w:val="660"/>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4.1.1: Improved access for all to primary and secondary professional education by expanding and modernizing infrastructure and creating an enabling environment.</w:t>
            </w:r>
          </w:p>
        </w:tc>
      </w:tr>
      <w:tr w:rsidR="00B37CAD" w:rsidRPr="00B26D47" w:rsidTr="00BF23B6">
        <w:trPr>
          <w:trHeight w:val="600"/>
          <w:jc w:val="center"/>
        </w:trPr>
        <w:tc>
          <w:tcPr>
            <w:tcW w:w="5346"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195"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4A5FF2" w:rsidRPr="00B26D47" w:rsidTr="005A4EEE">
        <w:trPr>
          <w:trHeight w:val="600"/>
          <w:jc w:val="center"/>
        </w:trPr>
        <w:tc>
          <w:tcPr>
            <w:tcW w:w="528" w:type="dxa"/>
            <w:vMerge w:val="restart"/>
            <w:tcBorders>
              <w:top w:val="single" w:sz="4" w:space="0" w:color="auto"/>
              <w:left w:val="single" w:sz="4" w:space="0" w:color="auto"/>
              <w:right w:val="single" w:sz="4" w:space="0" w:color="auto"/>
            </w:tcBorders>
            <w:shd w:val="clear" w:color="auto" w:fill="auto"/>
            <w:noWrap/>
            <w:vAlign w:val="center"/>
            <w:hideMark/>
          </w:tcPr>
          <w:p w:rsidR="004A5FF2" w:rsidRPr="004A5FF2"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36</w:t>
            </w:r>
          </w:p>
        </w:tc>
        <w:tc>
          <w:tcPr>
            <w:tcW w:w="4818" w:type="dxa"/>
            <w:tcBorders>
              <w:top w:val="single" w:sz="4" w:space="0" w:color="auto"/>
              <w:left w:val="nil"/>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Admission to primary professional education (IVET) institutions in the total number of applicants (in %),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w:t>
            </w:r>
            <w:r w:rsidRPr="00B26D47">
              <w:rPr>
                <w:rFonts w:asciiTheme="majorBidi" w:eastAsia="Times New Roman" w:hAnsiTheme="majorBidi" w:cstheme="majorBidi"/>
              </w:rPr>
              <w:t>.</w:t>
            </w:r>
            <w:r w:rsidRPr="00B26D47">
              <w:rPr>
                <w:rFonts w:asciiTheme="majorBidi" w:eastAsia="Times New Roman" w:hAnsiTheme="majorBidi" w:cstheme="majorBidi"/>
                <w:lang w:val="ru-RU"/>
              </w:rPr>
              <w:t>6%</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val="restart"/>
            <w:tcBorders>
              <w:top w:val="single" w:sz="4" w:space="0" w:color="auto"/>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w:t>
            </w:r>
          </w:p>
        </w:tc>
      </w:tr>
      <w:tr w:rsidR="004A5FF2" w:rsidRPr="00B26D47" w:rsidTr="005A4EEE">
        <w:trPr>
          <w:trHeight w:val="85"/>
          <w:jc w:val="center"/>
        </w:trPr>
        <w:tc>
          <w:tcPr>
            <w:tcW w:w="528" w:type="dxa"/>
            <w:vMerge/>
            <w:tcBorders>
              <w:left w:val="single" w:sz="4" w:space="0" w:color="auto"/>
              <w:right w:val="single" w:sz="4" w:space="0" w:color="auto"/>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men</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28</w:t>
            </w:r>
            <w:r w:rsidRPr="00B26D47">
              <w:rPr>
                <w:rFonts w:asciiTheme="majorBidi" w:eastAsia="Times New Roman" w:hAnsiTheme="majorBidi" w:cstheme="majorBidi"/>
              </w:rPr>
              <w:t>.</w:t>
            </w:r>
            <w:r w:rsidRPr="00B26D47">
              <w:rPr>
                <w:rFonts w:asciiTheme="majorBidi" w:eastAsia="Times New Roman" w:hAnsiTheme="majorBidi" w:cstheme="majorBidi"/>
                <w:lang w:val="ru-RU"/>
              </w:rPr>
              <w:t>1%</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26</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85"/>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top w:val="nil"/>
              <w:left w:val="nil"/>
              <w:bottom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women</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w:t>
            </w:r>
            <w:r w:rsidRPr="00B26D47">
              <w:rPr>
                <w:rFonts w:asciiTheme="majorBidi" w:eastAsia="Times New Roman" w:hAnsiTheme="majorBidi" w:cstheme="majorBidi"/>
              </w:rPr>
              <w:t>.</w:t>
            </w:r>
            <w:r w:rsidRPr="00B26D47">
              <w:rPr>
                <w:rFonts w:asciiTheme="majorBidi" w:eastAsia="Times New Roman" w:hAnsiTheme="majorBidi" w:cstheme="majorBidi"/>
                <w:lang w:val="ru-RU"/>
              </w:rPr>
              <w:t>5%</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11</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530"/>
          <w:jc w:val="center"/>
        </w:trPr>
        <w:tc>
          <w:tcPr>
            <w:tcW w:w="528" w:type="dxa"/>
            <w:vMerge w:val="restart"/>
            <w:tcBorders>
              <w:top w:val="single" w:sz="4" w:space="0" w:color="auto"/>
              <w:left w:val="single" w:sz="4" w:space="0" w:color="auto"/>
              <w:right w:val="single" w:sz="4" w:space="0" w:color="auto"/>
            </w:tcBorders>
            <w:shd w:val="clear" w:color="auto" w:fill="auto"/>
            <w:noWrap/>
            <w:vAlign w:val="center"/>
            <w:hideMark/>
          </w:tcPr>
          <w:p w:rsidR="004A5FF2" w:rsidRPr="004A5FF2"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37</w:t>
            </w:r>
          </w:p>
        </w:tc>
        <w:tc>
          <w:tcPr>
            <w:tcW w:w="4818" w:type="dxa"/>
            <w:tcBorders>
              <w:top w:val="single" w:sz="4" w:space="0" w:color="auto"/>
              <w:left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Admission to secondary professional education (SVET) institutions in the total number of applicants (in %), including: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63</w:t>
            </w:r>
            <w:r w:rsidRPr="00B26D47">
              <w:rPr>
                <w:rFonts w:asciiTheme="majorBidi" w:eastAsia="Times New Roman" w:hAnsiTheme="majorBidi" w:cstheme="majorBidi"/>
              </w:rPr>
              <w:t>.</w:t>
            </w:r>
            <w:r w:rsidRPr="00B26D47">
              <w:rPr>
                <w:rFonts w:asciiTheme="majorBidi" w:eastAsia="Times New Roman" w:hAnsiTheme="majorBidi" w:cstheme="majorBidi"/>
                <w:lang w:val="ru-RU"/>
              </w:rPr>
              <w:t>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64</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64</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64</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val="restart"/>
            <w:tcBorders>
              <w:top w:val="single" w:sz="4" w:space="0" w:color="auto"/>
              <w:left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w:t>
            </w:r>
          </w:p>
        </w:tc>
      </w:tr>
      <w:tr w:rsidR="004A5FF2" w:rsidRPr="00B26D47" w:rsidTr="005A4EEE">
        <w:trPr>
          <w:trHeight w:val="116"/>
          <w:jc w:val="center"/>
        </w:trPr>
        <w:tc>
          <w:tcPr>
            <w:tcW w:w="528" w:type="dxa"/>
            <w:vMerge/>
            <w:tcBorders>
              <w:left w:val="single" w:sz="4" w:space="0" w:color="auto"/>
              <w:right w:val="single" w:sz="4" w:space="0" w:color="auto"/>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left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men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24</w:t>
            </w:r>
            <w:r w:rsidRPr="00B26D47">
              <w:rPr>
                <w:rFonts w:asciiTheme="majorBidi" w:eastAsia="Times New Roman" w:hAnsiTheme="majorBidi" w:cstheme="majorBidi"/>
              </w:rPr>
              <w:t>.</w:t>
            </w:r>
            <w:r w:rsidRPr="00B26D47">
              <w:rPr>
                <w:rFonts w:asciiTheme="majorBidi" w:eastAsia="Times New Roman" w:hAnsiTheme="majorBidi" w:cstheme="majorBidi"/>
                <w:lang w:val="ru-RU"/>
              </w:rPr>
              <w:t>7%</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29</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29</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107"/>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left w:val="single" w:sz="4" w:space="0" w:color="auto"/>
              <w:bottom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women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38</w:t>
            </w:r>
            <w:r w:rsidRPr="00B26D47">
              <w:rPr>
                <w:rFonts w:asciiTheme="majorBidi" w:eastAsia="Times New Roman" w:hAnsiTheme="majorBidi" w:cstheme="majorBidi"/>
              </w:rPr>
              <w:t>.</w:t>
            </w:r>
            <w:r w:rsidRPr="00B26D47">
              <w:rPr>
                <w:rFonts w:asciiTheme="majorBidi" w:eastAsia="Times New Roman" w:hAnsiTheme="majorBidi" w:cstheme="majorBidi"/>
                <w:lang w:val="ru-RU"/>
              </w:rPr>
              <w:t>7%</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single" w:sz="4" w:space="0" w:color="auto"/>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539"/>
          <w:jc w:val="center"/>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F2" w:rsidRPr="004A5FF2"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38</w:t>
            </w:r>
          </w:p>
        </w:tc>
        <w:tc>
          <w:tcPr>
            <w:tcW w:w="4818" w:type="dxa"/>
            <w:tcBorders>
              <w:top w:val="single" w:sz="4" w:space="0" w:color="auto"/>
              <w:left w:val="nil"/>
              <w:bottom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Coverage of graduates of general secondary educational institutions by primary and secondary professional education (in %).</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4A5FF2" w:rsidRPr="00B26D47" w:rsidTr="005A4EEE">
        <w:trPr>
          <w:trHeight w:val="85"/>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4A5FF2" w:rsidRPr="004A5FF2"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39</w:t>
            </w:r>
          </w:p>
        </w:tc>
        <w:tc>
          <w:tcPr>
            <w:tcW w:w="4818" w:type="dxa"/>
            <w:tcBorders>
              <w:top w:val="nil"/>
              <w:left w:val="nil"/>
              <w:bottom w:val="single" w:sz="4" w:space="0" w:color="auto"/>
              <w:right w:val="single" w:sz="4" w:space="0" w:color="auto"/>
            </w:tcBorders>
            <w:shd w:val="clear" w:color="auto" w:fill="auto"/>
            <w:vAlign w:val="center"/>
            <w:hideMark/>
          </w:tcPr>
          <w:p w:rsidR="004A5FF2" w:rsidRPr="0046725D" w:rsidRDefault="004A5FF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students in primary and secondary professional educational institutions in total enrollment (in %).</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38</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4A5FF2" w:rsidRPr="00B26D47" w:rsidTr="005A4EEE">
        <w:trPr>
          <w:trHeight w:val="413"/>
          <w:jc w:val="center"/>
        </w:trPr>
        <w:tc>
          <w:tcPr>
            <w:tcW w:w="528" w:type="dxa"/>
            <w:vMerge w:val="restart"/>
            <w:tcBorders>
              <w:top w:val="nil"/>
              <w:left w:val="single" w:sz="4" w:space="0" w:color="auto"/>
              <w:right w:val="single" w:sz="4" w:space="0" w:color="auto"/>
            </w:tcBorders>
            <w:shd w:val="clear" w:color="auto" w:fill="auto"/>
            <w:noWrap/>
            <w:vAlign w:val="center"/>
            <w:hideMark/>
          </w:tcPr>
          <w:p w:rsidR="004A5FF2" w:rsidRPr="004A5FF2" w:rsidRDefault="004A5FF2"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40</w:t>
            </w:r>
          </w:p>
        </w:tc>
        <w:tc>
          <w:tcPr>
            <w:tcW w:w="4818" w:type="dxa"/>
            <w:tcBorders>
              <w:top w:val="nil"/>
              <w:left w:val="nil"/>
              <w:bottom w:val="nil"/>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Coverage of people with disabilities by primary and secondary professional education programs, including</w:t>
            </w:r>
            <w:r w:rsidRPr="00320BE5">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64%</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val="restart"/>
            <w:tcBorders>
              <w:top w:val="nil"/>
              <w:left w:val="nil"/>
              <w:right w:val="single" w:sz="4" w:space="0" w:color="auto"/>
            </w:tcBorders>
            <w:shd w:val="clear" w:color="auto" w:fill="auto"/>
            <w:vAlign w:val="center"/>
            <w:hideMark/>
          </w:tcPr>
          <w:p w:rsidR="004A5FF2" w:rsidRDefault="004A5FF2"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Contributes to</w:t>
            </w:r>
          </w:p>
          <w:p w:rsidR="004A5FF2" w:rsidRPr="00B26D47" w:rsidRDefault="004A5FF2"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SDG </w:t>
            </w:r>
            <w:r>
              <w:rPr>
                <w:rFonts w:asciiTheme="majorBidi" w:eastAsia="Times New Roman" w:hAnsiTheme="majorBidi" w:cstheme="majorBidi"/>
                <w:color w:val="000000"/>
              </w:rPr>
              <w:t xml:space="preserve">Indicator </w:t>
            </w:r>
            <w:r w:rsidRPr="00B26D47">
              <w:rPr>
                <w:rFonts w:asciiTheme="majorBidi" w:eastAsia="Times New Roman" w:hAnsiTheme="majorBidi" w:cstheme="majorBidi"/>
                <w:color w:val="000000"/>
              </w:rPr>
              <w:t>4.5</w:t>
            </w:r>
            <w:r>
              <w:rPr>
                <w:rFonts w:asciiTheme="majorBidi" w:eastAsia="Times New Roman" w:hAnsiTheme="majorBidi" w:cstheme="majorBidi"/>
                <w:color w:val="000000"/>
              </w:rPr>
              <w:t>.1</w:t>
            </w:r>
          </w:p>
        </w:tc>
      </w:tr>
      <w:tr w:rsidR="004A5FF2" w:rsidRPr="00B26D47" w:rsidTr="005A4EEE">
        <w:trPr>
          <w:trHeight w:val="134"/>
          <w:jc w:val="center"/>
        </w:trPr>
        <w:tc>
          <w:tcPr>
            <w:tcW w:w="528" w:type="dxa"/>
            <w:vMerge/>
            <w:tcBorders>
              <w:left w:val="single" w:sz="4" w:space="0" w:color="auto"/>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c>
          <w:tcPr>
            <w:tcW w:w="4818" w:type="dxa"/>
            <w:tcBorders>
              <w:top w:val="nil"/>
              <w:left w:val="nil"/>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initial VET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60%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233"/>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c>
          <w:tcPr>
            <w:tcW w:w="4818"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secondary VET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r w:rsidRPr="00B26D47">
              <w:rPr>
                <w:rFonts w:asciiTheme="majorBidi" w:eastAsia="Times New Roman" w:hAnsiTheme="majorBidi" w:cstheme="majorBidi"/>
                <w:lang w:val="ru-RU"/>
              </w:rPr>
              <w:t>04%</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left w:val="nil"/>
              <w:bottom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B37CAD" w:rsidRPr="00B26D47" w:rsidTr="00BF23B6">
        <w:trPr>
          <w:trHeight w:val="600"/>
          <w:jc w:val="center"/>
        </w:trPr>
        <w:tc>
          <w:tcPr>
            <w:tcW w:w="52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41</w:t>
            </w:r>
          </w:p>
        </w:tc>
        <w:tc>
          <w:tcPr>
            <w:tcW w:w="4818" w:type="dxa"/>
            <w:tcBorders>
              <w:top w:val="single" w:sz="4" w:space="0" w:color="auto"/>
              <w:left w:val="nil"/>
              <w:right w:val="single" w:sz="4" w:space="0" w:color="auto"/>
            </w:tcBorders>
            <w:shd w:val="clear" w:color="auto" w:fill="auto"/>
            <w:vAlign w:val="center"/>
            <w:hideMark/>
          </w:tcPr>
          <w:p w:rsidR="00B37CAD" w:rsidRPr="0046725D" w:rsidRDefault="00BC26DE" w:rsidP="00BC26D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n</w:t>
            </w:r>
            <w:r w:rsidR="00B37CAD" w:rsidRPr="0046725D">
              <w:rPr>
                <w:rFonts w:asciiTheme="majorBidi" w:eastAsia="Times New Roman" w:hAnsiTheme="majorBidi" w:cstheme="majorBidi"/>
              </w:rPr>
              <w:t>umber of new seats in primary and secondary professional educational institutions, including</w:t>
            </w:r>
            <w:r w:rsidR="00320BE5" w:rsidRPr="0046725D">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10,000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36,000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48,000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60,000</w:t>
            </w:r>
          </w:p>
        </w:tc>
        <w:tc>
          <w:tcPr>
            <w:tcW w:w="2195" w:type="dxa"/>
            <w:vMerge w:val="restart"/>
            <w:tcBorders>
              <w:top w:val="single" w:sz="4" w:space="0" w:color="auto"/>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BF23B6">
        <w:trPr>
          <w:trHeight w:val="251"/>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B37CAD" w:rsidRPr="0046725D" w:rsidRDefault="00BC26DE"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initial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8,821</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50,000</w:t>
            </w:r>
          </w:p>
        </w:tc>
        <w:tc>
          <w:tcPr>
            <w:tcW w:w="2195" w:type="dxa"/>
            <w:vMerge/>
            <w:tcBorders>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197"/>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bottom w:val="single" w:sz="4" w:space="0" w:color="auto"/>
              <w:right w:val="single" w:sz="4" w:space="0" w:color="auto"/>
            </w:tcBorders>
            <w:shd w:val="clear" w:color="auto" w:fill="auto"/>
            <w:vAlign w:val="center"/>
            <w:hideMark/>
          </w:tcPr>
          <w:p w:rsidR="00B37CAD" w:rsidRPr="0046725D" w:rsidRDefault="00BC26DE"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secondary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10,000</w:t>
            </w:r>
          </w:p>
        </w:tc>
        <w:tc>
          <w:tcPr>
            <w:tcW w:w="2195" w:type="dxa"/>
            <w:vMerge/>
            <w:tcBorders>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539"/>
          <w:jc w:val="center"/>
        </w:trPr>
        <w:tc>
          <w:tcPr>
            <w:tcW w:w="528" w:type="dxa"/>
            <w:vMerge w:val="restart"/>
            <w:tcBorders>
              <w:top w:val="nil"/>
              <w:left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42</w:t>
            </w:r>
          </w:p>
        </w:tc>
        <w:tc>
          <w:tcPr>
            <w:tcW w:w="4818" w:type="dxa"/>
            <w:tcBorders>
              <w:top w:val="single" w:sz="4" w:space="0" w:color="auto"/>
              <w:left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modernized primary and secondary professional educational institutions whose buildings are adapted for people with disabilities (in %), including</w:t>
            </w:r>
            <w:r w:rsidR="00320BE5"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195" w:type="dxa"/>
            <w:vMerge w:val="restart"/>
            <w:tcBorders>
              <w:top w:val="nil"/>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BF23B6">
        <w:trPr>
          <w:trHeight w:val="269"/>
          <w:jc w:val="center"/>
        </w:trPr>
        <w:tc>
          <w:tcPr>
            <w:tcW w:w="528" w:type="dxa"/>
            <w:vMerge/>
            <w:tcBorders>
              <w:left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B37CAD" w:rsidRPr="0046725D" w:rsidRDefault="00BC26DE"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initial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20.0</w:t>
            </w:r>
            <w:r w:rsidR="00BC26DE">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40.0</w:t>
            </w:r>
            <w:r w:rsidR="00BC26DE">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60.0</w:t>
            </w:r>
            <w:r w:rsidR="00BC26DE">
              <w:rPr>
                <w:rFonts w:asciiTheme="majorBidi" w:eastAsia="Times New Roman" w:hAnsiTheme="majorBidi" w:cstheme="majorBidi"/>
              </w:rPr>
              <w:t>%</w:t>
            </w:r>
          </w:p>
        </w:tc>
        <w:tc>
          <w:tcPr>
            <w:tcW w:w="2195" w:type="dxa"/>
            <w:vMerge/>
            <w:tcBorders>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85"/>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bottom w:val="single" w:sz="4" w:space="0" w:color="auto"/>
              <w:right w:val="single" w:sz="4" w:space="0" w:color="auto"/>
            </w:tcBorders>
            <w:shd w:val="clear" w:color="auto" w:fill="auto"/>
            <w:vAlign w:val="center"/>
            <w:hideMark/>
          </w:tcPr>
          <w:p w:rsidR="00B37CAD" w:rsidRPr="0046725D" w:rsidRDefault="00BC26DE"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secondary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15.0</w:t>
            </w:r>
            <w:r w:rsidR="00BC26DE">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25.0</w:t>
            </w:r>
            <w:r w:rsidR="00BC26DE">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C26DE"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40.0</w:t>
            </w:r>
            <w:r w:rsidR="00BC26DE">
              <w:rPr>
                <w:rFonts w:asciiTheme="majorBidi" w:eastAsia="Times New Roman" w:hAnsiTheme="majorBidi" w:cstheme="majorBidi"/>
              </w:rPr>
              <w:t>%</w:t>
            </w:r>
          </w:p>
        </w:tc>
        <w:tc>
          <w:tcPr>
            <w:tcW w:w="2195" w:type="dxa"/>
            <w:vMerge/>
            <w:tcBorders>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836"/>
          <w:jc w:val="center"/>
        </w:trPr>
        <w:tc>
          <w:tcPr>
            <w:tcW w:w="528" w:type="dxa"/>
            <w:vMerge w:val="restart"/>
            <w:tcBorders>
              <w:top w:val="nil"/>
              <w:left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43</w:t>
            </w:r>
          </w:p>
        </w:tc>
        <w:tc>
          <w:tcPr>
            <w:tcW w:w="4818" w:type="dxa"/>
            <w:tcBorders>
              <w:top w:val="single" w:sz="4" w:space="0" w:color="auto"/>
              <w:left w:val="nil"/>
              <w:right w:val="single" w:sz="4" w:space="0" w:color="auto"/>
            </w:tcBorders>
            <w:shd w:val="clear" w:color="auto" w:fill="auto"/>
            <w:vAlign w:val="center"/>
            <w:hideMark/>
          </w:tcPr>
          <w:p w:rsidR="00B37CAD" w:rsidRPr="0046725D" w:rsidRDefault="00B37CAD" w:rsidP="00BC26D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The </w:t>
            </w:r>
            <w:r w:rsidR="00BC26DE" w:rsidRPr="0046725D">
              <w:rPr>
                <w:rFonts w:asciiTheme="majorBidi" w:eastAsia="Times New Roman" w:hAnsiTheme="majorBidi" w:cstheme="majorBidi"/>
              </w:rPr>
              <w:t>proportion</w:t>
            </w:r>
            <w:r w:rsidRPr="0046725D">
              <w:rPr>
                <w:rFonts w:asciiTheme="majorBidi" w:eastAsia="Times New Roman" w:hAnsiTheme="majorBidi" w:cstheme="majorBidi"/>
              </w:rPr>
              <w:t xml:space="preserve"> of women enrolled in newly introduced educational programs of primary and secondary professional education (in %), including</w:t>
            </w:r>
            <w:r w:rsidR="00320BE5"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195" w:type="dxa"/>
            <w:vMerge w:val="restart"/>
            <w:tcBorders>
              <w:top w:val="nil"/>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B37CAD" w:rsidRPr="00B26D47" w:rsidTr="00BF23B6">
        <w:trPr>
          <w:trHeight w:val="260"/>
          <w:jc w:val="center"/>
        </w:trPr>
        <w:tc>
          <w:tcPr>
            <w:tcW w:w="528" w:type="dxa"/>
            <w:vMerge/>
            <w:tcBorders>
              <w:left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w:t>
            </w:r>
            <w:r w:rsidR="00BC26DE" w:rsidRPr="0046725D">
              <w:rPr>
                <w:rFonts w:asciiTheme="majorBidi" w:eastAsia="Times New Roman" w:hAnsiTheme="majorBidi" w:cstheme="majorBidi"/>
              </w:rPr>
              <w:t xml:space="preserve"> primary professional education</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2195" w:type="dxa"/>
            <w:vMerge/>
            <w:tcBorders>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170"/>
          <w:jc w:val="center"/>
        </w:trPr>
        <w:tc>
          <w:tcPr>
            <w:tcW w:w="528" w:type="dxa"/>
            <w:vMerge/>
            <w:tcBorders>
              <w:left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s</w:t>
            </w:r>
            <w:r w:rsidR="00BC26DE" w:rsidRPr="0046725D">
              <w:rPr>
                <w:rFonts w:asciiTheme="majorBidi" w:eastAsia="Times New Roman" w:hAnsiTheme="majorBidi" w:cstheme="majorBidi"/>
              </w:rPr>
              <w:t>econdary professional education</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w:t>
            </w:r>
          </w:p>
        </w:tc>
        <w:tc>
          <w:tcPr>
            <w:tcW w:w="2195" w:type="dxa"/>
            <w:vMerge/>
            <w:tcBorders>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161"/>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B37CAD" w:rsidRPr="0046725D" w:rsidRDefault="00B37CAD" w:rsidP="0023340C">
            <w:pPr>
              <w:spacing w:after="0" w:line="240" w:lineRule="auto"/>
              <w:jc w:val="center"/>
              <w:rPr>
                <w:rFonts w:asciiTheme="majorBidi" w:eastAsia="Times New Roman" w:hAnsiTheme="majorBidi" w:cstheme="majorBidi"/>
              </w:rPr>
            </w:pPr>
          </w:p>
        </w:tc>
        <w:tc>
          <w:tcPr>
            <w:tcW w:w="4818"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short-term courses (adult resource centers</w:t>
            </w:r>
            <w:r w:rsidR="00320BE5"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35.0%</w:t>
            </w:r>
          </w:p>
        </w:tc>
        <w:tc>
          <w:tcPr>
            <w:tcW w:w="2195" w:type="dxa"/>
            <w:vMerge/>
            <w:tcBorders>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C26DE">
        <w:trPr>
          <w:trHeight w:val="85"/>
          <w:jc w:val="center"/>
        </w:trPr>
        <w:tc>
          <w:tcPr>
            <w:tcW w:w="528" w:type="dxa"/>
            <w:vMerge w:val="restart"/>
            <w:tcBorders>
              <w:top w:val="nil"/>
              <w:left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44</w:t>
            </w:r>
          </w:p>
        </w:tc>
        <w:tc>
          <w:tcPr>
            <w:tcW w:w="4818" w:type="dxa"/>
            <w:tcBorders>
              <w:top w:val="single" w:sz="4" w:space="0" w:color="auto"/>
              <w:left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primary and secondary professional educational institutions using information and communication technologies in the educational process (in %), including</w:t>
            </w:r>
            <w:r w:rsidR="00320BE5"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68</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73</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86</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195" w:type="dxa"/>
            <w:vMerge w:val="restart"/>
            <w:tcBorders>
              <w:top w:val="nil"/>
              <w:left w:val="nil"/>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BF23B6">
        <w:trPr>
          <w:trHeight w:val="224"/>
          <w:jc w:val="center"/>
        </w:trPr>
        <w:tc>
          <w:tcPr>
            <w:tcW w:w="528" w:type="dxa"/>
            <w:vMerge/>
            <w:tcBorders>
              <w:left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c>
          <w:tcPr>
            <w:tcW w:w="4818" w:type="dxa"/>
            <w:tcBorders>
              <w:top w:val="nil"/>
              <w:left w:val="nil"/>
              <w:right w:val="single" w:sz="4" w:space="0" w:color="auto"/>
            </w:tcBorders>
            <w:shd w:val="clear" w:color="auto" w:fill="auto"/>
            <w:vAlign w:val="center"/>
            <w:hideMark/>
          </w:tcPr>
          <w:p w:rsidR="00B37CAD" w:rsidRPr="00B26D47" w:rsidRDefault="00BC26DE"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in initial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47</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BC26D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5</w:t>
            </w:r>
            <w:r w:rsidR="00BC26DE" w:rsidRPr="0046725D">
              <w:rPr>
                <w:rFonts w:asciiTheme="majorBidi" w:eastAsia="Times New Roman" w:hAnsiTheme="majorBidi" w:cstheme="majorBidi"/>
              </w:rPr>
              <w:t>5</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195" w:type="dxa"/>
            <w:vMerge/>
            <w:tcBorders>
              <w:left w:val="nil"/>
              <w:right w:val="single" w:sz="4" w:space="0" w:color="auto"/>
            </w:tcBorders>
            <w:shd w:val="clear" w:color="auto" w:fill="auto"/>
            <w:noWrap/>
            <w:vAlign w:val="bottom"/>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BF23B6">
        <w:trPr>
          <w:trHeight w:val="134"/>
          <w:jc w:val="center"/>
        </w:trPr>
        <w:tc>
          <w:tcPr>
            <w:tcW w:w="528" w:type="dxa"/>
            <w:vMerge/>
            <w:tcBorders>
              <w:left w:val="single" w:sz="4" w:space="0" w:color="auto"/>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c>
          <w:tcPr>
            <w:tcW w:w="4818" w:type="dxa"/>
            <w:tcBorders>
              <w:top w:val="nil"/>
              <w:left w:val="nil"/>
              <w:bottom w:val="single" w:sz="4" w:space="0" w:color="auto"/>
              <w:right w:val="single" w:sz="4" w:space="0" w:color="auto"/>
            </w:tcBorders>
            <w:shd w:val="clear" w:color="auto" w:fill="auto"/>
            <w:vAlign w:val="center"/>
            <w:hideMark/>
          </w:tcPr>
          <w:p w:rsidR="00B37CAD" w:rsidRPr="00B26D47" w:rsidRDefault="00BC26DE"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in secondary VET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23</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26</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BC26D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w:t>
            </w:r>
            <w:r w:rsidR="00BC26DE" w:rsidRPr="0046725D">
              <w:rPr>
                <w:rFonts w:asciiTheme="majorBidi" w:eastAsia="Times New Roman" w:hAnsiTheme="majorBidi" w:cstheme="majorBidi"/>
              </w:rPr>
              <w:t>5</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p>
        </w:tc>
        <w:tc>
          <w:tcPr>
            <w:tcW w:w="2195" w:type="dxa"/>
            <w:vMerge/>
            <w:tcBorders>
              <w:left w:val="nil"/>
              <w:bottom w:val="single" w:sz="4" w:space="0" w:color="auto"/>
              <w:right w:val="single" w:sz="4" w:space="0" w:color="auto"/>
            </w:tcBorders>
            <w:shd w:val="clear" w:color="auto" w:fill="auto"/>
            <w:noWrap/>
            <w:vAlign w:val="bottom"/>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BF23B6">
        <w:trPr>
          <w:trHeight w:val="630"/>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4.2 (Policy priority</w:t>
            </w:r>
            <w:r w:rsidR="00320BE5" w:rsidRPr="00320BE5">
              <w:rPr>
                <w:rFonts w:asciiTheme="majorBidi" w:eastAsia="Times New Roman" w:hAnsiTheme="majorBidi" w:cstheme="majorBidi"/>
                <w:b/>
                <w:bCs/>
                <w:color w:val="FFFFFF" w:themeColor="background1"/>
              </w:rPr>
              <w:t xml:space="preserve"> </w:t>
            </w:r>
            <w:r w:rsidRPr="00B26D47">
              <w:rPr>
                <w:rFonts w:asciiTheme="majorBidi" w:eastAsia="Times New Roman" w:hAnsiTheme="majorBidi" w:cstheme="majorBidi"/>
                <w:b/>
                <w:bCs/>
                <w:color w:val="FFFFFF" w:themeColor="background1"/>
              </w:rPr>
              <w:t xml:space="preserve">2): </w:t>
            </w:r>
            <w:r w:rsidR="00320BE5" w:rsidRPr="00320BE5">
              <w:rPr>
                <w:rFonts w:asciiTheme="majorBidi" w:eastAsia="Times New Roman" w:hAnsiTheme="majorBidi" w:cstheme="majorBidi"/>
                <w:b/>
                <w:bCs/>
                <w:color w:val="FFFFFF" w:themeColor="background1"/>
              </w:rPr>
              <w:t>The quality of education is improved for graduates of primary and secondary professional educational institutions that meets the requirements of the labor market</w:t>
            </w:r>
            <w:r w:rsidRPr="00B26D47">
              <w:rPr>
                <w:rFonts w:asciiTheme="majorBidi" w:eastAsia="Times New Roman" w:hAnsiTheme="majorBidi" w:cstheme="majorBidi"/>
                <w:b/>
                <w:bCs/>
                <w:color w:val="FFFFFF" w:themeColor="background1"/>
              </w:rPr>
              <w:t>.</w:t>
            </w:r>
          </w:p>
        </w:tc>
      </w:tr>
      <w:tr w:rsidR="00B37CAD" w:rsidRPr="00B26D47" w:rsidTr="00BF23B6">
        <w:trPr>
          <w:trHeight w:val="615"/>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4.2.1: Increased staffing potential of workers in primary and secondary professional education.</w:t>
            </w:r>
          </w:p>
        </w:tc>
      </w:tr>
      <w:tr w:rsidR="00B37CAD" w:rsidRPr="00B26D47" w:rsidTr="00BF23B6">
        <w:trPr>
          <w:trHeight w:val="600"/>
          <w:jc w:val="center"/>
        </w:trPr>
        <w:tc>
          <w:tcPr>
            <w:tcW w:w="5346" w:type="dxa"/>
            <w:gridSpan w:val="2"/>
            <w:tcBorders>
              <w:top w:val="single" w:sz="4" w:space="0" w:color="auto"/>
              <w:left w:val="single" w:sz="4" w:space="0" w:color="auto"/>
              <w:bottom w:val="nil"/>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195"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BF23B6">
        <w:trPr>
          <w:trHeight w:val="85"/>
          <w:jc w:val="center"/>
        </w:trPr>
        <w:tc>
          <w:tcPr>
            <w:tcW w:w="52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45</w:t>
            </w:r>
          </w:p>
        </w:tc>
        <w:tc>
          <w:tcPr>
            <w:tcW w:w="4818" w:type="dxa"/>
            <w:tcBorders>
              <w:top w:val="single" w:sz="4" w:space="0" w:color="auto"/>
              <w:left w:val="nil"/>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total number of teachers and masters in primary and secondary professional educational institutions (disaggregated by level of education), including:</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8,387</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9,495</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10,755</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12,189</w:t>
            </w:r>
          </w:p>
        </w:tc>
        <w:tc>
          <w:tcPr>
            <w:tcW w:w="2195" w:type="dxa"/>
            <w:vMerge w:val="restart"/>
            <w:tcBorders>
              <w:top w:val="nil"/>
              <w:left w:val="single" w:sz="4" w:space="0" w:color="auto"/>
              <w:bottom w:val="single" w:sz="4" w:space="0" w:color="000000"/>
              <w:right w:val="single" w:sz="4" w:space="0" w:color="auto"/>
            </w:tcBorders>
            <w:shd w:val="clear" w:color="auto" w:fill="auto"/>
            <w:vAlign w:val="center"/>
            <w:hideMark/>
          </w:tcPr>
          <w:p w:rsidR="00B37CAD" w:rsidRDefault="00B37CAD" w:rsidP="0049100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w:t>
            </w:r>
            <w:r w:rsidR="00491001">
              <w:rPr>
                <w:rFonts w:asciiTheme="majorBidi" w:eastAsia="Times New Roman" w:hAnsiTheme="majorBidi" w:cstheme="majorBidi"/>
              </w:rPr>
              <w:t>Contributes to</w:t>
            </w:r>
          </w:p>
          <w:p w:rsidR="00491001" w:rsidRPr="00C75B51" w:rsidRDefault="00491001" w:rsidP="00491001">
            <w:pPr>
              <w:spacing w:after="0" w:line="240" w:lineRule="auto"/>
              <w:jc w:val="center"/>
              <w:rPr>
                <w:rFonts w:asciiTheme="majorBidi" w:eastAsia="Times New Roman" w:hAnsiTheme="majorBidi" w:cstheme="majorBidi"/>
              </w:rPr>
            </w:pPr>
            <w:r>
              <w:rPr>
                <w:rFonts w:asciiTheme="majorBidi" w:eastAsia="Times New Roman" w:hAnsiTheme="majorBidi" w:cstheme="majorBidi"/>
              </w:rPr>
              <w:t>SDG Indicator 4.c.1</w:t>
            </w:r>
          </w:p>
        </w:tc>
      </w:tr>
      <w:tr w:rsidR="00B37CAD" w:rsidRPr="00B26D47" w:rsidTr="0046725D">
        <w:trPr>
          <w:trHeight w:val="85"/>
          <w:jc w:val="center"/>
        </w:trPr>
        <w:tc>
          <w:tcPr>
            <w:tcW w:w="528"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818" w:type="dxa"/>
            <w:tcBorders>
              <w:top w:val="nil"/>
              <w:left w:val="nil"/>
              <w:right w:val="single" w:sz="4" w:space="0" w:color="auto"/>
            </w:tcBorders>
            <w:shd w:val="clear" w:color="auto" w:fill="auto"/>
            <w:vAlign w:val="center"/>
            <w:hideMark/>
          </w:tcPr>
          <w:p w:rsidR="00B37CAD" w:rsidRPr="00B26D47" w:rsidRDefault="0070148C"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in initial VET institutions</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2,508</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2,734</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2,980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3,248</w:t>
            </w:r>
          </w:p>
        </w:tc>
        <w:tc>
          <w:tcPr>
            <w:tcW w:w="2195"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70148C">
        <w:trPr>
          <w:trHeight w:val="85"/>
          <w:jc w:val="center"/>
        </w:trPr>
        <w:tc>
          <w:tcPr>
            <w:tcW w:w="528"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818" w:type="dxa"/>
            <w:tcBorders>
              <w:top w:val="nil"/>
              <w:left w:val="nil"/>
              <w:bottom w:val="nil"/>
              <w:right w:val="single" w:sz="4" w:space="0" w:color="auto"/>
            </w:tcBorders>
            <w:shd w:val="clear" w:color="auto" w:fill="auto"/>
            <w:vAlign w:val="center"/>
            <w:hideMark/>
          </w:tcPr>
          <w:p w:rsidR="00B37CAD" w:rsidRPr="00B26D47" w:rsidRDefault="0070148C"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in secondary VET institutions</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5,879</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6</w:t>
            </w:r>
            <w:r w:rsidRPr="00B26D47">
              <w:rPr>
                <w:rFonts w:asciiTheme="majorBidi" w:eastAsia="Times New Roman" w:hAnsiTheme="majorBidi" w:cstheme="majorBidi"/>
                <w:lang w:val="ru-RU"/>
              </w:rPr>
              <w:t>,</w:t>
            </w:r>
            <w:r w:rsidRPr="00B26D47">
              <w:rPr>
                <w:rFonts w:asciiTheme="majorBidi" w:eastAsia="Times New Roman" w:hAnsiTheme="majorBidi" w:cstheme="majorBidi"/>
              </w:rPr>
              <w:t>761</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7</w:t>
            </w:r>
            <w:r w:rsidRPr="00B26D47">
              <w:rPr>
                <w:rFonts w:asciiTheme="majorBidi" w:eastAsia="Times New Roman" w:hAnsiTheme="majorBidi" w:cstheme="majorBidi"/>
                <w:lang w:val="ru-RU"/>
              </w:rPr>
              <w:t>,</w:t>
            </w:r>
            <w:r w:rsidRPr="00B26D47">
              <w:rPr>
                <w:rFonts w:asciiTheme="majorBidi" w:eastAsia="Times New Roman" w:hAnsiTheme="majorBidi" w:cstheme="majorBidi"/>
              </w:rPr>
              <w:t>775</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8</w:t>
            </w:r>
            <w:r w:rsidRPr="00B26D47">
              <w:rPr>
                <w:rFonts w:asciiTheme="majorBidi" w:eastAsia="Times New Roman" w:hAnsiTheme="majorBidi" w:cstheme="majorBidi"/>
                <w:lang w:val="ru-RU"/>
              </w:rPr>
              <w:t>,</w:t>
            </w:r>
            <w:r w:rsidRPr="00B26D47">
              <w:rPr>
                <w:rFonts w:asciiTheme="majorBidi" w:eastAsia="Times New Roman" w:hAnsiTheme="majorBidi" w:cstheme="majorBidi"/>
              </w:rPr>
              <w:t>941</w:t>
            </w:r>
          </w:p>
        </w:tc>
        <w:tc>
          <w:tcPr>
            <w:tcW w:w="2195" w:type="dxa"/>
            <w:vMerge/>
            <w:tcBorders>
              <w:top w:val="nil"/>
              <w:left w:val="single" w:sz="4" w:space="0" w:color="auto"/>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p>
        </w:tc>
      </w:tr>
      <w:tr w:rsidR="00B37CAD" w:rsidRPr="00B26D47" w:rsidTr="0046725D">
        <w:trPr>
          <w:trHeight w:val="422"/>
          <w:jc w:val="center"/>
        </w:trPr>
        <w:tc>
          <w:tcPr>
            <w:tcW w:w="528"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46</w:t>
            </w:r>
          </w:p>
        </w:tc>
        <w:tc>
          <w:tcPr>
            <w:tcW w:w="4818"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46725D">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The share of teachers and masters who completed advanced professional development courses on building competencies for graduates of </w:t>
            </w:r>
            <w:r w:rsidR="0046725D">
              <w:rPr>
                <w:rFonts w:asciiTheme="majorBidi" w:eastAsia="Times New Roman" w:hAnsiTheme="majorBidi" w:cstheme="majorBidi"/>
                <w:color w:val="000000"/>
              </w:rPr>
              <w:t>IVET/PVET</w:t>
            </w:r>
            <w:r w:rsidRPr="00B26D47">
              <w:rPr>
                <w:rFonts w:asciiTheme="majorBidi" w:eastAsia="Times New Roman" w:hAnsiTheme="majorBidi" w:cstheme="majorBidi"/>
                <w:color w:val="000000"/>
              </w:rPr>
              <w:t xml:space="preserve"> institutions (in %; including new methods of teaching and assessing students),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single" w:sz="4" w:space="0" w:color="auto"/>
              <w:left w:val="nil"/>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19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91001" w:rsidRDefault="00491001" w:rsidP="0049100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w:t>
            </w:r>
            <w:r>
              <w:rPr>
                <w:rFonts w:asciiTheme="majorBidi" w:eastAsia="Times New Roman" w:hAnsiTheme="majorBidi" w:cstheme="majorBidi"/>
              </w:rPr>
              <w:t>Contributes to</w:t>
            </w:r>
          </w:p>
          <w:p w:rsidR="00B37CAD" w:rsidRPr="00B26D47" w:rsidRDefault="00491001" w:rsidP="00491001">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rPr>
              <w:t>SDG Indicator 4.c.1</w:t>
            </w:r>
          </w:p>
        </w:tc>
      </w:tr>
      <w:tr w:rsidR="00B37CAD" w:rsidRPr="00B26D47" w:rsidTr="00BF23B6">
        <w:trPr>
          <w:trHeight w:val="170"/>
          <w:jc w:val="center"/>
        </w:trPr>
        <w:tc>
          <w:tcPr>
            <w:tcW w:w="528" w:type="dxa"/>
            <w:vMerge/>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c>
          <w:tcPr>
            <w:tcW w:w="4818" w:type="dxa"/>
            <w:tcBorders>
              <w:top w:val="single" w:sz="4" w:space="0" w:color="auto"/>
              <w:left w:val="nil"/>
              <w:bottom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sidR="00320BE5" w:rsidRPr="00320BE5">
              <w:rPr>
                <w:rFonts w:asciiTheme="majorBidi" w:eastAsia="Times New Roman" w:hAnsiTheme="majorBidi" w:cstheme="majorBidi"/>
                <w:color w:val="000000"/>
              </w:rPr>
              <w:t xml:space="preserve">teachers and masters of </w:t>
            </w:r>
            <w:r w:rsidR="0070148C">
              <w:rPr>
                <w:rFonts w:asciiTheme="majorBidi" w:eastAsia="Times New Roman" w:hAnsiTheme="majorBidi" w:cstheme="majorBidi"/>
                <w:color w:val="000000"/>
              </w:rPr>
              <w:t>IVET institutions</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nil"/>
              <w:left w:val="nil"/>
              <w:bottom w:val="single" w:sz="4" w:space="0" w:color="auto"/>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195" w:type="dxa"/>
            <w:vMerge/>
            <w:tcBorders>
              <w:top w:val="nil"/>
              <w:left w:val="single" w:sz="4" w:space="0" w:color="auto"/>
              <w:bottom w:val="single" w:sz="4" w:space="0" w:color="000000"/>
              <w:right w:val="single" w:sz="4" w:space="0" w:color="auto"/>
            </w:tcBorders>
            <w:shd w:val="clear" w:color="auto" w:fill="auto"/>
            <w:noWrap/>
            <w:vAlign w:val="bottom"/>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170"/>
          <w:jc w:val="center"/>
        </w:trPr>
        <w:tc>
          <w:tcPr>
            <w:tcW w:w="528" w:type="dxa"/>
            <w:vMerge/>
            <w:tcBorders>
              <w:top w:val="single" w:sz="4" w:space="0" w:color="000000"/>
              <w:left w:val="single" w:sz="4" w:space="0" w:color="auto"/>
              <w:bottom w:val="single" w:sz="4" w:space="0" w:color="000000"/>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c>
          <w:tcPr>
            <w:tcW w:w="4818" w:type="dxa"/>
            <w:tcBorders>
              <w:left w:val="nil"/>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w:t>
            </w:r>
            <w:r w:rsidR="00320BE5" w:rsidRPr="00320BE5">
              <w:rPr>
                <w:rFonts w:asciiTheme="majorBidi" w:eastAsia="Times New Roman" w:hAnsiTheme="majorBidi" w:cstheme="majorBidi"/>
                <w:color w:val="000000"/>
              </w:rPr>
              <w:t xml:space="preserve">teachers and masters of </w:t>
            </w:r>
            <w:r w:rsidR="0070148C">
              <w:rPr>
                <w:rFonts w:asciiTheme="majorBidi" w:eastAsia="Times New Roman" w:hAnsiTheme="majorBidi" w:cstheme="majorBidi"/>
                <w:color w:val="000000"/>
              </w:rPr>
              <w:t>SVET institutions</w:t>
            </w:r>
          </w:p>
        </w:tc>
        <w:tc>
          <w:tcPr>
            <w:tcW w:w="1710" w:type="dxa"/>
            <w:tcBorders>
              <w:top w:val="nil"/>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1710" w:type="dxa"/>
            <w:tcBorders>
              <w:top w:val="nil"/>
              <w:left w:val="nil"/>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nil"/>
              <w:left w:val="nil"/>
              <w:right w:val="nil"/>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195" w:type="dxa"/>
            <w:vMerge/>
            <w:tcBorders>
              <w:top w:val="nil"/>
              <w:left w:val="single" w:sz="4" w:space="0" w:color="auto"/>
              <w:bottom w:val="single" w:sz="4" w:space="0" w:color="000000"/>
              <w:right w:val="single" w:sz="4" w:space="0" w:color="auto"/>
            </w:tcBorders>
            <w:shd w:val="clear" w:color="auto" w:fill="auto"/>
            <w:noWrap/>
            <w:vAlign w:val="bottom"/>
            <w:hideMark/>
          </w:tcPr>
          <w:p w:rsidR="00B37CAD" w:rsidRPr="00B26D47" w:rsidRDefault="00B37CAD" w:rsidP="0023340C">
            <w:pPr>
              <w:spacing w:after="0" w:line="240" w:lineRule="auto"/>
              <w:jc w:val="center"/>
              <w:rPr>
                <w:rFonts w:asciiTheme="majorBidi" w:eastAsia="Times New Roman" w:hAnsiTheme="majorBidi" w:cstheme="majorBidi"/>
                <w:color w:val="000000"/>
              </w:rPr>
            </w:pPr>
          </w:p>
        </w:tc>
      </w:tr>
      <w:tr w:rsidR="00B37CAD" w:rsidRPr="00B26D47" w:rsidTr="00BF23B6">
        <w:trPr>
          <w:trHeight w:val="645"/>
          <w:jc w:val="center"/>
        </w:trPr>
        <w:tc>
          <w:tcPr>
            <w:tcW w:w="14381"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Intermediate outcome 4.2.2: The activities of primary and secondary professional educational institutions are strengthened in accordance with the needs of the labor market.</w:t>
            </w:r>
          </w:p>
        </w:tc>
      </w:tr>
      <w:tr w:rsidR="00B37CAD" w:rsidRPr="00B26D47" w:rsidTr="00BF23B6">
        <w:trPr>
          <w:trHeight w:val="600"/>
          <w:jc w:val="center"/>
        </w:trPr>
        <w:tc>
          <w:tcPr>
            <w:tcW w:w="5346"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single" w:sz="4" w:space="0" w:color="auto"/>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195"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4A5FF2" w:rsidRPr="00B26D47" w:rsidTr="005A4EEE">
        <w:trPr>
          <w:trHeight w:val="620"/>
          <w:jc w:val="center"/>
        </w:trPr>
        <w:tc>
          <w:tcPr>
            <w:tcW w:w="528" w:type="dxa"/>
            <w:vMerge w:val="restart"/>
            <w:tcBorders>
              <w:top w:val="single" w:sz="4" w:space="0" w:color="auto"/>
              <w:left w:val="single" w:sz="4" w:space="0" w:color="auto"/>
              <w:bottom w:val="single" w:sz="4" w:space="0" w:color="000000"/>
              <w:right w:val="nil"/>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47</w:t>
            </w:r>
          </w:p>
        </w:tc>
        <w:tc>
          <w:tcPr>
            <w:tcW w:w="4818" w:type="dxa"/>
            <w:tcBorders>
              <w:top w:val="single" w:sz="4" w:space="0" w:color="auto"/>
              <w:left w:val="single" w:sz="4" w:space="0" w:color="auto"/>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The share of graduates of primary and secondary professional educational institutions employed by profession (in %),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65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80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w:t>
            </w:r>
          </w:p>
        </w:tc>
      </w:tr>
      <w:tr w:rsidR="004A5FF2" w:rsidRPr="00B26D47" w:rsidTr="005A4EEE">
        <w:trPr>
          <w:trHeight w:val="152"/>
          <w:jc w:val="center"/>
        </w:trPr>
        <w:tc>
          <w:tcPr>
            <w:tcW w:w="528" w:type="dxa"/>
            <w:vMerge/>
            <w:tcBorders>
              <w:top w:val="single" w:sz="4" w:space="0" w:color="auto"/>
              <w:left w:val="single" w:sz="4" w:space="0" w:color="auto"/>
              <w:bottom w:val="single" w:sz="4" w:space="0" w:color="000000"/>
              <w:right w:val="nil"/>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left w:val="single" w:sz="4" w:space="0" w:color="auto"/>
              <w:bottom w:val="nil"/>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w:t>
            </w:r>
            <w:r>
              <w:rPr>
                <w:rFonts w:asciiTheme="majorBidi" w:eastAsia="Times New Roman" w:hAnsiTheme="majorBidi" w:cstheme="majorBidi"/>
              </w:rPr>
              <w:t xml:space="preserve"> graduates of initial VET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28</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170"/>
          <w:jc w:val="center"/>
        </w:trPr>
        <w:tc>
          <w:tcPr>
            <w:tcW w:w="528" w:type="dxa"/>
            <w:vMerge/>
            <w:tcBorders>
              <w:top w:val="single" w:sz="4" w:space="0" w:color="auto"/>
              <w:left w:val="single" w:sz="4" w:space="0" w:color="auto"/>
              <w:bottom w:val="single" w:sz="4" w:space="0" w:color="000000"/>
              <w:right w:val="nil"/>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p>
        </w:tc>
        <w:tc>
          <w:tcPr>
            <w:tcW w:w="4818" w:type="dxa"/>
            <w:tcBorders>
              <w:left w:val="single" w:sz="4" w:space="0" w:color="auto"/>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gr</w:t>
            </w:r>
            <w:r>
              <w:rPr>
                <w:rFonts w:asciiTheme="majorBidi" w:eastAsia="Times New Roman" w:hAnsiTheme="majorBidi" w:cstheme="majorBidi"/>
              </w:rPr>
              <w:t>aduates of secondary VET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75</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170"/>
          <w:jc w:val="center"/>
        </w:trPr>
        <w:tc>
          <w:tcPr>
            <w:tcW w:w="528" w:type="dxa"/>
            <w:vMerge w:val="restart"/>
            <w:tcBorders>
              <w:top w:val="nil"/>
              <w:left w:val="single" w:sz="4" w:space="0" w:color="auto"/>
              <w:bottom w:val="single" w:sz="4" w:space="0" w:color="000000"/>
              <w:right w:val="nil"/>
            </w:tcBorders>
            <w:shd w:val="clear" w:color="auto" w:fill="auto"/>
            <w:noWrap/>
            <w:vAlign w:val="center"/>
            <w:hideMark/>
          </w:tcPr>
          <w:p w:rsidR="004A5FF2" w:rsidRPr="0046725D" w:rsidRDefault="004A5FF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48</w:t>
            </w:r>
          </w:p>
        </w:tc>
        <w:tc>
          <w:tcPr>
            <w:tcW w:w="4818" w:type="dxa"/>
            <w:tcBorders>
              <w:top w:val="single" w:sz="4" w:space="0" w:color="auto"/>
              <w:left w:val="single" w:sz="4" w:space="0" w:color="auto"/>
              <w:bottom w:val="nil"/>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share of students of primary and secondary professional educational institutions undergoing on-the-job professional apprenticeships in the total number of students (in %),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lang w:val="ru-RU"/>
              </w:rPr>
            </w:pPr>
            <w:r w:rsidRPr="00B26D47">
              <w:rPr>
                <w:rFonts w:asciiTheme="majorBidi"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lang w:val="ru-RU"/>
              </w:rPr>
            </w:pPr>
            <w:r w:rsidRPr="00B26D47">
              <w:rPr>
                <w:rFonts w:asciiTheme="majorBidi"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lang w:val="ru-RU"/>
              </w:rPr>
            </w:pPr>
            <w:r w:rsidRPr="00B26D47">
              <w:rPr>
                <w:rFonts w:asciiTheme="majorBidi"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lang w:val="ru-RU"/>
              </w:rPr>
            </w:pPr>
            <w:r w:rsidRPr="00B26D47">
              <w:rPr>
                <w:rFonts w:asciiTheme="majorBidi" w:hAnsiTheme="majorBidi" w:cstheme="majorBidi"/>
                <w:lang w:val="ru-RU"/>
              </w:rPr>
              <w:t>--</w:t>
            </w:r>
          </w:p>
        </w:tc>
        <w:tc>
          <w:tcPr>
            <w:tcW w:w="2195"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w:t>
            </w:r>
          </w:p>
        </w:tc>
      </w:tr>
      <w:tr w:rsidR="004A5FF2" w:rsidRPr="00B26D47" w:rsidTr="005A4EEE">
        <w:trPr>
          <w:trHeight w:val="85"/>
          <w:jc w:val="center"/>
        </w:trPr>
        <w:tc>
          <w:tcPr>
            <w:tcW w:w="528" w:type="dxa"/>
            <w:vMerge/>
            <w:tcBorders>
              <w:top w:val="nil"/>
              <w:left w:val="single" w:sz="4" w:space="0" w:color="auto"/>
              <w:bottom w:val="single" w:sz="4" w:space="0" w:color="000000"/>
              <w:right w:val="nil"/>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c>
          <w:tcPr>
            <w:tcW w:w="4818" w:type="dxa"/>
            <w:tcBorders>
              <w:left w:val="single" w:sz="4" w:space="0" w:color="auto"/>
              <w:bottom w:val="nil"/>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students in </w:t>
            </w:r>
            <w:r>
              <w:rPr>
                <w:rFonts w:asciiTheme="majorBidi" w:eastAsia="Times New Roman" w:hAnsiTheme="majorBidi" w:cstheme="majorBidi"/>
              </w:rPr>
              <w:t xml:space="preserve">initial </w:t>
            </w:r>
            <w:r w:rsidRPr="00B26D47">
              <w:rPr>
                <w:rFonts w:asciiTheme="majorBidi" w:eastAsia="Times New Roman" w:hAnsiTheme="majorBidi" w:cstheme="majorBidi"/>
              </w:rPr>
              <w:t>VET institutions</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bottom w:val="single" w:sz="4" w:space="0" w:color="auto"/>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top w:val="nil"/>
              <w:left w:val="single" w:sz="4" w:space="0" w:color="auto"/>
              <w:bottom w:val="single" w:sz="4" w:space="0" w:color="000000"/>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4A5FF2" w:rsidRPr="00B26D47" w:rsidTr="005A4EEE">
        <w:trPr>
          <w:trHeight w:val="85"/>
          <w:jc w:val="center"/>
        </w:trPr>
        <w:tc>
          <w:tcPr>
            <w:tcW w:w="528" w:type="dxa"/>
            <w:vMerge/>
            <w:tcBorders>
              <w:top w:val="nil"/>
              <w:left w:val="single" w:sz="4" w:space="0" w:color="auto"/>
              <w:bottom w:val="single" w:sz="4" w:space="0" w:color="000000"/>
              <w:right w:val="nil"/>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c>
          <w:tcPr>
            <w:tcW w:w="4818" w:type="dxa"/>
            <w:tcBorders>
              <w:left w:val="single" w:sz="4" w:space="0" w:color="auto"/>
              <w:right w:val="single" w:sz="4" w:space="0" w:color="auto"/>
            </w:tcBorders>
            <w:shd w:val="clear" w:color="auto" w:fill="auto"/>
            <w:vAlign w:val="center"/>
            <w:hideMark/>
          </w:tcPr>
          <w:p w:rsidR="004A5FF2" w:rsidRPr="00B26D47" w:rsidRDefault="004A5FF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students in </w:t>
            </w:r>
            <w:r>
              <w:rPr>
                <w:rFonts w:asciiTheme="majorBidi" w:eastAsia="Times New Roman" w:hAnsiTheme="majorBidi" w:cstheme="majorBidi"/>
              </w:rPr>
              <w:t xml:space="preserve">secondary </w:t>
            </w:r>
            <w:r w:rsidRPr="00B26D47">
              <w:rPr>
                <w:rFonts w:asciiTheme="majorBidi" w:eastAsia="Times New Roman" w:hAnsiTheme="majorBidi" w:cstheme="majorBidi"/>
              </w:rPr>
              <w:t>VET institution</w:t>
            </w:r>
            <w:r>
              <w:rPr>
                <w:rFonts w:asciiTheme="majorBidi" w:eastAsia="Times New Roman" w:hAnsiTheme="majorBidi" w:cstheme="majorBidi"/>
              </w:rPr>
              <w:t>s</w:t>
            </w:r>
          </w:p>
        </w:tc>
        <w:tc>
          <w:tcPr>
            <w:tcW w:w="1710" w:type="dxa"/>
            <w:tcBorders>
              <w:top w:val="nil"/>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1710" w:type="dxa"/>
            <w:tcBorders>
              <w:top w:val="nil"/>
              <w:left w:val="nil"/>
              <w:right w:val="single" w:sz="4" w:space="0" w:color="auto"/>
            </w:tcBorders>
            <w:shd w:val="clear" w:color="auto" w:fill="auto"/>
            <w:vAlign w:val="center"/>
            <w:hideMark/>
          </w:tcPr>
          <w:p w:rsidR="004A5FF2" w:rsidRPr="00B26D47" w:rsidRDefault="004A5FF2" w:rsidP="005A4EEE">
            <w:pPr>
              <w:spacing w:after="0" w:line="240" w:lineRule="auto"/>
              <w:jc w:val="center"/>
              <w:rPr>
                <w:rFonts w:asciiTheme="majorBidi" w:hAnsiTheme="majorBidi" w:cstheme="majorBidi"/>
              </w:rPr>
            </w:pPr>
            <w:r w:rsidRPr="00B26D47">
              <w:rPr>
                <w:rFonts w:asciiTheme="majorBidi" w:eastAsia="Times New Roman" w:hAnsiTheme="majorBidi" w:cstheme="majorBidi"/>
                <w:lang w:val="ru-RU"/>
              </w:rPr>
              <w:t>100</w:t>
            </w:r>
            <w:r w:rsidRPr="00B26D47">
              <w:rPr>
                <w:rFonts w:asciiTheme="majorBidi" w:eastAsia="Times New Roman" w:hAnsiTheme="majorBidi" w:cstheme="majorBidi"/>
              </w:rPr>
              <w:t>.</w:t>
            </w:r>
            <w:r w:rsidRPr="00B26D47">
              <w:rPr>
                <w:rFonts w:asciiTheme="majorBidi" w:eastAsia="Times New Roman" w:hAnsiTheme="majorBidi" w:cstheme="majorBidi"/>
                <w:lang w:val="ru-RU"/>
              </w:rPr>
              <w:t>0%</w:t>
            </w:r>
          </w:p>
        </w:tc>
        <w:tc>
          <w:tcPr>
            <w:tcW w:w="2195" w:type="dxa"/>
            <w:vMerge/>
            <w:tcBorders>
              <w:top w:val="nil"/>
              <w:left w:val="single" w:sz="4" w:space="0" w:color="auto"/>
              <w:bottom w:val="single" w:sz="4" w:space="0" w:color="000000"/>
              <w:right w:val="single" w:sz="4" w:space="0" w:color="auto"/>
            </w:tcBorders>
            <w:shd w:val="clear" w:color="auto" w:fill="auto"/>
            <w:noWrap/>
            <w:vAlign w:val="center"/>
            <w:hideMark/>
          </w:tcPr>
          <w:p w:rsidR="004A5FF2" w:rsidRPr="00B26D47" w:rsidRDefault="004A5FF2" w:rsidP="005A4EEE">
            <w:pPr>
              <w:spacing w:after="0" w:line="240" w:lineRule="auto"/>
              <w:jc w:val="center"/>
              <w:rPr>
                <w:rFonts w:asciiTheme="majorBidi" w:eastAsia="Times New Roman" w:hAnsiTheme="majorBidi" w:cstheme="majorBidi"/>
                <w:color w:val="000000"/>
              </w:rPr>
            </w:pPr>
          </w:p>
        </w:tc>
      </w:tr>
      <w:tr w:rsidR="00B37CAD" w:rsidRPr="00B26D47" w:rsidTr="00BF23B6">
        <w:trPr>
          <w:trHeight w:val="1070"/>
          <w:jc w:val="center"/>
        </w:trPr>
        <w:tc>
          <w:tcPr>
            <w:tcW w:w="5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49</w:t>
            </w:r>
          </w:p>
        </w:tc>
        <w:tc>
          <w:tcPr>
            <w:tcW w:w="4818"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The share of professional education service providers using internal quality assurance systems and using mechanisms established to identify changing requirements at different levels </w:t>
            </w:r>
            <w:r w:rsidR="00320BE5" w:rsidRPr="00320BE5">
              <w:rPr>
                <w:rFonts w:asciiTheme="majorBidi" w:eastAsia="Times New Roman" w:hAnsiTheme="majorBidi" w:cstheme="majorBidi"/>
              </w:rPr>
              <w:t>(</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w:t>
            </w:r>
            <w:r w:rsidRPr="00B26D47">
              <w:rPr>
                <w:rFonts w:asciiTheme="majorBidi" w:eastAsia="Times New Roman" w:hAnsiTheme="majorBidi" w:cstheme="majorBidi"/>
              </w:rPr>
              <w:t xml:space="preserve"> of all professional education service providers</w:t>
            </w:r>
            <w:r w:rsidR="00320BE5" w:rsidRPr="00320BE5">
              <w:rPr>
                <w:rFonts w:asciiTheme="majorBidi" w:eastAsia="Times New Roman" w:hAnsiTheme="majorBidi" w:cstheme="majorBidi"/>
              </w:rPr>
              <w:t>)</w:t>
            </w:r>
            <w:r w:rsidRPr="00B26D47">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195" w:type="dxa"/>
            <w:tcBorders>
              <w:top w:val="single" w:sz="4" w:space="0" w:color="auto"/>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B37CAD" w:rsidRPr="00B26D47" w:rsidTr="00BF23B6">
        <w:trPr>
          <w:trHeight w:val="170"/>
          <w:jc w:val="center"/>
        </w:trPr>
        <w:tc>
          <w:tcPr>
            <w:tcW w:w="528" w:type="dxa"/>
            <w:tcBorders>
              <w:top w:val="nil"/>
              <w:left w:val="single" w:sz="4" w:space="0" w:color="auto"/>
              <w:bottom w:val="single" w:sz="4" w:space="0" w:color="auto"/>
              <w:right w:val="single" w:sz="4" w:space="0" w:color="auto"/>
            </w:tcBorders>
            <w:shd w:val="clear" w:color="auto" w:fill="auto"/>
            <w:noWrap/>
            <w:vAlign w:val="center"/>
            <w:hideMark/>
          </w:tcPr>
          <w:p w:rsidR="00B37CAD" w:rsidRPr="004A5FF2" w:rsidRDefault="004A5FF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50</w:t>
            </w:r>
          </w:p>
        </w:tc>
        <w:tc>
          <w:tcPr>
            <w:tcW w:w="4818" w:type="dxa"/>
            <w:tcBorders>
              <w:top w:val="nil"/>
              <w:left w:val="nil"/>
              <w:bottom w:val="single" w:sz="4" w:space="0" w:color="auto"/>
              <w:right w:val="single" w:sz="4" w:space="0" w:color="auto"/>
            </w:tcBorders>
            <w:shd w:val="clear" w:color="auto" w:fill="auto"/>
            <w:vAlign w:val="center"/>
            <w:hideMark/>
          </w:tcPr>
          <w:p w:rsidR="00B37CAD" w:rsidRPr="00C75B51" w:rsidRDefault="00B37CAD"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Presence of an agreed and approved National Qualifications Framework (NQF)</w:t>
            </w:r>
            <w:r w:rsidR="00320BE5" w:rsidRPr="00320BE5">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NQF is absent</w:t>
            </w:r>
          </w:p>
        </w:tc>
        <w:tc>
          <w:tcPr>
            <w:tcW w:w="1710" w:type="dxa"/>
            <w:tcBorders>
              <w:top w:val="nil"/>
              <w:left w:val="nil"/>
              <w:bottom w:val="single" w:sz="4" w:space="0" w:color="auto"/>
              <w:right w:val="single" w:sz="4" w:space="0" w:color="auto"/>
            </w:tcBorders>
            <w:shd w:val="clear" w:color="auto" w:fill="auto"/>
            <w:vAlign w:val="center"/>
            <w:hideMark/>
          </w:tcPr>
          <w:p w:rsidR="00B37CAD" w:rsidRPr="00C75B51" w:rsidRDefault="00B37CAD" w:rsidP="0046725D">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NQF is agreed and approved</w:t>
            </w:r>
          </w:p>
        </w:tc>
        <w:tc>
          <w:tcPr>
            <w:tcW w:w="3420" w:type="dxa"/>
            <w:gridSpan w:val="2"/>
            <w:tcBorders>
              <w:top w:val="nil"/>
              <w:left w:val="nil"/>
              <w:bottom w:val="single" w:sz="4" w:space="0" w:color="auto"/>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hAnsiTheme="majorBidi" w:cstheme="majorBidi"/>
              </w:rPr>
            </w:pPr>
            <w:r w:rsidRPr="00B26D47">
              <w:rPr>
                <w:rFonts w:asciiTheme="majorBidi" w:eastAsia="Times New Roman" w:hAnsiTheme="majorBidi" w:cstheme="majorBidi"/>
              </w:rPr>
              <w:t>NQF is utilized in professional (vocational) education and training</w:t>
            </w:r>
          </w:p>
        </w:tc>
        <w:tc>
          <w:tcPr>
            <w:tcW w:w="2195" w:type="dxa"/>
            <w:tcBorders>
              <w:top w:val="nil"/>
              <w:left w:val="nil"/>
              <w:bottom w:val="single" w:sz="4" w:space="0" w:color="auto"/>
              <w:right w:val="single" w:sz="4" w:space="0" w:color="auto"/>
            </w:tcBorders>
            <w:shd w:val="clear" w:color="auto" w:fill="auto"/>
            <w:noWrap/>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bl>
    <w:p w:rsidR="00B37CAD" w:rsidRDefault="00B37CAD" w:rsidP="00B37CAD">
      <w:pPr>
        <w:spacing w:after="0" w:line="240" w:lineRule="auto"/>
        <w:rPr>
          <w:lang w:val="ru-RU"/>
        </w:rPr>
      </w:pPr>
    </w:p>
    <w:tbl>
      <w:tblPr>
        <w:tblW w:w="14314" w:type="dxa"/>
        <w:jc w:val="center"/>
        <w:tblLook w:val="04A0"/>
      </w:tblPr>
      <w:tblGrid>
        <w:gridCol w:w="521"/>
        <w:gridCol w:w="4746"/>
        <w:gridCol w:w="1710"/>
        <w:gridCol w:w="1710"/>
        <w:gridCol w:w="1710"/>
        <w:gridCol w:w="1710"/>
        <w:gridCol w:w="2207"/>
      </w:tblGrid>
      <w:tr w:rsidR="00B37CAD" w:rsidRPr="00B26D47" w:rsidTr="002C044A">
        <w:trPr>
          <w:trHeight w:val="450"/>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rPr>
            </w:pPr>
            <w:r w:rsidRPr="00B26D47">
              <w:rPr>
                <w:rFonts w:asciiTheme="majorBidi" w:eastAsia="Times New Roman" w:hAnsiTheme="majorBidi" w:cstheme="majorBidi"/>
                <w:b/>
                <w:bCs/>
                <w:color w:val="FFFFFF"/>
              </w:rPr>
              <w:t>5. HIGHER PROFESSIONAL EDUCATION</w:t>
            </w:r>
          </w:p>
        </w:tc>
      </w:tr>
      <w:tr w:rsidR="00B37CAD" w:rsidRPr="00B26D47" w:rsidTr="002C044A">
        <w:trPr>
          <w:trHeight w:val="512"/>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Overall goal: By 2030, ensure that all women and men have equitable access to affordable and quality higher professional education.</w:t>
            </w:r>
          </w:p>
        </w:tc>
      </w:tr>
      <w:tr w:rsidR="00B37CAD" w:rsidRPr="00B26D47" w:rsidTr="002C044A">
        <w:trPr>
          <w:trHeight w:val="349"/>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5.1 (Policy priority</w:t>
            </w:r>
            <w:r w:rsidR="00320BE5" w:rsidRPr="00320BE5">
              <w:rPr>
                <w:rFonts w:asciiTheme="majorBidi" w:eastAsia="Times New Roman" w:hAnsiTheme="majorBidi" w:cstheme="majorBidi"/>
                <w:b/>
                <w:bCs/>
                <w:color w:val="FFFFFF" w:themeColor="background1"/>
              </w:rPr>
              <w:t xml:space="preserve"> </w:t>
            </w:r>
            <w:r w:rsidRPr="00B26D47">
              <w:rPr>
                <w:rFonts w:asciiTheme="majorBidi" w:eastAsia="Times New Roman" w:hAnsiTheme="majorBidi" w:cstheme="majorBidi"/>
                <w:b/>
                <w:bCs/>
                <w:color w:val="FFFFFF" w:themeColor="background1"/>
              </w:rPr>
              <w:t>1): Improved equitable access to higher professional education for all.</w:t>
            </w:r>
          </w:p>
        </w:tc>
      </w:tr>
      <w:tr w:rsidR="00FE3060" w:rsidRPr="00B26D47" w:rsidTr="002C044A">
        <w:trPr>
          <w:trHeight w:val="709"/>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5.1.1: Access to higher professional education has been increased due to the expansion and modernization of the infrastructure of higher educational institutions (HEIs) and the opening of demanded specialties.</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nil"/>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CB7001" w:rsidRPr="00B26D47" w:rsidTr="002C044A">
        <w:trPr>
          <w:trHeight w:val="233"/>
          <w:jc w:val="center"/>
        </w:trPr>
        <w:tc>
          <w:tcPr>
            <w:tcW w:w="521" w:type="dxa"/>
            <w:tcBorders>
              <w:top w:val="single" w:sz="4" w:space="0" w:color="auto"/>
              <w:left w:val="single" w:sz="4" w:space="0" w:color="auto"/>
              <w:bottom w:val="single" w:sz="4" w:space="0" w:color="auto"/>
              <w:right w:val="nil"/>
            </w:tcBorders>
            <w:shd w:val="clear" w:color="auto" w:fill="auto"/>
            <w:noWrap/>
            <w:vAlign w:val="center"/>
            <w:hideMark/>
          </w:tcPr>
          <w:p w:rsidR="00CB7001" w:rsidRPr="00CB7001" w:rsidRDefault="00CB7001"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51</w:t>
            </w:r>
          </w:p>
        </w:tc>
        <w:tc>
          <w:tcPr>
            <w:tcW w:w="4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Net enrollment ratio (NER) in higher professional education (in %).</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16.7%</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35.0%</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CB7001" w:rsidRPr="00B26D47" w:rsidTr="002C044A">
        <w:trPr>
          <w:trHeight w:val="611"/>
          <w:jc w:val="center"/>
        </w:trPr>
        <w:tc>
          <w:tcPr>
            <w:tcW w:w="521" w:type="dxa"/>
            <w:tcBorders>
              <w:top w:val="single" w:sz="4" w:space="0" w:color="auto"/>
              <w:left w:val="single" w:sz="4" w:space="0" w:color="auto"/>
              <w:bottom w:val="single" w:sz="4" w:space="0" w:color="auto"/>
              <w:right w:val="nil"/>
            </w:tcBorders>
            <w:shd w:val="clear" w:color="auto" w:fill="auto"/>
            <w:noWrap/>
            <w:vAlign w:val="center"/>
            <w:hideMark/>
          </w:tcPr>
          <w:p w:rsidR="00CB7001" w:rsidRPr="00CB7001" w:rsidRDefault="00CB7001"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52</w:t>
            </w:r>
          </w:p>
        </w:tc>
        <w:tc>
          <w:tcPr>
            <w:tcW w:w="4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Participation in higher professional education (in % of all students enrolled in state professional educational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65</w:t>
            </w:r>
            <w:r w:rsidRPr="00B26D47">
              <w:rPr>
                <w:rFonts w:asciiTheme="majorBidi" w:eastAsia="Times New Roman" w:hAnsiTheme="majorBidi" w:cstheme="majorBidi"/>
                <w:lang w:val="ru-RU"/>
              </w:rPr>
              <w:t>.</w:t>
            </w:r>
            <w:r w:rsidRPr="00B26D47">
              <w:rPr>
                <w:rFonts w:asciiTheme="majorBidi" w:eastAsia="Times New Roman" w:hAnsiTheme="majorBidi" w:cstheme="majorBidi"/>
              </w:rPr>
              <w:t>4</w:t>
            </w:r>
            <w:r w:rsidRPr="00B26D47">
              <w:rPr>
                <w:rFonts w:asciiTheme="majorBidi" w:eastAsia="Times New Roman" w:hAnsiTheme="majorBidi" w:cstheme="majorBidi"/>
                <w:lang w:val="ru-RU"/>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60.0%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55.0%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50</w:t>
            </w:r>
            <w:r w:rsidRPr="00B26D47">
              <w:rPr>
                <w:rFonts w:asciiTheme="majorBidi" w:eastAsia="Times New Roman" w:hAnsiTheme="majorBidi" w:cstheme="majorBidi"/>
                <w:lang w:val="ru-RU"/>
              </w:rPr>
              <w:t>.0%</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CB7001" w:rsidRPr="00B26D47" w:rsidRDefault="00CB7001"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CB7001" w:rsidRPr="00B26D47" w:rsidTr="002C044A">
        <w:trPr>
          <w:trHeight w:val="575"/>
          <w:jc w:val="center"/>
        </w:trPr>
        <w:tc>
          <w:tcPr>
            <w:tcW w:w="521" w:type="dxa"/>
            <w:vMerge w:val="restart"/>
            <w:tcBorders>
              <w:top w:val="single" w:sz="4" w:space="0" w:color="000000"/>
              <w:left w:val="single" w:sz="4" w:space="0" w:color="auto"/>
              <w:bottom w:val="single" w:sz="4" w:space="0" w:color="auto"/>
              <w:right w:val="single" w:sz="4" w:space="0" w:color="auto"/>
            </w:tcBorders>
            <w:shd w:val="clear" w:color="auto" w:fill="auto"/>
            <w:noWrap/>
            <w:vAlign w:val="center"/>
            <w:hideMark/>
          </w:tcPr>
          <w:p w:rsidR="00CB7001" w:rsidRPr="00CB7001" w:rsidRDefault="00CB7001"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53</w:t>
            </w:r>
          </w:p>
        </w:tc>
        <w:tc>
          <w:tcPr>
            <w:tcW w:w="4746" w:type="dxa"/>
            <w:tcBorders>
              <w:top w:val="single" w:sz="4" w:space="0" w:color="auto"/>
              <w:left w:val="nil"/>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persons with higher professional education among the employed population (in %),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45.0%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60</w:t>
            </w:r>
            <w:r w:rsidRPr="0046725D">
              <w:rPr>
                <w:rFonts w:asciiTheme="majorBidi" w:eastAsia="Times New Roman" w:hAnsiTheme="majorBidi" w:cstheme="majorBidi"/>
              </w:rPr>
              <w:t>.0</w:t>
            </w:r>
            <w:r w:rsidRPr="0046725D">
              <w:rPr>
                <w:rFonts w:asciiTheme="majorBidi" w:eastAsia="Times New Roman" w:hAnsiTheme="majorBidi" w:cstheme="majorBidi"/>
                <w:lang w:val="ru-RU"/>
              </w:rPr>
              <w:t>%</w:t>
            </w:r>
          </w:p>
        </w:tc>
        <w:tc>
          <w:tcPr>
            <w:tcW w:w="2207" w:type="dxa"/>
            <w:vMerge w:val="restart"/>
            <w:tcBorders>
              <w:top w:val="single" w:sz="4" w:space="0" w:color="000000"/>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To be determined on the basis of nationally representative surveys</w:t>
            </w:r>
          </w:p>
        </w:tc>
      </w:tr>
      <w:tr w:rsidR="00CB7001" w:rsidRPr="00B26D47" w:rsidTr="002C044A">
        <w:trPr>
          <w:trHeight w:val="206"/>
          <w:jc w:val="center"/>
        </w:trPr>
        <w:tc>
          <w:tcPr>
            <w:tcW w:w="521" w:type="dxa"/>
            <w:vMerge/>
            <w:tcBorders>
              <w:left w:val="single" w:sz="4" w:space="0" w:color="auto"/>
              <w:bottom w:val="single" w:sz="4" w:space="0" w:color="auto"/>
              <w:right w:val="single" w:sz="4" w:space="0" w:color="auto"/>
            </w:tcBorders>
            <w:shd w:val="clear" w:color="auto" w:fill="auto"/>
            <w:noWrap/>
            <w:vAlign w:val="center"/>
            <w:hideMark/>
          </w:tcPr>
          <w:p w:rsidR="00CB7001" w:rsidRPr="0046725D" w:rsidRDefault="00CB7001" w:rsidP="005A4EEE">
            <w:pPr>
              <w:spacing w:after="0" w:line="240" w:lineRule="auto"/>
              <w:jc w:val="center"/>
              <w:rPr>
                <w:rFonts w:asciiTheme="majorBidi" w:eastAsia="Times New Roman" w:hAnsiTheme="majorBidi" w:cstheme="majorBidi"/>
              </w:rPr>
            </w:pPr>
          </w:p>
        </w:tc>
        <w:tc>
          <w:tcPr>
            <w:tcW w:w="4746"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women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35.0%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50</w:t>
            </w:r>
            <w:r w:rsidRPr="0046725D">
              <w:rPr>
                <w:rFonts w:asciiTheme="majorBidi" w:eastAsia="Times New Roman" w:hAnsiTheme="majorBidi" w:cstheme="majorBidi"/>
              </w:rPr>
              <w:t>.0</w:t>
            </w:r>
            <w:r w:rsidRPr="0046725D">
              <w:rPr>
                <w:rFonts w:asciiTheme="majorBidi" w:eastAsia="Times New Roman" w:hAnsiTheme="majorBidi" w:cstheme="majorBidi"/>
                <w:lang w:val="ru-RU"/>
              </w:rPr>
              <w:t>%</w:t>
            </w:r>
          </w:p>
        </w:tc>
        <w:tc>
          <w:tcPr>
            <w:tcW w:w="2207" w:type="dxa"/>
            <w:vMerge/>
            <w:tcBorders>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p>
        </w:tc>
      </w:tr>
      <w:tr w:rsidR="00FE3060" w:rsidRPr="00B26D47" w:rsidTr="002C044A">
        <w:trPr>
          <w:trHeight w:val="1358"/>
          <w:jc w:val="center"/>
        </w:trPr>
        <w:tc>
          <w:tcPr>
            <w:tcW w:w="521" w:type="dxa"/>
            <w:tcBorders>
              <w:top w:val="single" w:sz="4" w:space="0" w:color="auto"/>
              <w:left w:val="single" w:sz="4" w:space="0" w:color="auto"/>
              <w:bottom w:val="single" w:sz="4" w:space="0" w:color="000000"/>
              <w:right w:val="nil"/>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54</w:t>
            </w:r>
          </w:p>
        </w:tc>
        <w:tc>
          <w:tcPr>
            <w:tcW w:w="4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number of new seats in higher professional educational institutions (including branches).</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 </w:t>
            </w:r>
            <w:r w:rsidRPr="00B26D47">
              <w:rPr>
                <w:rFonts w:asciiTheme="majorBidi" w:eastAsia="Times New Roman" w:hAnsiTheme="majorBidi" w:cstheme="majorBidi"/>
                <w:lang w:val="ru-RU"/>
              </w:rPr>
              <w:t>4,824</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5,692</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6,717</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7,926</w:t>
            </w:r>
          </w:p>
        </w:tc>
        <w:tc>
          <w:tcPr>
            <w:tcW w:w="2207" w:type="dxa"/>
            <w:tcBorders>
              <w:top w:val="nil"/>
              <w:left w:val="single" w:sz="4" w:space="0" w:color="auto"/>
              <w:bottom w:val="single" w:sz="4" w:space="0" w:color="000000"/>
              <w:right w:val="single" w:sz="4" w:space="0" w:color="auto"/>
            </w:tcBorders>
            <w:shd w:val="clear" w:color="auto" w:fill="auto"/>
            <w:vAlign w:val="center"/>
            <w:hideMark/>
          </w:tcPr>
          <w:p w:rsidR="00FE3060" w:rsidRPr="00B26D47" w:rsidRDefault="00FE3060" w:rsidP="005272F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Expected annual change conforms with the admission growth rate, averaging 6%</w:t>
            </w:r>
            <w:r>
              <w:rPr>
                <w:rFonts w:asciiTheme="majorBidi" w:eastAsia="Times New Roman" w:hAnsiTheme="majorBidi" w:cstheme="majorBidi"/>
                <w:color w:val="000000"/>
              </w:rPr>
              <w:t xml:space="preserve"> per year</w:t>
            </w:r>
            <w:r w:rsidRPr="00B26D47">
              <w:rPr>
                <w:rFonts w:asciiTheme="majorBidi" w:eastAsia="Times New Roman" w:hAnsiTheme="majorBidi" w:cstheme="majorBidi"/>
                <w:color w:val="000000"/>
              </w:rPr>
              <w:t xml:space="preserve"> in the past 5 years</w:t>
            </w:r>
          </w:p>
        </w:tc>
      </w:tr>
      <w:tr w:rsidR="00FE3060" w:rsidRPr="00B26D47" w:rsidTr="002C044A">
        <w:trPr>
          <w:trHeight w:val="260"/>
          <w:jc w:val="center"/>
        </w:trPr>
        <w:tc>
          <w:tcPr>
            <w:tcW w:w="521" w:type="dxa"/>
            <w:tcBorders>
              <w:top w:val="nil"/>
              <w:left w:val="single" w:sz="4" w:space="0" w:color="auto"/>
              <w:bottom w:val="single" w:sz="4" w:space="0" w:color="auto"/>
              <w:right w:val="nil"/>
            </w:tcBorders>
            <w:shd w:val="clear" w:color="auto" w:fill="auto"/>
            <w:noWrap/>
            <w:vAlign w:val="center"/>
            <w:hideMark/>
          </w:tcPr>
          <w:p w:rsidR="00FE3060" w:rsidRPr="00CB7001" w:rsidRDefault="00CB7001"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55</w:t>
            </w:r>
          </w:p>
        </w:tc>
        <w:tc>
          <w:tcPr>
            <w:tcW w:w="47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number of HEIs that reconstructed educational buildings to increase student enrollment.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07"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FE3060" w:rsidRPr="00B26D47" w:rsidTr="002C044A">
        <w:trPr>
          <w:trHeight w:val="413"/>
          <w:jc w:val="center"/>
        </w:trPr>
        <w:tc>
          <w:tcPr>
            <w:tcW w:w="521" w:type="dxa"/>
            <w:tcBorders>
              <w:top w:val="nil"/>
              <w:left w:val="single" w:sz="4" w:space="0" w:color="auto"/>
              <w:bottom w:val="single" w:sz="4" w:space="0" w:color="auto"/>
              <w:right w:val="single" w:sz="4" w:space="0" w:color="auto"/>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56</w:t>
            </w:r>
          </w:p>
        </w:tc>
        <w:tc>
          <w:tcPr>
            <w:tcW w:w="4746" w:type="dxa"/>
            <w:tcBorders>
              <w:top w:val="nil"/>
              <w:left w:val="nil"/>
              <w:bottom w:val="nil"/>
              <w:right w:val="single" w:sz="4" w:space="0" w:color="auto"/>
            </w:tcBorders>
            <w:shd w:val="clear" w:color="auto" w:fill="auto"/>
            <w:vAlign w:val="center"/>
            <w:hideMark/>
          </w:tcPr>
          <w:p w:rsidR="00FE3060" w:rsidRPr="0046725D" w:rsidRDefault="00FE3060" w:rsidP="005272F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proportion of students who have enrolled in new specialties in HEIs (in %).</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w:t>
            </w:r>
          </w:p>
        </w:tc>
        <w:tc>
          <w:tcPr>
            <w:tcW w:w="2207"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FE3060" w:rsidRPr="00B26D47" w:rsidTr="002C044A">
        <w:trPr>
          <w:trHeight w:val="300"/>
          <w:jc w:val="center"/>
        </w:trPr>
        <w:tc>
          <w:tcPr>
            <w:tcW w:w="521" w:type="dxa"/>
            <w:vMerge w:val="restart"/>
            <w:tcBorders>
              <w:top w:val="nil"/>
              <w:left w:val="single" w:sz="4" w:space="0" w:color="auto"/>
              <w:bottom w:val="single" w:sz="4" w:space="0" w:color="000000"/>
              <w:right w:val="nil"/>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57</w:t>
            </w:r>
          </w:p>
        </w:tc>
        <w:tc>
          <w:tcPr>
            <w:tcW w:w="4746" w:type="dxa"/>
            <w:tcBorders>
              <w:top w:val="single" w:sz="4" w:space="0" w:color="auto"/>
              <w:left w:val="single" w:sz="4" w:space="0" w:color="auto"/>
              <w:bottom w:val="nil"/>
              <w:right w:val="single" w:sz="4" w:space="0" w:color="auto"/>
            </w:tcBorders>
            <w:shd w:val="clear" w:color="auto" w:fill="auto"/>
            <w:vAlign w:val="center"/>
            <w:hideMark/>
          </w:tcPr>
          <w:p w:rsidR="00FE3060" w:rsidRPr="0046725D" w:rsidRDefault="00FE3060" w:rsidP="005272F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HEIs provided with (in %):</w:t>
            </w:r>
          </w:p>
        </w:tc>
        <w:tc>
          <w:tcPr>
            <w:tcW w:w="1710" w:type="dxa"/>
            <w:tcBorders>
              <w:top w:val="nil"/>
              <w:left w:val="nil"/>
              <w:bottom w:val="nil"/>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nil"/>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nil"/>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nil"/>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2207" w:type="dxa"/>
            <w:vMerge w:val="restart"/>
            <w:tcBorders>
              <w:top w:val="nil"/>
              <w:left w:val="single" w:sz="4" w:space="0" w:color="auto"/>
              <w:bottom w:val="single" w:sz="4" w:space="0" w:color="000000"/>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FE3060" w:rsidRPr="00B26D47" w:rsidTr="002C044A">
        <w:trPr>
          <w:trHeight w:val="300"/>
          <w:jc w:val="center"/>
        </w:trPr>
        <w:tc>
          <w:tcPr>
            <w:tcW w:w="521" w:type="dxa"/>
            <w:vMerge/>
            <w:tcBorders>
              <w:top w:val="nil"/>
              <w:left w:val="single" w:sz="4" w:space="0" w:color="auto"/>
              <w:bottom w:val="single" w:sz="4" w:space="0" w:color="000000"/>
              <w:right w:val="nil"/>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c>
          <w:tcPr>
            <w:tcW w:w="4746" w:type="dxa"/>
            <w:tcBorders>
              <w:top w:val="nil"/>
              <w:left w:val="single" w:sz="4" w:space="0" w:color="auto"/>
              <w:bottom w:val="nil"/>
              <w:right w:val="single" w:sz="4" w:space="0" w:color="auto"/>
            </w:tcBorders>
            <w:shd w:val="clear" w:color="auto" w:fill="auto"/>
            <w:vAlign w:val="center"/>
            <w:hideMark/>
          </w:tcPr>
          <w:p w:rsidR="00FE3060" w:rsidRPr="0046725D" w:rsidRDefault="00FE3060" w:rsidP="00662A71">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Internet services for pedagogical purposes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80.0%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color w:val="000000"/>
              </w:rPr>
            </w:pPr>
          </w:p>
        </w:tc>
      </w:tr>
      <w:tr w:rsidR="00FE3060" w:rsidRPr="00B26D47" w:rsidTr="002C044A">
        <w:trPr>
          <w:trHeight w:val="161"/>
          <w:jc w:val="center"/>
        </w:trPr>
        <w:tc>
          <w:tcPr>
            <w:tcW w:w="521" w:type="dxa"/>
            <w:vMerge/>
            <w:tcBorders>
              <w:top w:val="nil"/>
              <w:left w:val="single" w:sz="4" w:space="0" w:color="auto"/>
              <w:bottom w:val="single" w:sz="4" w:space="0" w:color="000000"/>
              <w:right w:val="nil"/>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c>
          <w:tcPr>
            <w:tcW w:w="4746" w:type="dxa"/>
            <w:tcBorders>
              <w:top w:val="nil"/>
              <w:left w:val="single" w:sz="4" w:space="0" w:color="auto"/>
              <w:bottom w:val="nil"/>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curricula adapted for blended/distance learning</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85.0%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color w:val="000000"/>
              </w:rPr>
            </w:pPr>
          </w:p>
        </w:tc>
      </w:tr>
      <w:tr w:rsidR="00FE3060" w:rsidRPr="00B26D47" w:rsidTr="002C044A">
        <w:trPr>
          <w:trHeight w:val="512"/>
          <w:jc w:val="center"/>
        </w:trPr>
        <w:tc>
          <w:tcPr>
            <w:tcW w:w="521" w:type="dxa"/>
            <w:vMerge/>
            <w:tcBorders>
              <w:top w:val="nil"/>
              <w:left w:val="single" w:sz="4" w:space="0" w:color="auto"/>
              <w:bottom w:val="single" w:sz="4" w:space="0" w:color="000000"/>
              <w:right w:val="nil"/>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c>
          <w:tcPr>
            <w:tcW w:w="4746" w:type="dxa"/>
            <w:tcBorders>
              <w:top w:val="nil"/>
              <w:left w:val="single" w:sz="4" w:space="0" w:color="auto"/>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adapted infrastructure and materials for people with disabilities and special needs</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30.0%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color w:val="000000"/>
              </w:rPr>
            </w:pPr>
          </w:p>
        </w:tc>
      </w:tr>
      <w:tr w:rsidR="00FE3060" w:rsidRPr="00B26D47" w:rsidTr="002C044A">
        <w:trPr>
          <w:trHeight w:val="582"/>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5.1.2: Favorable environment created to improve access to higher professional education.</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single" w:sz="4" w:space="0" w:color="auto"/>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single" w:sz="4" w:space="0" w:color="auto"/>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FE3060" w:rsidRPr="00B26D47" w:rsidTr="002C044A">
        <w:trPr>
          <w:trHeight w:val="809"/>
          <w:jc w:val="center"/>
        </w:trPr>
        <w:tc>
          <w:tcPr>
            <w:tcW w:w="52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58</w:t>
            </w:r>
          </w:p>
        </w:tc>
        <w:tc>
          <w:tcPr>
            <w:tcW w:w="4746" w:type="dxa"/>
            <w:tcBorders>
              <w:top w:val="single" w:sz="4" w:space="0" w:color="auto"/>
              <w:left w:val="nil"/>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Proportion of students from vulnerable groups of the population covered by higher professional education (in %), including</w:t>
            </w:r>
            <w:r w:rsidRPr="00320BE5">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8.0%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2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FE3060" w:rsidRPr="00B26D47" w:rsidTr="002C044A">
        <w:trPr>
          <w:trHeight w:val="85"/>
          <w:jc w:val="center"/>
        </w:trPr>
        <w:tc>
          <w:tcPr>
            <w:tcW w:w="521" w:type="dxa"/>
            <w:vMerge/>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E3060" w:rsidRPr="0046725D" w:rsidRDefault="00FE3060" w:rsidP="0023340C">
            <w:pPr>
              <w:spacing w:after="0" w:line="240" w:lineRule="auto"/>
              <w:jc w:val="center"/>
              <w:rPr>
                <w:rFonts w:asciiTheme="majorBidi" w:eastAsia="Times New Roman" w:hAnsiTheme="majorBidi" w:cstheme="majorBidi"/>
              </w:rPr>
            </w:pPr>
          </w:p>
        </w:tc>
        <w:tc>
          <w:tcPr>
            <w:tcW w:w="4746" w:type="dxa"/>
            <w:tcBorders>
              <w:left w:val="nil"/>
              <w:bottom w:val="nil"/>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students wh</w:t>
            </w:r>
            <w:r>
              <w:rPr>
                <w:rFonts w:asciiTheme="majorBidi" w:eastAsia="Times New Roman" w:hAnsiTheme="majorBidi" w:cstheme="majorBidi"/>
              </w:rPr>
              <w:t>o receive stipends/scholarships</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8.0%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p>
        </w:tc>
      </w:tr>
      <w:tr w:rsidR="00FE3060" w:rsidRPr="00B26D47" w:rsidTr="002C044A">
        <w:trPr>
          <w:trHeight w:val="85"/>
          <w:jc w:val="center"/>
        </w:trPr>
        <w:tc>
          <w:tcPr>
            <w:tcW w:w="521" w:type="dxa"/>
            <w:vMerge/>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E3060" w:rsidRPr="0046725D" w:rsidRDefault="00FE3060" w:rsidP="0023340C">
            <w:pPr>
              <w:spacing w:after="0" w:line="240" w:lineRule="auto"/>
              <w:jc w:val="center"/>
              <w:rPr>
                <w:rFonts w:asciiTheme="majorBidi" w:eastAsia="Times New Roman" w:hAnsiTheme="majorBidi" w:cstheme="majorBidi"/>
              </w:rPr>
            </w:pPr>
          </w:p>
        </w:tc>
        <w:tc>
          <w:tcPr>
            <w:tcW w:w="4746" w:type="dxa"/>
            <w:tcBorders>
              <w:left w:val="nil"/>
              <w:bottom w:val="nil"/>
              <w:right w:val="single" w:sz="4" w:space="0" w:color="auto"/>
            </w:tcBorders>
            <w:shd w:val="clear" w:color="auto" w:fill="auto"/>
            <w:vAlign w:val="center"/>
            <w:hideMark/>
          </w:tcPr>
          <w:p w:rsidR="00FE3060" w:rsidRPr="00C75B51" w:rsidRDefault="00FE3060"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students who study based on quota</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8.0%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p>
        </w:tc>
      </w:tr>
      <w:tr w:rsidR="00FE3060" w:rsidRPr="00B26D47" w:rsidTr="002C044A">
        <w:trPr>
          <w:trHeight w:val="300"/>
          <w:jc w:val="center"/>
        </w:trPr>
        <w:tc>
          <w:tcPr>
            <w:tcW w:w="52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c>
          <w:tcPr>
            <w:tcW w:w="4746" w:type="dxa"/>
            <w:tcBorders>
              <w:top w:val="nil"/>
              <w:left w:val="nil"/>
              <w:bottom w:val="nil"/>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men</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8.0%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r>
      <w:tr w:rsidR="00FE3060" w:rsidRPr="00B26D47" w:rsidTr="002C044A">
        <w:trPr>
          <w:trHeight w:val="197"/>
          <w:jc w:val="center"/>
        </w:trPr>
        <w:tc>
          <w:tcPr>
            <w:tcW w:w="52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c>
          <w:tcPr>
            <w:tcW w:w="4746"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women</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8.0%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FE3060" w:rsidRPr="0046725D" w:rsidRDefault="00FE3060" w:rsidP="0023340C">
            <w:pPr>
              <w:spacing w:after="0" w:line="240" w:lineRule="auto"/>
              <w:rPr>
                <w:rFonts w:asciiTheme="majorBidi" w:eastAsia="Times New Roman" w:hAnsiTheme="majorBidi" w:cstheme="majorBidi"/>
              </w:rPr>
            </w:pPr>
          </w:p>
        </w:tc>
      </w:tr>
      <w:tr w:rsidR="00FE3060" w:rsidRPr="00B26D47" w:rsidTr="002C044A">
        <w:trPr>
          <w:trHeight w:val="800"/>
          <w:jc w:val="center"/>
        </w:trPr>
        <w:tc>
          <w:tcPr>
            <w:tcW w:w="521" w:type="dxa"/>
            <w:tcBorders>
              <w:top w:val="nil"/>
              <w:left w:val="single" w:sz="4" w:space="0" w:color="auto"/>
              <w:bottom w:val="single" w:sz="4" w:space="0" w:color="auto"/>
              <w:right w:val="single" w:sz="4" w:space="0" w:color="auto"/>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59</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Percentage of higher educational institutions (HEIs) that meet the standards of education for people with disabilities </w:t>
            </w:r>
            <w:r w:rsidRPr="00320BE5">
              <w:rPr>
                <w:rFonts w:asciiTheme="majorBidi" w:eastAsia="Times New Roman" w:hAnsiTheme="majorBidi" w:cstheme="majorBidi"/>
                <w:color w:val="000000"/>
              </w:rPr>
              <w:t>(</w:t>
            </w:r>
            <w:r w:rsidRPr="00B26D47">
              <w:rPr>
                <w:rFonts w:asciiTheme="majorBidi" w:eastAsia="Times New Roman" w:hAnsiTheme="majorBidi" w:cstheme="majorBidi"/>
                <w:color w:val="000000"/>
              </w:rPr>
              <w:t xml:space="preserve">in </w:t>
            </w:r>
            <w:r w:rsidRPr="00320BE5">
              <w:rPr>
                <w:rFonts w:asciiTheme="majorBidi" w:eastAsia="Times New Roman" w:hAnsiTheme="majorBidi" w:cstheme="majorBidi"/>
                <w:color w:val="000000"/>
              </w:rPr>
              <w:t>%)</w:t>
            </w:r>
            <w:r w:rsidRPr="00B26D47">
              <w:rPr>
                <w:rFonts w:asciiTheme="majorBidi" w:eastAsia="Times New Roman" w:hAnsiTheme="majorBidi" w:cstheme="majorBidi"/>
                <w:color w:val="000000"/>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C75B51"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HEIs do not meet the standards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lang w:val="ru-RU"/>
              </w:rPr>
              <w:t>25.0%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100.0%</w:t>
            </w:r>
          </w:p>
        </w:tc>
        <w:tc>
          <w:tcPr>
            <w:tcW w:w="2207" w:type="dxa"/>
            <w:tcBorders>
              <w:top w:val="nil"/>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FE3060" w:rsidRPr="00B26D47" w:rsidTr="002C044A">
        <w:trPr>
          <w:trHeight w:val="600"/>
          <w:jc w:val="center"/>
        </w:trPr>
        <w:tc>
          <w:tcPr>
            <w:tcW w:w="521" w:type="dxa"/>
            <w:tcBorders>
              <w:top w:val="nil"/>
              <w:left w:val="single" w:sz="4" w:space="0" w:color="auto"/>
              <w:bottom w:val="single" w:sz="4" w:space="0" w:color="auto"/>
              <w:right w:val="single" w:sz="4" w:space="0" w:color="auto"/>
            </w:tcBorders>
            <w:shd w:val="clear" w:color="auto" w:fill="auto"/>
            <w:noWrap/>
            <w:vAlign w:val="center"/>
            <w:hideMark/>
          </w:tcPr>
          <w:p w:rsidR="00FE3060" w:rsidRPr="00CB7001" w:rsidRDefault="00CB7001"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60</w:t>
            </w:r>
          </w:p>
        </w:tc>
        <w:tc>
          <w:tcPr>
            <w:tcW w:w="4746"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The proportion of female students in technological, engineering and mathematical programs </w:t>
            </w:r>
            <w:r w:rsidRPr="00320BE5">
              <w:rPr>
                <w:rFonts w:asciiTheme="majorBidi" w:eastAsia="Times New Roman" w:hAnsiTheme="majorBidi" w:cstheme="majorBidi"/>
                <w:color w:val="000000"/>
              </w:rPr>
              <w:t>(</w:t>
            </w:r>
            <w:r w:rsidRPr="00B26D47">
              <w:rPr>
                <w:rFonts w:asciiTheme="majorBidi" w:eastAsia="Times New Roman" w:hAnsiTheme="majorBidi" w:cstheme="majorBidi"/>
                <w:color w:val="000000"/>
              </w:rPr>
              <w:t>in</w:t>
            </w:r>
            <w:r w:rsidRPr="00320BE5">
              <w:rPr>
                <w:rFonts w:asciiTheme="majorBidi" w:eastAsia="Times New Roman" w:hAnsiTheme="majorBidi" w:cstheme="majorBidi"/>
                <w:color w:val="000000"/>
              </w:rPr>
              <w:t xml:space="preserve"> %</w:t>
            </w:r>
            <w:r w:rsidRPr="00B26D47">
              <w:rPr>
                <w:rFonts w:asciiTheme="majorBidi" w:eastAsia="Times New Roman" w:hAnsiTheme="majorBidi" w:cstheme="majorBidi"/>
                <w:color w:val="000000"/>
              </w:rPr>
              <w:t xml:space="preserve"> of all female students in HEIs</w:t>
            </w:r>
            <w:r w:rsidRPr="00320BE5">
              <w:rPr>
                <w:rFonts w:asciiTheme="majorBidi" w:eastAsia="Times New Roman" w:hAnsiTheme="majorBidi" w:cstheme="majorBidi"/>
                <w:color w:val="000000"/>
              </w:rPr>
              <w:t>)</w:t>
            </w:r>
            <w:r w:rsidRPr="00B26D47">
              <w:rPr>
                <w:rFonts w:asciiTheme="majorBidi" w:eastAsia="Times New Roman" w:hAnsiTheme="majorBidi" w:cstheme="majorBidi"/>
                <w:color w:val="000000"/>
              </w:rPr>
              <w:t>.</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15.0%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30.0%</w:t>
            </w:r>
          </w:p>
        </w:tc>
        <w:tc>
          <w:tcPr>
            <w:tcW w:w="2207" w:type="dxa"/>
            <w:tcBorders>
              <w:top w:val="nil"/>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r w:rsidRPr="00B26D47">
              <w:rPr>
                <w:rFonts w:asciiTheme="majorBidi" w:eastAsia="Times New Roman" w:hAnsiTheme="majorBidi" w:cstheme="majorBidi"/>
                <w:color w:val="000000"/>
              </w:rPr>
              <w:t> </w:t>
            </w:r>
          </w:p>
        </w:tc>
      </w:tr>
      <w:tr w:rsidR="00FE3060" w:rsidRPr="00B26D47" w:rsidTr="002C044A">
        <w:trPr>
          <w:trHeight w:val="600"/>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365F91" w:themeFill="accent1" w:themeFillShade="BF"/>
            <w:vAlign w:val="center"/>
            <w:hideMark/>
          </w:tcPr>
          <w:p w:rsidR="00FE3060" w:rsidRPr="00B26D47" w:rsidRDefault="00FE3060"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5.2 (Policy priority</w:t>
            </w:r>
            <w:r w:rsidRPr="00320BE5">
              <w:rPr>
                <w:rFonts w:asciiTheme="majorBidi" w:eastAsia="Times New Roman" w:hAnsiTheme="majorBidi" w:cstheme="majorBidi"/>
                <w:b/>
                <w:bCs/>
                <w:color w:val="FFFFFF" w:themeColor="background1"/>
              </w:rPr>
              <w:t xml:space="preserve"> </w:t>
            </w:r>
            <w:r w:rsidRPr="00B26D47">
              <w:rPr>
                <w:rFonts w:asciiTheme="majorBidi" w:eastAsia="Times New Roman" w:hAnsiTheme="majorBidi" w:cstheme="majorBidi"/>
                <w:b/>
                <w:bCs/>
                <w:color w:val="FFFFFF" w:themeColor="background1"/>
              </w:rPr>
              <w:t>2): The quality of higher professional education, whose graduates meet the requirements of the labor market,  has been improved.</w:t>
            </w:r>
          </w:p>
        </w:tc>
      </w:tr>
      <w:tr w:rsidR="00FE3060" w:rsidRPr="00B26D47" w:rsidTr="002C044A">
        <w:trPr>
          <w:trHeight w:val="539"/>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5.2.1: The curriculum and the teaching staff of higher educational institutions (HEIs) complies with international standards.</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nil"/>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nil"/>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2C044A" w:rsidRDefault="002C044A" w:rsidP="00BE1B89">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61</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Percentage of teachers who completed courses of inclusive education and who are prepared for inclusive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75.0%</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491001" w:rsidRDefault="00491001" w:rsidP="00491001">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w:t>
            </w:r>
            <w:r>
              <w:rPr>
                <w:rFonts w:asciiTheme="majorBidi" w:eastAsia="Times New Roman" w:hAnsiTheme="majorBidi" w:cstheme="majorBidi"/>
              </w:rPr>
              <w:t>Contributes to</w:t>
            </w:r>
          </w:p>
          <w:p w:rsidR="00FE3060" w:rsidRPr="00B26D47" w:rsidRDefault="00491001" w:rsidP="00491001">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rPr>
              <w:t>SDG Indicator 4.c.1</w:t>
            </w: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2C044A" w:rsidRDefault="002C044A" w:rsidP="00B94DC0">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lang w:val="ru-RU"/>
              </w:rPr>
              <w:t>62</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presence of a dual education system.</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Dual education system 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framework is developed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C75B51"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Dual education system is approved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C75B51"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Dual education system is fully implemented</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2C044A" w:rsidRPr="00B26D47" w:rsidTr="0054118F">
        <w:trPr>
          <w:trHeight w:val="332"/>
          <w:jc w:val="center"/>
        </w:trPr>
        <w:tc>
          <w:tcPr>
            <w:tcW w:w="521" w:type="dxa"/>
            <w:vMerge w:val="restart"/>
            <w:tcBorders>
              <w:top w:val="single" w:sz="4" w:space="0" w:color="auto"/>
              <w:left w:val="single" w:sz="4" w:space="0" w:color="auto"/>
              <w:right w:val="single" w:sz="4" w:space="0" w:color="auto"/>
            </w:tcBorders>
            <w:shd w:val="clear" w:color="auto" w:fill="auto"/>
            <w:noWrap/>
            <w:vAlign w:val="center"/>
            <w:hideMark/>
          </w:tcPr>
          <w:p w:rsidR="002C044A" w:rsidRPr="002C044A" w:rsidRDefault="002C044A" w:rsidP="00B94DC0">
            <w:pPr>
              <w:spacing w:after="0" w:line="240" w:lineRule="auto"/>
              <w:jc w:val="center"/>
              <w:rPr>
                <w:rFonts w:asciiTheme="majorBidi" w:eastAsia="Times New Roman" w:hAnsiTheme="majorBidi" w:cstheme="majorBidi"/>
              </w:rPr>
            </w:pPr>
            <w:r>
              <w:rPr>
                <w:rFonts w:asciiTheme="majorBidi" w:eastAsia="Times New Roman" w:hAnsiTheme="majorBidi" w:cstheme="majorBidi"/>
              </w:rPr>
              <w:t>63</w:t>
            </w:r>
          </w:p>
        </w:tc>
        <w:tc>
          <w:tcPr>
            <w:tcW w:w="4746" w:type="dxa"/>
            <w:tcBorders>
              <w:top w:val="single" w:sz="4" w:space="0" w:color="auto"/>
              <w:left w:val="nil"/>
              <w:right w:val="single" w:sz="4" w:space="0" w:color="auto"/>
            </w:tcBorders>
            <w:shd w:val="clear" w:color="auto" w:fill="auto"/>
            <w:vAlign w:val="center"/>
            <w:hideMark/>
          </w:tcPr>
          <w:p w:rsidR="002C044A" w:rsidRPr="00B26D47" w:rsidRDefault="002C044A" w:rsidP="0023340C">
            <w:pPr>
              <w:spacing w:after="0" w:line="240" w:lineRule="auto"/>
              <w:rPr>
                <w:rFonts w:asciiTheme="majorBidi" w:eastAsia="Times New Roman" w:hAnsiTheme="majorBidi" w:cstheme="majorBidi"/>
              </w:rPr>
            </w:pPr>
            <w:r>
              <w:rPr>
                <w:rFonts w:asciiTheme="majorBidi" w:eastAsia="Times New Roman" w:hAnsiTheme="majorBidi" w:cstheme="majorBidi"/>
              </w:rPr>
              <w:t>The share of people enrolled in academic mobility programs,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p>
        </w:tc>
        <w:tc>
          <w:tcPr>
            <w:tcW w:w="2207" w:type="dxa"/>
            <w:vMerge w:val="restart"/>
            <w:tcBorders>
              <w:top w:val="single" w:sz="4" w:space="0" w:color="auto"/>
              <w:left w:val="nil"/>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color w:val="000000"/>
              </w:rPr>
            </w:pPr>
            <w:r>
              <w:rPr>
                <w:rFonts w:asciiTheme="majorBidi" w:eastAsia="Times New Roman" w:hAnsiTheme="majorBidi" w:cstheme="majorBidi"/>
                <w:color w:val="000000"/>
              </w:rPr>
              <w:t>--</w:t>
            </w:r>
          </w:p>
        </w:tc>
      </w:tr>
      <w:tr w:rsidR="002C044A" w:rsidRPr="00B26D47" w:rsidTr="0054118F">
        <w:trPr>
          <w:trHeight w:val="332"/>
          <w:jc w:val="center"/>
        </w:trPr>
        <w:tc>
          <w:tcPr>
            <w:tcW w:w="521" w:type="dxa"/>
            <w:vMerge/>
            <w:tcBorders>
              <w:left w:val="single" w:sz="4" w:space="0" w:color="auto"/>
              <w:right w:val="single" w:sz="4" w:space="0" w:color="auto"/>
            </w:tcBorders>
            <w:shd w:val="clear" w:color="auto" w:fill="auto"/>
            <w:noWrap/>
            <w:vAlign w:val="center"/>
            <w:hideMark/>
          </w:tcPr>
          <w:p w:rsidR="002C044A" w:rsidRDefault="002C044A" w:rsidP="00B94DC0">
            <w:pPr>
              <w:spacing w:after="0" w:line="240" w:lineRule="auto"/>
              <w:jc w:val="center"/>
              <w:rPr>
                <w:rFonts w:asciiTheme="majorBidi" w:eastAsia="Times New Roman" w:hAnsiTheme="majorBidi" w:cstheme="majorBidi"/>
                <w:lang w:val="ru-RU"/>
              </w:rPr>
            </w:pPr>
          </w:p>
        </w:tc>
        <w:tc>
          <w:tcPr>
            <w:tcW w:w="4746" w:type="dxa"/>
            <w:tcBorders>
              <w:left w:val="nil"/>
              <w:right w:val="single" w:sz="4" w:space="0" w:color="auto"/>
            </w:tcBorders>
            <w:shd w:val="clear" w:color="auto" w:fill="auto"/>
            <w:vAlign w:val="center"/>
            <w:hideMark/>
          </w:tcPr>
          <w:p w:rsidR="002C044A" w:rsidRPr="00B26D47" w:rsidRDefault="002C044A"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students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10,0%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30,0%</w:t>
            </w:r>
          </w:p>
        </w:tc>
        <w:tc>
          <w:tcPr>
            <w:tcW w:w="2207" w:type="dxa"/>
            <w:vMerge/>
            <w:tcBorders>
              <w:left w:val="nil"/>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color w:val="000000"/>
              </w:rPr>
            </w:pPr>
          </w:p>
        </w:tc>
      </w:tr>
      <w:tr w:rsidR="002C044A" w:rsidRPr="00B26D47" w:rsidTr="0054118F">
        <w:trPr>
          <w:trHeight w:val="332"/>
          <w:jc w:val="center"/>
        </w:trPr>
        <w:tc>
          <w:tcPr>
            <w:tcW w:w="521" w:type="dxa"/>
            <w:vMerge/>
            <w:tcBorders>
              <w:left w:val="single" w:sz="4" w:space="0" w:color="auto"/>
              <w:bottom w:val="single" w:sz="4" w:space="0" w:color="auto"/>
              <w:right w:val="single" w:sz="4" w:space="0" w:color="auto"/>
            </w:tcBorders>
            <w:shd w:val="clear" w:color="auto" w:fill="auto"/>
            <w:noWrap/>
            <w:vAlign w:val="center"/>
            <w:hideMark/>
          </w:tcPr>
          <w:p w:rsidR="002C044A" w:rsidRDefault="002C044A" w:rsidP="00B94DC0">
            <w:pPr>
              <w:spacing w:after="0" w:line="240" w:lineRule="auto"/>
              <w:jc w:val="center"/>
              <w:rPr>
                <w:rFonts w:asciiTheme="majorBidi" w:eastAsia="Times New Roman" w:hAnsiTheme="majorBidi" w:cstheme="majorBidi"/>
                <w:lang w:val="ru-RU"/>
              </w:rPr>
            </w:pPr>
          </w:p>
        </w:tc>
        <w:tc>
          <w:tcPr>
            <w:tcW w:w="4746" w:type="dxa"/>
            <w:tcBorders>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teachers (pedagogical staff)</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10,0%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984580" w:rsidRDefault="002C044A" w:rsidP="005A4EEE">
            <w:pPr>
              <w:spacing w:after="0" w:line="240" w:lineRule="auto"/>
              <w:jc w:val="center"/>
              <w:rPr>
                <w:rFonts w:asciiTheme="majorBidi" w:eastAsia="Times New Roman" w:hAnsiTheme="majorBidi" w:cstheme="majorBidi"/>
                <w:lang w:val="ru-RU"/>
              </w:rPr>
            </w:pPr>
            <w:r w:rsidRPr="00984580">
              <w:rPr>
                <w:rFonts w:asciiTheme="majorBidi" w:eastAsia="Times New Roman" w:hAnsiTheme="majorBidi" w:cstheme="majorBidi"/>
                <w:lang w:val="ru-RU"/>
              </w:rPr>
              <w:t>20,0%</w:t>
            </w:r>
          </w:p>
        </w:tc>
        <w:tc>
          <w:tcPr>
            <w:tcW w:w="2207" w:type="dxa"/>
            <w:vMerge/>
            <w:tcBorders>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color w:val="000000"/>
              </w:rPr>
            </w:pPr>
          </w:p>
        </w:tc>
      </w:tr>
      <w:tr w:rsidR="00FE3060" w:rsidRPr="00B26D47" w:rsidTr="002C044A">
        <w:trPr>
          <w:trHeight w:val="660"/>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5.2.</w:t>
            </w:r>
            <w:r w:rsidRPr="00320BE5">
              <w:rPr>
                <w:rFonts w:asciiTheme="majorBidi" w:eastAsia="Times New Roman" w:hAnsiTheme="majorBidi" w:cstheme="majorBidi"/>
                <w:b/>
                <w:bCs/>
                <w:color w:val="000000"/>
              </w:rPr>
              <w:t>2</w:t>
            </w:r>
            <w:r w:rsidRPr="00B26D47">
              <w:rPr>
                <w:rFonts w:asciiTheme="majorBidi" w:eastAsia="Times New Roman" w:hAnsiTheme="majorBidi" w:cstheme="majorBidi"/>
                <w:b/>
                <w:bCs/>
                <w:color w:val="000000"/>
              </w:rPr>
              <w:t xml:space="preserve">: </w:t>
            </w:r>
            <w:r w:rsidRPr="00320BE5">
              <w:rPr>
                <w:rFonts w:asciiTheme="majorBidi" w:eastAsia="Times New Roman" w:hAnsiTheme="majorBidi" w:cstheme="majorBidi"/>
                <w:b/>
                <w:bCs/>
                <w:color w:val="000000"/>
              </w:rPr>
              <w:t>An effective system and institutional mechanism for training and quality assessment has been introduced in institutions of higher professional education, based on the needs of the labor market</w:t>
            </w:r>
            <w:r w:rsidRPr="00B26D47">
              <w:rPr>
                <w:rFonts w:asciiTheme="majorBidi" w:eastAsia="Times New Roman" w:hAnsiTheme="majorBidi" w:cstheme="majorBidi"/>
                <w:b/>
                <w:bCs/>
                <w:color w:val="000000"/>
              </w:rPr>
              <w:t>.</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single" w:sz="4" w:space="0" w:color="auto"/>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2C044A" w:rsidRPr="00B26D47" w:rsidTr="002C044A">
        <w:trPr>
          <w:trHeight w:val="600"/>
          <w:jc w:val="center"/>
        </w:trPr>
        <w:tc>
          <w:tcPr>
            <w:tcW w:w="521" w:type="dxa"/>
            <w:vMerge w:val="restart"/>
            <w:tcBorders>
              <w:top w:val="nil"/>
              <w:left w:val="single" w:sz="4" w:space="0" w:color="auto"/>
              <w:bottom w:val="single" w:sz="4" w:space="0" w:color="000000"/>
              <w:right w:val="nil"/>
            </w:tcBorders>
            <w:shd w:val="clear" w:color="auto" w:fill="auto"/>
            <w:noWrap/>
            <w:vAlign w:val="center"/>
            <w:hideMark/>
          </w:tcPr>
          <w:p w:rsidR="002C044A" w:rsidRPr="0046725D" w:rsidRDefault="002C044A"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64</w:t>
            </w:r>
          </w:p>
        </w:tc>
        <w:tc>
          <w:tcPr>
            <w:tcW w:w="4746" w:type="dxa"/>
            <w:tcBorders>
              <w:top w:val="single" w:sz="4" w:space="0" w:color="auto"/>
              <w:left w:val="single" w:sz="4" w:space="0" w:color="auto"/>
              <w:bottom w:val="nil"/>
              <w:right w:val="single" w:sz="4" w:space="0" w:color="auto"/>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students and graduates showing a level of knowledge above the average (in %), including:</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65.0%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07" w:type="dxa"/>
            <w:vMerge w:val="restart"/>
            <w:tcBorders>
              <w:top w:val="single" w:sz="4" w:space="0" w:color="auto"/>
              <w:left w:val="nil"/>
              <w:bottom w:val="single" w:sz="4" w:space="0" w:color="000000"/>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2C044A" w:rsidRPr="00B26D47" w:rsidTr="002C044A">
        <w:trPr>
          <w:trHeight w:val="188"/>
          <w:jc w:val="center"/>
        </w:trPr>
        <w:tc>
          <w:tcPr>
            <w:tcW w:w="521" w:type="dxa"/>
            <w:vMerge/>
            <w:tcBorders>
              <w:top w:val="nil"/>
              <w:left w:val="single" w:sz="4" w:space="0" w:color="auto"/>
              <w:bottom w:val="single" w:sz="4" w:space="0" w:color="000000"/>
              <w:right w:val="nil"/>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p>
        </w:tc>
        <w:tc>
          <w:tcPr>
            <w:tcW w:w="4746" w:type="dxa"/>
            <w:tcBorders>
              <w:top w:val="nil"/>
              <w:left w:val="single" w:sz="4" w:space="0" w:color="auto"/>
              <w:bottom w:val="nil"/>
              <w:right w:val="single" w:sz="4" w:space="0" w:color="auto"/>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based on results of examinations</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65.0%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07" w:type="dxa"/>
            <w:vMerge/>
            <w:tcBorders>
              <w:top w:val="nil"/>
              <w:left w:val="nil"/>
              <w:bottom w:val="single" w:sz="4" w:space="0" w:color="000000"/>
              <w:right w:val="single" w:sz="4" w:space="0" w:color="auto"/>
            </w:tcBorders>
            <w:shd w:val="clear" w:color="auto" w:fill="auto"/>
            <w:vAlign w:val="center"/>
            <w:hideMark/>
          </w:tcPr>
          <w:p w:rsidR="002C044A" w:rsidRPr="00B26D47" w:rsidRDefault="002C044A" w:rsidP="005A4EEE">
            <w:pPr>
              <w:spacing w:after="0" w:line="240" w:lineRule="auto"/>
              <w:rPr>
                <w:rFonts w:asciiTheme="majorBidi" w:eastAsia="Times New Roman" w:hAnsiTheme="majorBidi" w:cstheme="majorBidi"/>
                <w:color w:val="000000"/>
              </w:rPr>
            </w:pPr>
          </w:p>
        </w:tc>
      </w:tr>
      <w:tr w:rsidR="002C044A" w:rsidRPr="00B26D47" w:rsidTr="002C044A">
        <w:trPr>
          <w:trHeight w:val="85"/>
          <w:jc w:val="center"/>
        </w:trPr>
        <w:tc>
          <w:tcPr>
            <w:tcW w:w="521" w:type="dxa"/>
            <w:vMerge/>
            <w:tcBorders>
              <w:top w:val="nil"/>
              <w:left w:val="single" w:sz="4" w:space="0" w:color="auto"/>
              <w:bottom w:val="single" w:sz="4" w:space="0" w:color="000000"/>
              <w:right w:val="nil"/>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p>
        </w:tc>
        <w:tc>
          <w:tcPr>
            <w:tcW w:w="4746" w:type="dxa"/>
            <w:tcBorders>
              <w:top w:val="nil"/>
              <w:left w:val="single" w:sz="4" w:space="0" w:color="auto"/>
              <w:bottom w:val="single" w:sz="4" w:space="0" w:color="auto"/>
              <w:right w:val="single" w:sz="4" w:space="0" w:color="auto"/>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based on results of intra-university subject tests</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65.0%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70.0%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80.0%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90.0%</w:t>
            </w:r>
          </w:p>
        </w:tc>
        <w:tc>
          <w:tcPr>
            <w:tcW w:w="2207" w:type="dxa"/>
            <w:vMerge/>
            <w:tcBorders>
              <w:top w:val="nil"/>
              <w:left w:val="nil"/>
              <w:bottom w:val="single" w:sz="4" w:space="0" w:color="000000"/>
              <w:right w:val="single" w:sz="4" w:space="0" w:color="auto"/>
            </w:tcBorders>
            <w:shd w:val="clear" w:color="auto" w:fill="auto"/>
            <w:vAlign w:val="center"/>
            <w:hideMark/>
          </w:tcPr>
          <w:p w:rsidR="002C044A" w:rsidRPr="00B26D47" w:rsidRDefault="002C044A" w:rsidP="005A4EEE">
            <w:pPr>
              <w:spacing w:after="0" w:line="240" w:lineRule="auto"/>
              <w:rPr>
                <w:rFonts w:asciiTheme="majorBidi" w:eastAsia="Times New Roman" w:hAnsiTheme="majorBidi" w:cstheme="majorBidi"/>
                <w:color w:val="000000"/>
              </w:rPr>
            </w:pP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46725D" w:rsidRDefault="002C044A" w:rsidP="00BE1B89">
            <w:pPr>
              <w:spacing w:after="0" w:line="240" w:lineRule="auto"/>
              <w:jc w:val="center"/>
              <w:rPr>
                <w:rFonts w:asciiTheme="majorBidi" w:eastAsia="Times New Roman" w:hAnsiTheme="majorBidi" w:cstheme="majorBidi"/>
              </w:rPr>
            </w:pPr>
            <w:r>
              <w:rPr>
                <w:rFonts w:asciiTheme="majorBidi" w:eastAsia="Times New Roman" w:hAnsiTheme="majorBidi" w:cstheme="majorBidi"/>
              </w:rPr>
              <w:t>65</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C1415A">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National Qualification Framework (NQF) has been developed and implemented.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NQF 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C1415A">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NQF has been developed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C1415A">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NQF has been agreed upon and approved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C1415A">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NQF is broadly implemented</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46725D" w:rsidRDefault="002C044A" w:rsidP="00B94DC0">
            <w:pPr>
              <w:spacing w:after="0" w:line="240" w:lineRule="auto"/>
              <w:jc w:val="center"/>
              <w:rPr>
                <w:rFonts w:asciiTheme="majorBidi" w:eastAsia="Times New Roman" w:hAnsiTheme="majorBidi" w:cstheme="majorBidi"/>
              </w:rPr>
            </w:pPr>
            <w:r>
              <w:rPr>
                <w:rFonts w:asciiTheme="majorBidi" w:eastAsia="Times New Roman" w:hAnsiTheme="majorBidi" w:cstheme="majorBidi"/>
              </w:rPr>
              <w:t>66</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Presence of a national system for quality assessment of higher education based on education outcomes and competencies and in line with international best practice.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National quality assessment system 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Regulatory framework is developed and a review is conducted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The quality assessment system is developed and approved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The quality assessment system is fully operational and utilized</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CB7001" w:rsidRPr="00B26D47" w:rsidTr="002C044A">
        <w:trPr>
          <w:trHeight w:val="300"/>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7001" w:rsidRPr="0046725D" w:rsidRDefault="002C044A"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67</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higher education institutions (HEIs) with an expanded degree of autonomy (in %).</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20.0%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50.0%</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100.0%</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Indicator was not previously monitored</w:t>
            </w:r>
          </w:p>
        </w:tc>
      </w:tr>
      <w:tr w:rsidR="00CB7001" w:rsidRPr="00B26D47" w:rsidTr="002C044A">
        <w:trPr>
          <w:trHeight w:val="300"/>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7001" w:rsidRPr="0046725D" w:rsidRDefault="002C044A"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68</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Presence of an independent accreditation agency in higher professional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Agency 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Roadmap is developed and approved for the creation of an independent accreditation agency</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An independent accreditation agency is created in higher professional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The agency is fully operational</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FE3060" w:rsidRPr="00B26D47" w:rsidTr="002C044A">
        <w:trPr>
          <w:trHeight w:val="660"/>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5.2.</w:t>
            </w:r>
            <w:r w:rsidRPr="00320BE5">
              <w:rPr>
                <w:rFonts w:asciiTheme="majorBidi" w:eastAsia="Times New Roman" w:hAnsiTheme="majorBidi" w:cstheme="majorBidi"/>
                <w:b/>
                <w:bCs/>
                <w:color w:val="000000"/>
              </w:rPr>
              <w:t>3</w:t>
            </w:r>
            <w:r w:rsidRPr="00B26D47">
              <w:rPr>
                <w:rFonts w:asciiTheme="majorBidi" w:eastAsia="Times New Roman" w:hAnsiTheme="majorBidi" w:cstheme="majorBidi"/>
                <w:b/>
                <w:bCs/>
                <w:color w:val="000000"/>
              </w:rPr>
              <w:t xml:space="preserve">: </w:t>
            </w:r>
            <w:r w:rsidRPr="00320BE5">
              <w:rPr>
                <w:rFonts w:asciiTheme="majorBidi" w:eastAsia="Times New Roman" w:hAnsiTheme="majorBidi" w:cstheme="majorBidi"/>
                <w:b/>
                <w:bCs/>
                <w:color w:val="000000"/>
              </w:rPr>
              <w:t>The interaction of higher education institutions with the private sector, development partners and civil society has been strengthened.</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single" w:sz="4" w:space="0" w:color="auto"/>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46725D"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69</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BE1B89">
            <w:pPr>
              <w:spacing w:after="0" w:line="240" w:lineRule="auto"/>
              <w:rPr>
                <w:rFonts w:asciiTheme="majorBidi" w:eastAsia="Times New Roman" w:hAnsiTheme="majorBidi" w:cstheme="majorBidi"/>
              </w:rPr>
            </w:pPr>
            <w:r w:rsidRPr="0046725D">
              <w:rPr>
                <w:rFonts w:asciiTheme="majorBidi" w:eastAsia="Times New Roman" w:hAnsiTheme="majorBidi" w:cstheme="majorBidi"/>
              </w:rPr>
              <w:t>Labor market participants (i.e. employers) are better engaged in the formation of state educational standards in the specialties and in the educational process.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Employer engagement mechanism at national level 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 has been developed and discussed to engage employers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0C7164">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Mechanism has been approved &amp; implemented by HEIs</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46725D" w:rsidRDefault="00FE3060"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2C044A" w:rsidRPr="00B26D47" w:rsidTr="002C044A">
        <w:trPr>
          <w:trHeight w:val="260"/>
          <w:jc w:val="center"/>
        </w:trPr>
        <w:tc>
          <w:tcPr>
            <w:tcW w:w="521" w:type="dxa"/>
            <w:vMerge w:val="restart"/>
            <w:tcBorders>
              <w:top w:val="nil"/>
              <w:left w:val="single" w:sz="4" w:space="0" w:color="auto"/>
              <w:right w:val="single" w:sz="4" w:space="0" w:color="auto"/>
            </w:tcBorders>
            <w:shd w:val="clear" w:color="auto" w:fill="auto"/>
            <w:noWrap/>
            <w:vAlign w:val="center"/>
            <w:hideMark/>
          </w:tcPr>
          <w:p w:rsidR="002C044A" w:rsidRPr="0046725D" w:rsidRDefault="002C044A" w:rsidP="005A4EEE">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70</w:t>
            </w:r>
          </w:p>
        </w:tc>
        <w:tc>
          <w:tcPr>
            <w:tcW w:w="4746" w:type="dxa"/>
            <w:tcBorders>
              <w:top w:val="single" w:sz="4" w:space="0" w:color="auto"/>
              <w:left w:val="nil"/>
              <w:right w:val="single" w:sz="4" w:space="0" w:color="auto"/>
            </w:tcBorders>
            <w:shd w:val="clear" w:color="auto" w:fill="auto"/>
            <w:vAlign w:val="center"/>
            <w:hideMark/>
          </w:tcPr>
          <w:p w:rsidR="002C044A" w:rsidRPr="0046725D" w:rsidRDefault="002C044A"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share of graduates of higher educational institutions (HEIs) who found a job within 12 months of graduation, including:</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Less than</w:t>
            </w:r>
            <w:r w:rsidRPr="00B26D47">
              <w:rPr>
                <w:rFonts w:asciiTheme="majorBidi" w:eastAsia="Times New Roman" w:hAnsiTheme="majorBidi" w:cstheme="majorBidi"/>
                <w:lang w:val="ru-RU"/>
              </w:rPr>
              <w:t xml:space="preserve"> 40.0%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65.0%</w:t>
            </w:r>
          </w:p>
        </w:tc>
        <w:tc>
          <w:tcPr>
            <w:tcW w:w="2207" w:type="dxa"/>
            <w:vMerge w:val="restart"/>
            <w:tcBorders>
              <w:top w:val="nil"/>
              <w:left w:val="nil"/>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2C044A" w:rsidRPr="00B26D47" w:rsidTr="002C044A">
        <w:trPr>
          <w:trHeight w:val="85"/>
          <w:jc w:val="center"/>
        </w:trPr>
        <w:tc>
          <w:tcPr>
            <w:tcW w:w="521" w:type="dxa"/>
            <w:vMerge/>
            <w:tcBorders>
              <w:top w:val="nil"/>
              <w:left w:val="single" w:sz="4" w:space="0" w:color="auto"/>
              <w:right w:val="single" w:sz="4" w:space="0" w:color="auto"/>
            </w:tcBorders>
            <w:shd w:val="clear" w:color="auto" w:fill="auto"/>
            <w:noWrap/>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p>
        </w:tc>
        <w:tc>
          <w:tcPr>
            <w:tcW w:w="4746" w:type="dxa"/>
            <w:tcBorders>
              <w:left w:val="nil"/>
              <w:right w:val="single" w:sz="4" w:space="0" w:color="auto"/>
            </w:tcBorders>
            <w:shd w:val="clear" w:color="auto" w:fill="auto"/>
            <w:vAlign w:val="center"/>
            <w:hideMark/>
          </w:tcPr>
          <w:p w:rsidR="002C044A" w:rsidRPr="00C75B51" w:rsidRDefault="002C044A"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those who studied on a budgetary basis</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65.0%</w:t>
            </w:r>
          </w:p>
        </w:tc>
        <w:tc>
          <w:tcPr>
            <w:tcW w:w="2207" w:type="dxa"/>
            <w:vMerge/>
            <w:tcBorders>
              <w:top w:val="nil"/>
              <w:left w:val="nil"/>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p>
        </w:tc>
      </w:tr>
      <w:tr w:rsidR="002C044A" w:rsidRPr="00B26D47" w:rsidTr="002C044A">
        <w:trPr>
          <w:trHeight w:val="125"/>
          <w:jc w:val="center"/>
        </w:trPr>
        <w:tc>
          <w:tcPr>
            <w:tcW w:w="521" w:type="dxa"/>
            <w:vMerge/>
            <w:tcBorders>
              <w:left w:val="single" w:sz="4" w:space="0" w:color="auto"/>
              <w:bottom w:val="single" w:sz="4" w:space="0" w:color="auto"/>
              <w:right w:val="single" w:sz="4" w:space="0" w:color="auto"/>
            </w:tcBorders>
            <w:shd w:val="clear" w:color="auto" w:fill="auto"/>
            <w:noWrap/>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p>
        </w:tc>
        <w:tc>
          <w:tcPr>
            <w:tcW w:w="4746" w:type="dxa"/>
            <w:tcBorders>
              <w:top w:val="nil"/>
              <w:left w:val="nil"/>
              <w:bottom w:val="single" w:sz="4" w:space="0" w:color="auto"/>
              <w:right w:val="single" w:sz="4" w:space="0" w:color="auto"/>
            </w:tcBorders>
            <w:shd w:val="clear" w:color="auto" w:fill="auto"/>
            <w:vAlign w:val="center"/>
            <w:hideMark/>
          </w:tcPr>
          <w:p w:rsidR="002C044A" w:rsidRPr="00C75B51" w:rsidRDefault="002C044A" w:rsidP="005A4EEE">
            <w:pPr>
              <w:spacing w:after="0" w:line="240" w:lineRule="auto"/>
              <w:rPr>
                <w:rFonts w:asciiTheme="majorBidi" w:eastAsia="Times New Roman" w:hAnsiTheme="majorBidi" w:cstheme="majorBidi"/>
                <w:color w:val="000000"/>
              </w:rPr>
            </w:pPr>
            <w:r w:rsidRPr="00B26D47">
              <w:rPr>
                <w:rFonts w:asciiTheme="majorBidi" w:eastAsia="Times New Roman" w:hAnsiTheme="majorBidi" w:cstheme="majorBidi"/>
                <w:color w:val="000000"/>
              </w:rPr>
              <w:t xml:space="preserve">   - those who studied on a contractual basis</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55.0%</w:t>
            </w:r>
          </w:p>
        </w:tc>
        <w:tc>
          <w:tcPr>
            <w:tcW w:w="1710" w:type="dxa"/>
            <w:tcBorders>
              <w:top w:val="nil"/>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65.0%</w:t>
            </w:r>
          </w:p>
        </w:tc>
        <w:tc>
          <w:tcPr>
            <w:tcW w:w="2207" w:type="dxa"/>
            <w:vMerge/>
            <w:tcBorders>
              <w:left w:val="nil"/>
              <w:bottom w:val="single" w:sz="4" w:space="0" w:color="auto"/>
              <w:right w:val="single" w:sz="4" w:space="0" w:color="auto"/>
            </w:tcBorders>
            <w:shd w:val="clear" w:color="auto" w:fill="auto"/>
            <w:vAlign w:val="center"/>
            <w:hideMark/>
          </w:tcPr>
          <w:p w:rsidR="002C044A" w:rsidRPr="00B26D47" w:rsidRDefault="002C044A" w:rsidP="005A4EEE">
            <w:pPr>
              <w:spacing w:after="0" w:line="240" w:lineRule="auto"/>
              <w:jc w:val="center"/>
              <w:rPr>
                <w:rFonts w:asciiTheme="majorBidi" w:eastAsia="Times New Roman" w:hAnsiTheme="majorBidi" w:cstheme="majorBidi"/>
                <w:color w:val="000000"/>
              </w:rPr>
            </w:pPr>
          </w:p>
        </w:tc>
      </w:tr>
      <w:tr w:rsidR="00FE3060" w:rsidRPr="00B26D47" w:rsidTr="002C044A">
        <w:trPr>
          <w:trHeight w:val="503"/>
          <w:jc w:val="center"/>
        </w:trPr>
        <w:tc>
          <w:tcPr>
            <w:tcW w:w="14314"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FE3060" w:rsidRPr="00B26D47" w:rsidRDefault="00FE3060"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5.2.</w:t>
            </w:r>
            <w:r w:rsidRPr="00320BE5">
              <w:rPr>
                <w:rFonts w:asciiTheme="majorBidi" w:eastAsia="Times New Roman" w:hAnsiTheme="majorBidi" w:cstheme="majorBidi"/>
                <w:b/>
                <w:bCs/>
                <w:color w:val="000000"/>
              </w:rPr>
              <w:t>4</w:t>
            </w:r>
            <w:r w:rsidRPr="00B26D47">
              <w:rPr>
                <w:rFonts w:asciiTheme="majorBidi" w:eastAsia="Times New Roman" w:hAnsiTheme="majorBidi" w:cstheme="majorBidi"/>
                <w:b/>
                <w:bCs/>
                <w:color w:val="000000"/>
              </w:rPr>
              <w:t xml:space="preserve">: </w:t>
            </w:r>
            <w:r w:rsidRPr="00320BE5">
              <w:rPr>
                <w:rFonts w:asciiTheme="majorBidi" w:eastAsia="Times New Roman" w:hAnsiTheme="majorBidi" w:cstheme="majorBidi"/>
                <w:b/>
                <w:bCs/>
                <w:color w:val="000000"/>
              </w:rPr>
              <w:t>Strengthened research and development</w:t>
            </w:r>
            <w:r w:rsidRPr="00B26D47">
              <w:rPr>
                <w:rFonts w:asciiTheme="majorBidi" w:eastAsia="Times New Roman" w:hAnsiTheme="majorBidi" w:cstheme="majorBidi"/>
                <w:b/>
                <w:bCs/>
                <w:color w:val="000000"/>
              </w:rPr>
              <w:t xml:space="preserve"> (R&amp;D)</w:t>
            </w:r>
            <w:r w:rsidRPr="00320BE5">
              <w:rPr>
                <w:rFonts w:asciiTheme="majorBidi" w:eastAsia="Times New Roman" w:hAnsiTheme="majorBidi" w:cstheme="majorBidi"/>
                <w:b/>
                <w:bCs/>
                <w:color w:val="000000"/>
              </w:rPr>
              <w:t>, as well as platforms to stimulate innovation</w:t>
            </w:r>
            <w:r w:rsidRPr="00B26D47">
              <w:rPr>
                <w:rFonts w:asciiTheme="majorBidi" w:eastAsia="Times New Roman" w:hAnsiTheme="majorBidi" w:cstheme="majorBidi"/>
                <w:b/>
                <w:bCs/>
                <w:color w:val="000000"/>
              </w:rPr>
              <w:t>.</w:t>
            </w:r>
          </w:p>
        </w:tc>
      </w:tr>
      <w:tr w:rsidR="00FE3060" w:rsidRPr="00B26D47" w:rsidTr="002C044A">
        <w:trPr>
          <w:trHeight w:val="600"/>
          <w:jc w:val="center"/>
        </w:trPr>
        <w:tc>
          <w:tcPr>
            <w:tcW w:w="5267"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07" w:type="dxa"/>
            <w:tcBorders>
              <w:top w:val="single" w:sz="4" w:space="0" w:color="auto"/>
              <w:left w:val="nil"/>
              <w:bottom w:val="single" w:sz="4" w:space="0" w:color="auto"/>
              <w:right w:val="single" w:sz="4" w:space="0" w:color="auto"/>
            </w:tcBorders>
            <w:shd w:val="clear" w:color="000000" w:fill="D9D9D9"/>
            <w:vAlign w:val="center"/>
            <w:hideMark/>
          </w:tcPr>
          <w:p w:rsidR="00FE3060" w:rsidRPr="00B26D47" w:rsidRDefault="00FE3060"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CB7001" w:rsidRPr="00B26D47" w:rsidTr="002C044A">
        <w:trPr>
          <w:trHeight w:val="300"/>
          <w:jc w:val="center"/>
        </w:trPr>
        <w:tc>
          <w:tcPr>
            <w:tcW w:w="521" w:type="dxa"/>
            <w:vMerge w:val="restart"/>
            <w:tcBorders>
              <w:top w:val="nil"/>
              <w:left w:val="single" w:sz="4" w:space="0" w:color="auto"/>
              <w:bottom w:val="single" w:sz="4" w:space="0" w:color="000000"/>
              <w:right w:val="nil"/>
            </w:tcBorders>
            <w:shd w:val="clear" w:color="auto" w:fill="auto"/>
            <w:noWrap/>
            <w:vAlign w:val="center"/>
            <w:hideMark/>
          </w:tcPr>
          <w:p w:rsidR="00CB7001" w:rsidRPr="0046725D" w:rsidRDefault="002C044A"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71</w:t>
            </w:r>
          </w:p>
        </w:tc>
        <w:tc>
          <w:tcPr>
            <w:tcW w:w="4746" w:type="dxa"/>
            <w:tcBorders>
              <w:top w:val="single" w:sz="4" w:space="0" w:color="auto"/>
              <w:left w:val="single" w:sz="4" w:space="0" w:color="auto"/>
              <w:bottom w:val="nil"/>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proportion of graduate students with a Bachelor's degree who transferred:</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07" w:type="dxa"/>
            <w:vMerge w:val="restart"/>
            <w:tcBorders>
              <w:top w:val="nil"/>
              <w:left w:val="single" w:sz="4" w:space="0" w:color="auto"/>
              <w:bottom w:val="single" w:sz="4" w:space="0" w:color="000000"/>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Indicator was not previously monitored</w:t>
            </w:r>
          </w:p>
        </w:tc>
      </w:tr>
      <w:tr w:rsidR="00CB7001" w:rsidRPr="00B26D47" w:rsidTr="002C044A">
        <w:trPr>
          <w:trHeight w:val="300"/>
          <w:jc w:val="center"/>
        </w:trPr>
        <w:tc>
          <w:tcPr>
            <w:tcW w:w="521" w:type="dxa"/>
            <w:vMerge/>
            <w:tcBorders>
              <w:top w:val="nil"/>
              <w:left w:val="single" w:sz="4" w:space="0" w:color="auto"/>
              <w:bottom w:val="single" w:sz="4" w:space="0" w:color="000000"/>
              <w:right w:val="nil"/>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p>
        </w:tc>
        <w:tc>
          <w:tcPr>
            <w:tcW w:w="4746" w:type="dxa"/>
            <w:tcBorders>
              <w:top w:val="nil"/>
              <w:left w:val="single" w:sz="4" w:space="0" w:color="auto"/>
              <w:bottom w:val="nil"/>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from Bachelor's to Master's</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No data</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p>
        </w:tc>
      </w:tr>
      <w:tr w:rsidR="00CB7001" w:rsidRPr="00B26D47" w:rsidTr="002C044A">
        <w:trPr>
          <w:trHeight w:val="300"/>
          <w:jc w:val="center"/>
        </w:trPr>
        <w:tc>
          <w:tcPr>
            <w:tcW w:w="521" w:type="dxa"/>
            <w:vMerge/>
            <w:tcBorders>
              <w:top w:val="nil"/>
              <w:left w:val="single" w:sz="4" w:space="0" w:color="auto"/>
              <w:bottom w:val="single" w:sz="4" w:space="0" w:color="000000"/>
              <w:right w:val="nil"/>
            </w:tcBorders>
            <w:vAlign w:val="center"/>
            <w:hideMark/>
          </w:tcPr>
          <w:p w:rsidR="00CB7001" w:rsidRPr="0046725D" w:rsidRDefault="00CB7001" w:rsidP="005A4EEE">
            <w:pPr>
              <w:spacing w:after="0" w:line="240" w:lineRule="auto"/>
              <w:rPr>
                <w:rFonts w:asciiTheme="majorBidi" w:eastAsia="Times New Roman" w:hAnsiTheme="majorBidi" w:cstheme="majorBidi"/>
              </w:rPr>
            </w:pPr>
          </w:p>
        </w:tc>
        <w:tc>
          <w:tcPr>
            <w:tcW w:w="4746" w:type="dxa"/>
            <w:tcBorders>
              <w:top w:val="nil"/>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from Master's to doctorate (PhD)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No data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B7001" w:rsidRPr="0046725D" w:rsidRDefault="00CB7001"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07" w:type="dxa"/>
            <w:vMerge/>
            <w:tcBorders>
              <w:top w:val="nil"/>
              <w:left w:val="single" w:sz="4" w:space="0" w:color="auto"/>
              <w:bottom w:val="single" w:sz="4" w:space="0" w:color="000000"/>
              <w:right w:val="single" w:sz="4" w:space="0" w:color="auto"/>
            </w:tcBorders>
            <w:shd w:val="clear" w:color="auto" w:fill="auto"/>
            <w:vAlign w:val="center"/>
            <w:hideMark/>
          </w:tcPr>
          <w:p w:rsidR="00CB7001" w:rsidRPr="0046725D" w:rsidRDefault="00CB7001" w:rsidP="005A4EEE">
            <w:pPr>
              <w:spacing w:after="0" w:line="240" w:lineRule="auto"/>
              <w:rPr>
                <w:rFonts w:asciiTheme="majorBidi" w:eastAsia="Times New Roman" w:hAnsiTheme="majorBidi" w:cstheme="majorBidi"/>
              </w:rPr>
            </w:pP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46725D"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72</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C75B51" w:rsidRDefault="00FE3060" w:rsidP="0023340C">
            <w:pPr>
              <w:spacing w:after="0" w:line="240" w:lineRule="auto"/>
              <w:rPr>
                <w:rFonts w:asciiTheme="majorBidi" w:eastAsia="Times New Roman" w:hAnsiTheme="majorBidi" w:cstheme="majorBidi"/>
              </w:rPr>
            </w:pPr>
            <w:r w:rsidRPr="00320BE5">
              <w:rPr>
                <w:rFonts w:asciiTheme="majorBidi" w:eastAsia="Times New Roman" w:hAnsiTheme="majorBidi" w:cstheme="majorBidi"/>
              </w:rPr>
              <w:t>The number of educational and scientific laboratories equipped with modern equipment for research and development.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r>
      <w:tr w:rsidR="00FE3060"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E3060" w:rsidRPr="0046725D"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73</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FE3060" w:rsidRPr="00C75B51" w:rsidRDefault="00FE3060" w:rsidP="0023340C">
            <w:pPr>
              <w:spacing w:after="0" w:line="240" w:lineRule="auto"/>
              <w:rPr>
                <w:rFonts w:asciiTheme="majorBidi" w:eastAsia="Times New Roman" w:hAnsiTheme="majorBidi" w:cstheme="majorBidi"/>
              </w:rPr>
            </w:pPr>
            <w:r w:rsidRPr="00320BE5">
              <w:rPr>
                <w:rFonts w:asciiTheme="majorBidi" w:eastAsia="Times New Roman" w:hAnsiTheme="majorBidi" w:cstheme="majorBidi"/>
              </w:rPr>
              <w:t>The share of laboratory workers trained in modern scientific equipment (in</w:t>
            </w:r>
            <w:r w:rsidRPr="00B26D47">
              <w:rPr>
                <w:rFonts w:asciiTheme="majorBidi" w:eastAsia="Times New Roman" w:hAnsiTheme="majorBidi" w:cstheme="majorBidi"/>
              </w:rPr>
              <w:t xml:space="preserve"> </w:t>
            </w:r>
            <w:r w:rsidRPr="00320BE5">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FE3060" w:rsidRPr="00B26D47" w:rsidRDefault="00FE3060"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r>
      <w:tr w:rsidR="002C044A" w:rsidRPr="00B26D47" w:rsidTr="002C044A">
        <w:trPr>
          <w:trHeight w:val="332"/>
          <w:jc w:val="center"/>
        </w:trPr>
        <w:tc>
          <w:tcPr>
            <w:tcW w:w="5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044A"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74</w:t>
            </w:r>
          </w:p>
        </w:tc>
        <w:tc>
          <w:tcPr>
            <w:tcW w:w="4746" w:type="dxa"/>
            <w:tcBorders>
              <w:top w:val="single" w:sz="4" w:space="0" w:color="auto"/>
              <w:left w:val="nil"/>
              <w:bottom w:val="single" w:sz="4" w:space="0" w:color="auto"/>
              <w:right w:val="single" w:sz="4" w:space="0" w:color="auto"/>
            </w:tcBorders>
            <w:shd w:val="clear" w:color="auto" w:fill="auto"/>
            <w:vAlign w:val="center"/>
            <w:hideMark/>
          </w:tcPr>
          <w:p w:rsidR="002C044A" w:rsidRPr="00320BE5" w:rsidRDefault="002C044A" w:rsidP="002C044A">
            <w:pPr>
              <w:spacing w:after="0" w:line="240" w:lineRule="auto"/>
              <w:rPr>
                <w:rFonts w:asciiTheme="majorBidi" w:eastAsia="Times New Roman" w:hAnsiTheme="majorBidi" w:cstheme="majorBidi"/>
              </w:rPr>
            </w:pPr>
            <w:r>
              <w:rPr>
                <w:rFonts w:asciiTheme="majorBidi" w:eastAsia="Times New Roman" w:hAnsiTheme="majorBidi" w:cstheme="majorBidi"/>
              </w:rPr>
              <w:t>The number of new dissertation councils under the Supreme Attestation Commissions of the Republic of Tajikistan and the Russian Federation.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No data</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2207" w:type="dxa"/>
            <w:tcBorders>
              <w:top w:val="single" w:sz="4" w:space="0" w:color="auto"/>
              <w:left w:val="nil"/>
              <w:bottom w:val="single" w:sz="4" w:space="0" w:color="auto"/>
              <w:right w:val="single" w:sz="4" w:space="0" w:color="auto"/>
            </w:tcBorders>
            <w:shd w:val="clear" w:color="auto" w:fill="auto"/>
            <w:vAlign w:val="center"/>
            <w:hideMark/>
          </w:tcPr>
          <w:p w:rsidR="002C044A" w:rsidRPr="00B26D47" w:rsidRDefault="002C044A"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r>
    </w:tbl>
    <w:p w:rsidR="00B37CAD" w:rsidRDefault="00B37CAD" w:rsidP="00B37CAD">
      <w:pPr>
        <w:spacing w:after="0" w:line="240" w:lineRule="auto"/>
        <w:rPr>
          <w:lang w:val="ru-RU"/>
        </w:rPr>
      </w:pPr>
    </w:p>
    <w:p w:rsidR="0046725D" w:rsidRPr="0046725D" w:rsidRDefault="0046725D" w:rsidP="00B37CAD">
      <w:pPr>
        <w:spacing w:after="0" w:line="240" w:lineRule="auto"/>
      </w:pPr>
    </w:p>
    <w:tbl>
      <w:tblPr>
        <w:tblW w:w="14349" w:type="dxa"/>
        <w:jc w:val="center"/>
        <w:tblLook w:val="04A0"/>
      </w:tblPr>
      <w:tblGrid>
        <w:gridCol w:w="541"/>
        <w:gridCol w:w="4744"/>
        <w:gridCol w:w="1710"/>
        <w:gridCol w:w="1710"/>
        <w:gridCol w:w="1710"/>
        <w:gridCol w:w="1710"/>
        <w:gridCol w:w="2224"/>
      </w:tblGrid>
      <w:tr w:rsidR="00B37CAD" w:rsidRPr="00B26D47" w:rsidTr="0023340C">
        <w:trPr>
          <w:trHeight w:val="435"/>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262626" w:themeFill="text1" w:themeFillTint="D9"/>
            <w:vAlign w:val="center"/>
            <w:hideMark/>
          </w:tcPr>
          <w:p w:rsidR="00B37CAD" w:rsidRPr="00B26D47" w:rsidRDefault="00B37CAD" w:rsidP="0023340C">
            <w:pPr>
              <w:spacing w:after="0" w:line="240" w:lineRule="auto"/>
              <w:jc w:val="center"/>
              <w:rPr>
                <w:rFonts w:asciiTheme="majorBidi" w:eastAsia="Times New Roman" w:hAnsiTheme="majorBidi" w:cstheme="majorBidi"/>
                <w:b/>
                <w:bCs/>
                <w:color w:val="FFFFFF"/>
              </w:rPr>
            </w:pPr>
            <w:bookmarkStart w:id="5" w:name="RANGE!A1:G42"/>
            <w:r w:rsidRPr="00B26D47">
              <w:rPr>
                <w:rFonts w:asciiTheme="majorBidi" w:eastAsia="Times New Roman" w:hAnsiTheme="majorBidi" w:cstheme="majorBidi"/>
                <w:b/>
                <w:bCs/>
                <w:color w:val="FFFFFF"/>
              </w:rPr>
              <w:t xml:space="preserve">6. </w:t>
            </w:r>
            <w:bookmarkEnd w:id="5"/>
            <w:r w:rsidRPr="00B26D47">
              <w:rPr>
                <w:rFonts w:asciiTheme="majorBidi" w:eastAsia="Times New Roman" w:hAnsiTheme="majorBidi" w:cstheme="majorBidi"/>
                <w:b/>
                <w:bCs/>
                <w:color w:val="FFFFFF"/>
              </w:rPr>
              <w:t>GOVERNANCE AND FINANCING</w:t>
            </w:r>
          </w:p>
        </w:tc>
      </w:tr>
      <w:tr w:rsidR="00B37CAD" w:rsidRPr="00B26D47" w:rsidTr="0023340C">
        <w:trPr>
          <w:trHeight w:val="510"/>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Overall goal: By 2030, the governance and financing of the education system will be sustainable, efficient and transparent.</w:t>
            </w:r>
          </w:p>
        </w:tc>
      </w:tr>
      <w:tr w:rsidR="00B37CAD" w:rsidRPr="00B26D47" w:rsidTr="0023340C">
        <w:trPr>
          <w:trHeight w:val="450"/>
          <w:jc w:val="center"/>
        </w:trPr>
        <w:tc>
          <w:tcPr>
            <w:tcW w:w="14349" w:type="dxa"/>
            <w:gridSpan w:val="7"/>
            <w:tcBorders>
              <w:top w:val="single" w:sz="4" w:space="0" w:color="auto"/>
              <w:left w:val="single" w:sz="4" w:space="0" w:color="auto"/>
              <w:bottom w:val="single" w:sz="4" w:space="0" w:color="auto"/>
              <w:right w:val="single" w:sz="4" w:space="0" w:color="auto"/>
            </w:tcBorders>
            <w:shd w:val="clear" w:color="auto" w:fill="365F91" w:themeFill="accent1" w:themeFillShade="BF"/>
            <w:vAlign w:val="center"/>
            <w:hideMark/>
          </w:tcPr>
          <w:p w:rsidR="00B37CAD" w:rsidRPr="00B26D47" w:rsidRDefault="00B37CAD" w:rsidP="0023340C">
            <w:pPr>
              <w:spacing w:after="0" w:line="240" w:lineRule="auto"/>
              <w:rPr>
                <w:rFonts w:asciiTheme="majorBidi" w:eastAsia="Times New Roman" w:hAnsiTheme="majorBidi" w:cstheme="majorBidi"/>
                <w:b/>
                <w:bCs/>
                <w:color w:val="FFFFFF" w:themeColor="background1"/>
              </w:rPr>
            </w:pPr>
            <w:r w:rsidRPr="00B26D47">
              <w:rPr>
                <w:rFonts w:asciiTheme="majorBidi" w:eastAsia="Times New Roman" w:hAnsiTheme="majorBidi" w:cstheme="majorBidi"/>
                <w:b/>
                <w:bCs/>
                <w:color w:val="FFFFFF" w:themeColor="background1"/>
              </w:rPr>
              <w:t>Long-term outcome 6.1</w:t>
            </w:r>
            <w:r w:rsidR="00320BE5" w:rsidRPr="00320BE5">
              <w:rPr>
                <w:rFonts w:asciiTheme="majorBidi" w:eastAsia="Times New Roman" w:hAnsiTheme="majorBidi" w:cstheme="majorBidi"/>
                <w:b/>
                <w:bCs/>
                <w:color w:val="FFFFFF" w:themeColor="background1"/>
              </w:rPr>
              <w:t xml:space="preserve"> (</w:t>
            </w:r>
            <w:r w:rsidRPr="00B26D47">
              <w:rPr>
                <w:rFonts w:asciiTheme="majorBidi" w:eastAsia="Times New Roman" w:hAnsiTheme="majorBidi" w:cstheme="majorBidi"/>
                <w:b/>
                <w:bCs/>
                <w:color w:val="FFFFFF" w:themeColor="background1"/>
              </w:rPr>
              <w:t>Policy priority</w:t>
            </w:r>
            <w:r w:rsidR="00320BE5" w:rsidRPr="00320BE5">
              <w:rPr>
                <w:rFonts w:asciiTheme="majorBidi" w:eastAsia="Times New Roman" w:hAnsiTheme="majorBidi" w:cstheme="majorBidi"/>
                <w:b/>
                <w:bCs/>
                <w:color w:val="FFFFFF" w:themeColor="background1"/>
              </w:rPr>
              <w:t xml:space="preserve"> 1)</w:t>
            </w:r>
            <w:r w:rsidRPr="00B26D47">
              <w:rPr>
                <w:rFonts w:asciiTheme="majorBidi" w:eastAsia="Times New Roman" w:hAnsiTheme="majorBidi" w:cstheme="majorBidi"/>
                <w:b/>
                <w:bCs/>
                <w:color w:val="FFFFFF" w:themeColor="background1"/>
              </w:rPr>
              <w:t>: The effectiveness of the education sector governance system has been strengthened.</w:t>
            </w:r>
          </w:p>
        </w:tc>
      </w:tr>
      <w:tr w:rsidR="00B37CAD" w:rsidRPr="00B26D47" w:rsidTr="0023340C">
        <w:trPr>
          <w:trHeight w:val="593"/>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6.1.1: </w:t>
            </w:r>
            <w:r w:rsidR="00320BE5" w:rsidRPr="00320BE5">
              <w:rPr>
                <w:rFonts w:asciiTheme="majorBidi" w:eastAsia="Times New Roman" w:hAnsiTheme="majorBidi" w:cstheme="majorBidi"/>
                <w:b/>
                <w:bCs/>
                <w:color w:val="000000"/>
              </w:rPr>
              <w:t xml:space="preserve">Per capita (normative) financing is the main mechanism for </w:t>
            </w:r>
            <w:r w:rsidRPr="00B26D47">
              <w:rPr>
                <w:rFonts w:asciiTheme="majorBidi" w:eastAsia="Times New Roman" w:hAnsiTheme="majorBidi" w:cstheme="majorBidi"/>
                <w:b/>
                <w:bCs/>
                <w:color w:val="000000"/>
              </w:rPr>
              <w:t xml:space="preserve">the distribution of </w:t>
            </w:r>
            <w:r w:rsidR="00320BE5" w:rsidRPr="00320BE5">
              <w:rPr>
                <w:rFonts w:asciiTheme="majorBidi" w:eastAsia="Times New Roman" w:hAnsiTheme="majorBidi" w:cstheme="majorBidi"/>
                <w:b/>
                <w:bCs/>
                <w:color w:val="000000"/>
              </w:rPr>
              <w:t>budget</w:t>
            </w:r>
            <w:r w:rsidRPr="00B26D47">
              <w:rPr>
                <w:rFonts w:asciiTheme="majorBidi" w:eastAsia="Times New Roman" w:hAnsiTheme="majorBidi" w:cstheme="majorBidi"/>
                <w:b/>
                <w:bCs/>
                <w:color w:val="000000"/>
              </w:rPr>
              <w:t>ary</w:t>
            </w:r>
            <w:r w:rsidR="00320BE5" w:rsidRPr="00320BE5">
              <w:rPr>
                <w:rFonts w:asciiTheme="majorBidi" w:eastAsia="Times New Roman" w:hAnsiTheme="majorBidi" w:cstheme="majorBidi"/>
                <w:b/>
                <w:bCs/>
                <w:color w:val="000000"/>
              </w:rPr>
              <w:t xml:space="preserve"> </w:t>
            </w:r>
            <w:r w:rsidRPr="00B26D47">
              <w:rPr>
                <w:rFonts w:asciiTheme="majorBidi" w:eastAsia="Times New Roman" w:hAnsiTheme="majorBidi" w:cstheme="majorBidi"/>
                <w:b/>
                <w:bCs/>
                <w:color w:val="000000"/>
              </w:rPr>
              <w:t xml:space="preserve">resources </w:t>
            </w:r>
            <w:r w:rsidR="00320BE5" w:rsidRPr="00320BE5">
              <w:rPr>
                <w:rFonts w:asciiTheme="majorBidi" w:eastAsia="Times New Roman" w:hAnsiTheme="majorBidi" w:cstheme="majorBidi"/>
                <w:b/>
                <w:bCs/>
                <w:color w:val="000000"/>
              </w:rPr>
              <w:t>allocated to the education sector</w:t>
            </w:r>
            <w:r w:rsidRPr="00B26D47">
              <w:rPr>
                <w:rFonts w:asciiTheme="majorBidi" w:eastAsia="Times New Roman" w:hAnsiTheme="majorBidi" w:cstheme="majorBidi"/>
                <w:b/>
                <w:bCs/>
                <w:color w:val="000000"/>
              </w:rPr>
              <w:t>.</w:t>
            </w:r>
          </w:p>
        </w:tc>
      </w:tr>
      <w:tr w:rsidR="00B37CAD" w:rsidRPr="00B26D47" w:rsidTr="0023340C">
        <w:trPr>
          <w:trHeight w:val="600"/>
          <w:jc w:val="center"/>
        </w:trPr>
        <w:tc>
          <w:tcPr>
            <w:tcW w:w="528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nil"/>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nil"/>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B37CAD" w:rsidRPr="00B26D47" w:rsidTr="0023340C">
        <w:trPr>
          <w:trHeight w:val="467"/>
          <w:jc w:val="center"/>
        </w:trPr>
        <w:tc>
          <w:tcPr>
            <w:tcW w:w="54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37CAD"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75</w:t>
            </w:r>
          </w:p>
        </w:tc>
        <w:tc>
          <w:tcPr>
            <w:tcW w:w="4744" w:type="dxa"/>
            <w:tcBorders>
              <w:top w:val="single" w:sz="4" w:space="0" w:color="auto"/>
              <w:left w:val="nil"/>
              <w:bottom w:val="nil"/>
              <w:right w:val="single" w:sz="4" w:space="0" w:color="auto"/>
            </w:tcBorders>
            <w:shd w:val="clear" w:color="auto" w:fill="auto"/>
            <w:vAlign w:val="bottom"/>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Average </w:t>
            </w:r>
            <w:r w:rsidR="00E47096" w:rsidRPr="0046725D">
              <w:rPr>
                <w:rFonts w:asciiTheme="majorBidi" w:eastAsia="Times New Roman" w:hAnsiTheme="majorBidi" w:cstheme="majorBidi"/>
              </w:rPr>
              <w:t xml:space="preserve">financing </w:t>
            </w:r>
            <w:r w:rsidRPr="0046725D">
              <w:rPr>
                <w:rFonts w:asciiTheme="majorBidi" w:eastAsia="Times New Roman" w:hAnsiTheme="majorBidi" w:cstheme="majorBidi"/>
              </w:rPr>
              <w:t>normative per child, pupil or student (in somoni), including:</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2224" w:type="dxa"/>
            <w:vMerge w:val="restart"/>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 xml:space="preserve">Conforms with growth rates of </w:t>
            </w:r>
            <w:r w:rsidR="00320BE5" w:rsidRPr="00320BE5">
              <w:rPr>
                <w:rFonts w:asciiTheme="majorBidi" w:eastAsia="Times New Roman" w:hAnsiTheme="majorBidi" w:cstheme="majorBidi"/>
              </w:rPr>
              <w:t xml:space="preserve">6% </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2021-2023, 5.6% </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2024-2026</w:t>
            </w:r>
            <w:r w:rsidRPr="00B26D47">
              <w:rPr>
                <w:rFonts w:asciiTheme="majorBidi" w:eastAsia="Times New Roman" w:hAnsiTheme="majorBidi" w:cstheme="majorBidi"/>
              </w:rPr>
              <w:t>, and</w:t>
            </w:r>
            <w:r w:rsidR="00320BE5" w:rsidRPr="00320BE5">
              <w:rPr>
                <w:rFonts w:asciiTheme="majorBidi" w:eastAsia="Times New Roman" w:hAnsiTheme="majorBidi" w:cstheme="majorBidi"/>
              </w:rPr>
              <w:t xml:space="preserve"> 5.4% </w:t>
            </w:r>
            <w:r w:rsidRPr="00B26D47">
              <w:rPr>
                <w:rFonts w:asciiTheme="majorBidi" w:eastAsia="Times New Roman" w:hAnsiTheme="majorBidi" w:cstheme="majorBidi"/>
              </w:rPr>
              <w:t>in</w:t>
            </w:r>
            <w:r w:rsidR="00320BE5" w:rsidRPr="00320BE5">
              <w:rPr>
                <w:rFonts w:asciiTheme="majorBidi" w:eastAsia="Times New Roman" w:hAnsiTheme="majorBidi" w:cstheme="majorBidi"/>
              </w:rPr>
              <w:t xml:space="preserve"> 2027-2030</w:t>
            </w:r>
          </w:p>
        </w:tc>
      </w:tr>
      <w:tr w:rsidR="00B37CAD" w:rsidRPr="00B26D47" w:rsidTr="0023340C">
        <w:trPr>
          <w:trHeight w:val="89"/>
          <w:jc w:val="center"/>
        </w:trPr>
        <w:tc>
          <w:tcPr>
            <w:tcW w:w="5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44" w:type="dxa"/>
            <w:tcBorders>
              <w:top w:val="nil"/>
              <w:left w:val="nil"/>
              <w:bottom w:val="nil"/>
              <w:right w:val="single" w:sz="4" w:space="0" w:color="auto"/>
            </w:tcBorders>
            <w:shd w:val="clear" w:color="auto" w:fill="auto"/>
            <w:vAlign w:val="bottom"/>
            <w:hideMark/>
          </w:tcPr>
          <w:p w:rsidR="00B37CAD" w:rsidRPr="0046725D" w:rsidRDefault="00E47096"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preschool education</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2,541</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2,694</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2,846</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2,998</w:t>
            </w:r>
          </w:p>
        </w:tc>
        <w:tc>
          <w:tcPr>
            <w:tcW w:w="2224"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p>
        </w:tc>
      </w:tr>
      <w:tr w:rsidR="00B37CAD" w:rsidRPr="00B26D47" w:rsidTr="0023340C">
        <w:trPr>
          <w:trHeight w:val="85"/>
          <w:jc w:val="center"/>
        </w:trPr>
        <w:tc>
          <w:tcPr>
            <w:tcW w:w="5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44" w:type="dxa"/>
            <w:tcBorders>
              <w:top w:val="nil"/>
              <w:left w:val="nil"/>
              <w:bottom w:val="nil"/>
              <w:right w:val="single" w:sz="4" w:space="0" w:color="auto"/>
            </w:tcBorders>
            <w:shd w:val="clear" w:color="auto" w:fill="auto"/>
            <w:vAlign w:val="bottom"/>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w:t>
            </w:r>
            <w:r w:rsidR="00E47096" w:rsidRPr="0046725D">
              <w:rPr>
                <w:rFonts w:asciiTheme="majorBidi" w:eastAsia="Times New Roman" w:hAnsiTheme="majorBidi" w:cstheme="majorBidi"/>
              </w:rPr>
              <w:t xml:space="preserve">  - general secondary education</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1,206</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1,279</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1,351</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1,423</w:t>
            </w:r>
          </w:p>
        </w:tc>
        <w:tc>
          <w:tcPr>
            <w:tcW w:w="2224"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p>
        </w:tc>
      </w:tr>
      <w:tr w:rsidR="00B37CAD" w:rsidRPr="00B26D47" w:rsidTr="0023340C">
        <w:trPr>
          <w:trHeight w:val="251"/>
          <w:jc w:val="center"/>
        </w:trPr>
        <w:tc>
          <w:tcPr>
            <w:tcW w:w="5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44" w:type="dxa"/>
            <w:tcBorders>
              <w:top w:val="nil"/>
              <w:left w:val="nil"/>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initial vo</w:t>
            </w:r>
            <w:r w:rsidR="00E47096" w:rsidRPr="0046725D">
              <w:rPr>
                <w:rFonts w:asciiTheme="majorBidi" w:eastAsia="Times New Roman" w:hAnsiTheme="majorBidi" w:cstheme="majorBidi"/>
              </w:rPr>
              <w:t>cational education and training</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2,978</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3,157</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3,335</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3,514</w:t>
            </w:r>
          </w:p>
        </w:tc>
        <w:tc>
          <w:tcPr>
            <w:tcW w:w="2224"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p>
        </w:tc>
      </w:tr>
      <w:tr w:rsidR="00B37CAD" w:rsidRPr="00B26D47" w:rsidTr="0023340C">
        <w:trPr>
          <w:trHeight w:val="251"/>
          <w:jc w:val="center"/>
        </w:trPr>
        <w:tc>
          <w:tcPr>
            <w:tcW w:w="5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44" w:type="dxa"/>
            <w:tcBorders>
              <w:top w:val="nil"/>
              <w:left w:val="nil"/>
              <w:bottom w:val="nil"/>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secondary vo</w:t>
            </w:r>
            <w:r w:rsidR="00E47096" w:rsidRPr="0046725D">
              <w:rPr>
                <w:rFonts w:asciiTheme="majorBidi" w:eastAsia="Times New Roman" w:hAnsiTheme="majorBidi" w:cstheme="majorBidi"/>
              </w:rPr>
              <w:t>cational education and training</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2,057</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2,180</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2,303</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2,427</w:t>
            </w:r>
          </w:p>
        </w:tc>
        <w:tc>
          <w:tcPr>
            <w:tcW w:w="2224"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p>
        </w:tc>
      </w:tr>
      <w:tr w:rsidR="00B37CAD" w:rsidRPr="00B26D47" w:rsidTr="00E47096">
        <w:trPr>
          <w:trHeight w:val="197"/>
          <w:jc w:val="center"/>
        </w:trPr>
        <w:tc>
          <w:tcPr>
            <w:tcW w:w="541"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rsidR="00B37CAD" w:rsidRPr="0046725D" w:rsidRDefault="00B37CAD" w:rsidP="0023340C">
            <w:pPr>
              <w:spacing w:after="0" w:line="240" w:lineRule="auto"/>
              <w:rPr>
                <w:rFonts w:asciiTheme="majorBidi" w:eastAsia="Times New Roman" w:hAnsiTheme="majorBidi" w:cstheme="majorBidi"/>
              </w:rPr>
            </w:pPr>
          </w:p>
        </w:tc>
        <w:tc>
          <w:tcPr>
            <w:tcW w:w="4744" w:type="dxa"/>
            <w:tcBorders>
              <w:top w:val="nil"/>
              <w:left w:val="nil"/>
              <w:bottom w:val="single" w:sz="4" w:space="0" w:color="auto"/>
              <w:right w:val="single" w:sz="4" w:space="0" w:color="auto"/>
            </w:tcBorders>
            <w:shd w:val="clear" w:color="auto" w:fill="auto"/>
            <w:vAlign w:val="bottom"/>
            <w:hideMark/>
          </w:tcPr>
          <w:p w:rsidR="00B37CAD" w:rsidRPr="0046725D" w:rsidRDefault="00B37CAD"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w:t>
            </w:r>
            <w:r w:rsidR="00E47096" w:rsidRPr="0046725D">
              <w:rPr>
                <w:rFonts w:asciiTheme="majorBidi" w:eastAsia="Times New Roman" w:hAnsiTheme="majorBidi" w:cstheme="majorBidi"/>
              </w:rPr>
              <w:t>- higher professional education</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3,478</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3,687</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3,895</w:t>
            </w:r>
          </w:p>
        </w:tc>
        <w:tc>
          <w:tcPr>
            <w:tcW w:w="1710" w:type="dxa"/>
            <w:tcBorders>
              <w:top w:val="nil"/>
              <w:left w:val="nil"/>
              <w:bottom w:val="single" w:sz="4" w:space="0" w:color="auto"/>
              <w:right w:val="single" w:sz="4" w:space="0" w:color="auto"/>
            </w:tcBorders>
            <w:shd w:val="clear" w:color="auto" w:fill="auto"/>
            <w:vAlign w:val="center"/>
            <w:hideMark/>
          </w:tcPr>
          <w:p w:rsidR="00B37CAD" w:rsidRPr="0046725D" w:rsidRDefault="00B37CAD" w:rsidP="0023340C">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4,104</w:t>
            </w:r>
          </w:p>
        </w:tc>
        <w:tc>
          <w:tcPr>
            <w:tcW w:w="2224" w:type="dxa"/>
            <w:vMerge/>
            <w:tcBorders>
              <w:top w:val="nil"/>
              <w:left w:val="single" w:sz="4" w:space="0" w:color="auto"/>
              <w:bottom w:val="single" w:sz="4" w:space="0" w:color="000000"/>
              <w:right w:val="single" w:sz="4" w:space="0" w:color="auto"/>
            </w:tcBorders>
            <w:shd w:val="clear" w:color="auto" w:fill="auto"/>
            <w:vAlign w:val="center"/>
            <w:hideMark/>
          </w:tcPr>
          <w:p w:rsidR="00B37CAD" w:rsidRPr="00B26D47" w:rsidRDefault="00B37CAD" w:rsidP="0023340C">
            <w:pPr>
              <w:spacing w:after="0" w:line="240" w:lineRule="auto"/>
              <w:rPr>
                <w:rFonts w:asciiTheme="majorBidi" w:eastAsia="Times New Roman" w:hAnsiTheme="majorBidi" w:cstheme="majorBidi"/>
              </w:rPr>
            </w:pPr>
          </w:p>
        </w:tc>
      </w:tr>
      <w:tr w:rsidR="00E47096" w:rsidRPr="00B26D47" w:rsidTr="00E47096">
        <w:trPr>
          <w:trHeight w:val="548"/>
          <w:jc w:val="center"/>
        </w:trPr>
        <w:tc>
          <w:tcPr>
            <w:tcW w:w="541" w:type="dxa"/>
            <w:vMerge w:val="restart"/>
            <w:tcBorders>
              <w:top w:val="nil"/>
              <w:left w:val="single" w:sz="4" w:space="0" w:color="auto"/>
              <w:right w:val="single" w:sz="4" w:space="0" w:color="auto"/>
            </w:tcBorders>
            <w:shd w:val="clear" w:color="auto" w:fill="auto"/>
            <w:noWrap/>
            <w:vAlign w:val="center"/>
            <w:hideMark/>
          </w:tcPr>
          <w:p w:rsidR="00E47096"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76</w:t>
            </w:r>
          </w:p>
        </w:tc>
        <w:tc>
          <w:tcPr>
            <w:tcW w:w="4744" w:type="dxa"/>
            <w:tcBorders>
              <w:top w:val="single" w:sz="4" w:space="0" w:color="auto"/>
              <w:left w:val="nil"/>
              <w:right w:val="single" w:sz="4" w:space="0" w:color="auto"/>
            </w:tcBorders>
            <w:shd w:val="clear" w:color="auto" w:fill="auto"/>
            <w:vAlign w:val="bottom"/>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Average financing normative (in somoni), including:</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24" w:type="dxa"/>
            <w:vMerge w:val="restart"/>
            <w:tcBorders>
              <w:top w:val="nil"/>
              <w:left w:val="nil"/>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E47096" w:rsidRPr="00B26D47" w:rsidTr="00E47096">
        <w:trPr>
          <w:trHeight w:val="85"/>
          <w:jc w:val="center"/>
        </w:trPr>
        <w:tc>
          <w:tcPr>
            <w:tcW w:w="541" w:type="dxa"/>
            <w:vMerge/>
            <w:tcBorders>
              <w:left w:val="single" w:sz="4" w:space="0" w:color="auto"/>
              <w:right w:val="single" w:sz="4" w:space="0" w:color="auto"/>
            </w:tcBorders>
            <w:shd w:val="clear" w:color="auto" w:fill="auto"/>
            <w:noWrap/>
            <w:vAlign w:val="center"/>
            <w:hideMark/>
          </w:tcPr>
          <w:p w:rsidR="00E47096" w:rsidRPr="0046725D" w:rsidRDefault="00E47096" w:rsidP="0023340C">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bottom"/>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for preschool institutions</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153,606</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162,822</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172,038</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181,255</w:t>
            </w:r>
          </w:p>
        </w:tc>
        <w:tc>
          <w:tcPr>
            <w:tcW w:w="2224" w:type="dxa"/>
            <w:vMerge/>
            <w:tcBorders>
              <w:left w:val="nil"/>
              <w:right w:val="single" w:sz="4" w:space="0" w:color="auto"/>
            </w:tcBorders>
            <w:shd w:val="clear" w:color="auto" w:fill="auto"/>
            <w:vAlign w:val="center"/>
            <w:hideMark/>
          </w:tcPr>
          <w:p w:rsidR="00E47096" w:rsidRPr="00B26D47" w:rsidRDefault="00E47096" w:rsidP="0023340C">
            <w:pPr>
              <w:spacing w:after="0" w:line="240" w:lineRule="auto"/>
              <w:jc w:val="center"/>
              <w:rPr>
                <w:rFonts w:asciiTheme="majorBidi" w:eastAsia="Times New Roman" w:hAnsiTheme="majorBidi" w:cstheme="majorBidi"/>
              </w:rPr>
            </w:pPr>
          </w:p>
        </w:tc>
      </w:tr>
      <w:tr w:rsidR="00E47096" w:rsidRPr="00B26D47" w:rsidTr="0046725D">
        <w:trPr>
          <w:trHeight w:val="85"/>
          <w:jc w:val="center"/>
        </w:trPr>
        <w:tc>
          <w:tcPr>
            <w:tcW w:w="541" w:type="dxa"/>
            <w:vMerge/>
            <w:tcBorders>
              <w:left w:val="single" w:sz="4" w:space="0" w:color="auto"/>
              <w:bottom w:val="single" w:sz="4" w:space="0" w:color="auto"/>
              <w:right w:val="single" w:sz="4" w:space="0" w:color="auto"/>
            </w:tcBorders>
            <w:shd w:val="clear" w:color="auto" w:fill="auto"/>
            <w:noWrap/>
            <w:vAlign w:val="center"/>
            <w:hideMark/>
          </w:tcPr>
          <w:p w:rsidR="00E47096" w:rsidRPr="0046725D" w:rsidRDefault="00E47096" w:rsidP="0023340C">
            <w:pPr>
              <w:spacing w:after="0" w:line="240" w:lineRule="auto"/>
              <w:jc w:val="center"/>
              <w:rPr>
                <w:rFonts w:asciiTheme="majorBidi" w:eastAsia="Times New Roman" w:hAnsiTheme="majorBidi" w:cstheme="majorBidi"/>
              </w:rPr>
            </w:pPr>
          </w:p>
        </w:tc>
        <w:tc>
          <w:tcPr>
            <w:tcW w:w="4744" w:type="dxa"/>
            <w:tcBorders>
              <w:top w:val="nil"/>
              <w:left w:val="nil"/>
              <w:bottom w:val="single" w:sz="4" w:space="0" w:color="auto"/>
              <w:right w:val="single" w:sz="4" w:space="0" w:color="auto"/>
            </w:tcBorders>
            <w:shd w:val="clear" w:color="auto" w:fill="auto"/>
            <w:vAlign w:val="bottom"/>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for general secondary educational institutions </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91,025</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96,486</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101,948</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107,409</w:t>
            </w:r>
          </w:p>
        </w:tc>
        <w:tc>
          <w:tcPr>
            <w:tcW w:w="2224" w:type="dxa"/>
            <w:vMerge/>
            <w:tcBorders>
              <w:left w:val="nil"/>
              <w:bottom w:val="single" w:sz="4" w:space="0" w:color="auto"/>
              <w:right w:val="single" w:sz="4" w:space="0" w:color="auto"/>
            </w:tcBorders>
            <w:shd w:val="clear" w:color="auto" w:fill="auto"/>
            <w:vAlign w:val="center"/>
            <w:hideMark/>
          </w:tcPr>
          <w:p w:rsidR="00E47096" w:rsidRPr="00B26D47" w:rsidRDefault="00E47096" w:rsidP="0023340C">
            <w:pPr>
              <w:spacing w:after="0" w:line="240" w:lineRule="auto"/>
              <w:jc w:val="center"/>
              <w:rPr>
                <w:rFonts w:asciiTheme="majorBidi" w:eastAsia="Times New Roman" w:hAnsiTheme="majorBidi" w:cstheme="majorBidi"/>
              </w:rPr>
            </w:pPr>
          </w:p>
        </w:tc>
      </w:tr>
      <w:tr w:rsidR="00E47096" w:rsidRPr="00B26D47" w:rsidTr="0046725D">
        <w:trPr>
          <w:trHeight w:val="89"/>
          <w:jc w:val="center"/>
        </w:trPr>
        <w:tc>
          <w:tcPr>
            <w:tcW w:w="541" w:type="dxa"/>
            <w:vMerge w:val="restart"/>
            <w:tcBorders>
              <w:top w:val="nil"/>
              <w:left w:val="single" w:sz="4" w:space="0" w:color="auto"/>
              <w:right w:val="single" w:sz="4" w:space="0" w:color="auto"/>
            </w:tcBorders>
            <w:shd w:val="clear" w:color="auto" w:fill="auto"/>
            <w:noWrap/>
            <w:vAlign w:val="center"/>
            <w:hideMark/>
          </w:tcPr>
          <w:p w:rsidR="00E47096"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77</w:t>
            </w:r>
          </w:p>
        </w:tc>
        <w:tc>
          <w:tcPr>
            <w:tcW w:w="4744" w:type="dxa"/>
            <w:tcBorders>
              <w:top w:val="single" w:sz="4" w:space="0" w:color="auto"/>
              <w:left w:val="nil"/>
              <w:right w:val="single" w:sz="4" w:space="0" w:color="auto"/>
            </w:tcBorders>
            <w:shd w:val="clear" w:color="auto" w:fill="auto"/>
            <w:vAlign w:val="center"/>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Implementation of normative per-capita financing in the remaining levels of education, including:</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2224" w:type="dxa"/>
            <w:vMerge w:val="restart"/>
            <w:tcBorders>
              <w:top w:val="nil"/>
              <w:left w:val="nil"/>
              <w:right w:val="single" w:sz="4" w:space="0" w:color="auto"/>
            </w:tcBorders>
            <w:shd w:val="clear" w:color="auto" w:fill="auto"/>
            <w:vAlign w:val="center"/>
            <w:hideMark/>
          </w:tcPr>
          <w:p w:rsidR="00E47096" w:rsidRPr="0046725D" w:rsidRDefault="00E4709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E47096" w:rsidRPr="00B26D47" w:rsidTr="0046725D">
        <w:trPr>
          <w:trHeight w:val="89"/>
          <w:jc w:val="center"/>
        </w:trPr>
        <w:tc>
          <w:tcPr>
            <w:tcW w:w="541" w:type="dxa"/>
            <w:vMerge/>
            <w:tcBorders>
              <w:left w:val="single" w:sz="4" w:space="0" w:color="auto"/>
              <w:right w:val="single" w:sz="4" w:space="0" w:color="auto"/>
            </w:tcBorders>
            <w:shd w:val="clear" w:color="auto" w:fill="auto"/>
            <w:noWrap/>
            <w:vAlign w:val="center"/>
            <w:hideMark/>
          </w:tcPr>
          <w:p w:rsidR="00E47096" w:rsidRPr="0046725D" w:rsidRDefault="00E47096" w:rsidP="0023340C">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primary/secondary professional education</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No PCF in IVET or SVET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Scoping analysis is carried out re: feasibility of PCF in IVET/SVET</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Regulatory framework is developed and piloting has been initiated</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PCF is fully implemented in IVET and SVET</w:t>
            </w:r>
          </w:p>
        </w:tc>
        <w:tc>
          <w:tcPr>
            <w:tcW w:w="2224" w:type="dxa"/>
            <w:vMerge/>
            <w:tcBorders>
              <w:left w:val="nil"/>
              <w:right w:val="single" w:sz="4" w:space="0" w:color="auto"/>
            </w:tcBorders>
            <w:shd w:val="clear" w:color="auto" w:fill="auto"/>
            <w:vAlign w:val="center"/>
            <w:hideMark/>
          </w:tcPr>
          <w:p w:rsidR="00E47096" w:rsidRPr="00E47096" w:rsidRDefault="00E47096" w:rsidP="0023340C">
            <w:pPr>
              <w:spacing w:after="0" w:line="240" w:lineRule="auto"/>
              <w:jc w:val="center"/>
              <w:rPr>
                <w:rFonts w:asciiTheme="majorBidi" w:eastAsia="Times New Roman" w:hAnsiTheme="majorBidi" w:cstheme="majorBidi"/>
              </w:rPr>
            </w:pPr>
          </w:p>
        </w:tc>
      </w:tr>
      <w:tr w:rsidR="00E47096" w:rsidRPr="00B26D47" w:rsidTr="00E47096">
        <w:trPr>
          <w:trHeight w:val="89"/>
          <w:jc w:val="center"/>
        </w:trPr>
        <w:tc>
          <w:tcPr>
            <w:tcW w:w="541" w:type="dxa"/>
            <w:vMerge/>
            <w:tcBorders>
              <w:left w:val="single" w:sz="4" w:space="0" w:color="auto"/>
              <w:bottom w:val="single" w:sz="4" w:space="0" w:color="auto"/>
              <w:right w:val="single" w:sz="4" w:space="0" w:color="auto"/>
            </w:tcBorders>
            <w:shd w:val="clear" w:color="auto" w:fill="auto"/>
            <w:noWrap/>
            <w:vAlign w:val="center"/>
            <w:hideMark/>
          </w:tcPr>
          <w:p w:rsidR="00E47096" w:rsidRPr="0046725D" w:rsidRDefault="00E47096" w:rsidP="0023340C">
            <w:pPr>
              <w:spacing w:after="0" w:line="240" w:lineRule="auto"/>
              <w:jc w:val="center"/>
              <w:rPr>
                <w:rFonts w:asciiTheme="majorBidi" w:eastAsia="Times New Roman" w:hAnsiTheme="majorBidi" w:cstheme="majorBidi"/>
              </w:rPr>
            </w:pPr>
          </w:p>
        </w:tc>
        <w:tc>
          <w:tcPr>
            <w:tcW w:w="4744"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higher professional education</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No PCF in HEIs</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Scoping analysis is carried out re: feasibility of PCF in HEIs</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Regulatory framework is developed and piloting has been initiated</w:t>
            </w:r>
          </w:p>
        </w:tc>
        <w:tc>
          <w:tcPr>
            <w:tcW w:w="1710" w:type="dxa"/>
            <w:tcBorders>
              <w:top w:val="nil"/>
              <w:left w:val="nil"/>
              <w:bottom w:val="single" w:sz="4" w:space="0" w:color="auto"/>
              <w:right w:val="single" w:sz="4" w:space="0" w:color="auto"/>
            </w:tcBorders>
            <w:shd w:val="clear" w:color="auto" w:fill="auto"/>
            <w:vAlign w:val="center"/>
            <w:hideMark/>
          </w:tcPr>
          <w:p w:rsidR="00E47096" w:rsidRPr="0046725D" w:rsidRDefault="00E47096" w:rsidP="00E47096">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PCF is fully implemented in HEIs (i.e. higher professional education)</w:t>
            </w:r>
          </w:p>
        </w:tc>
        <w:tc>
          <w:tcPr>
            <w:tcW w:w="2224" w:type="dxa"/>
            <w:vMerge/>
            <w:tcBorders>
              <w:left w:val="nil"/>
              <w:bottom w:val="single" w:sz="4" w:space="0" w:color="auto"/>
              <w:right w:val="single" w:sz="4" w:space="0" w:color="auto"/>
            </w:tcBorders>
            <w:shd w:val="clear" w:color="auto" w:fill="auto"/>
            <w:vAlign w:val="center"/>
            <w:hideMark/>
          </w:tcPr>
          <w:p w:rsidR="00E47096" w:rsidRPr="00E47096" w:rsidRDefault="00E47096" w:rsidP="0023340C">
            <w:pPr>
              <w:spacing w:after="0" w:line="240" w:lineRule="auto"/>
              <w:jc w:val="center"/>
              <w:rPr>
                <w:rFonts w:asciiTheme="majorBidi" w:eastAsia="Times New Roman" w:hAnsiTheme="majorBidi" w:cstheme="majorBidi"/>
              </w:rPr>
            </w:pPr>
          </w:p>
        </w:tc>
      </w:tr>
      <w:tr w:rsidR="00B37CAD" w:rsidRPr="00B26D47" w:rsidTr="0023340C">
        <w:trPr>
          <w:trHeight w:val="395"/>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B37CAD" w:rsidRPr="00B26D47" w:rsidRDefault="00B37CAD"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6.1.2: </w:t>
            </w:r>
            <w:r w:rsidR="00320BE5" w:rsidRPr="00320BE5">
              <w:rPr>
                <w:rFonts w:asciiTheme="majorBidi" w:eastAsia="Times New Roman" w:hAnsiTheme="majorBidi" w:cstheme="majorBidi"/>
                <w:b/>
                <w:bCs/>
                <w:color w:val="000000"/>
              </w:rPr>
              <w:t>A multi-channel financing system is widely used at all levels of the education sector</w:t>
            </w:r>
            <w:r w:rsidRPr="00B26D47">
              <w:rPr>
                <w:rFonts w:asciiTheme="majorBidi" w:eastAsia="Times New Roman" w:hAnsiTheme="majorBidi" w:cstheme="majorBidi"/>
                <w:b/>
                <w:bCs/>
                <w:color w:val="000000"/>
              </w:rPr>
              <w:t>.</w:t>
            </w:r>
          </w:p>
        </w:tc>
      </w:tr>
      <w:tr w:rsidR="00B37CAD" w:rsidRPr="00B26D47" w:rsidTr="0023340C">
        <w:trPr>
          <w:trHeight w:val="600"/>
          <w:jc w:val="center"/>
        </w:trPr>
        <w:tc>
          <w:tcPr>
            <w:tcW w:w="528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single" w:sz="4" w:space="0" w:color="auto"/>
              <w:left w:val="nil"/>
              <w:bottom w:val="single" w:sz="4" w:space="0" w:color="auto"/>
              <w:right w:val="single" w:sz="4" w:space="0" w:color="auto"/>
            </w:tcBorders>
            <w:shd w:val="clear" w:color="000000" w:fill="D9D9D9"/>
            <w:vAlign w:val="center"/>
            <w:hideMark/>
          </w:tcPr>
          <w:p w:rsidR="00B37CAD" w:rsidRPr="00B26D47" w:rsidRDefault="00B37CAD"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F80452" w:rsidRPr="00B26D47" w:rsidTr="005A4EEE">
        <w:trPr>
          <w:trHeight w:val="116"/>
          <w:jc w:val="center"/>
        </w:trPr>
        <w:tc>
          <w:tcPr>
            <w:tcW w:w="541" w:type="dxa"/>
            <w:vMerge w:val="restart"/>
            <w:tcBorders>
              <w:top w:val="nil"/>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78</w:t>
            </w:r>
          </w:p>
        </w:tc>
        <w:tc>
          <w:tcPr>
            <w:tcW w:w="4744"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General government spending on the education sector, including the Public Investment Program and special funds, including:</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c>
          <w:tcPr>
            <w:tcW w:w="2224" w:type="dxa"/>
            <w:vMerge w:val="restart"/>
            <w:tcBorders>
              <w:top w:val="nil"/>
              <w:left w:val="nil"/>
              <w:right w:val="single" w:sz="4" w:space="0" w:color="auto"/>
            </w:tcBorders>
            <w:shd w:val="clear" w:color="auto" w:fill="auto"/>
            <w:vAlign w:val="center"/>
            <w:hideMark/>
          </w:tcPr>
          <w:p w:rsidR="00F80452" w:rsidRDefault="00F8045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Contributes to</w:t>
            </w:r>
          </w:p>
          <w:p w:rsidR="00F80452"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SDG </w:t>
            </w:r>
            <w:r>
              <w:rPr>
                <w:rFonts w:asciiTheme="majorBidi" w:eastAsia="Times New Roman" w:hAnsiTheme="majorBidi" w:cstheme="majorBidi"/>
              </w:rPr>
              <w:t xml:space="preserve">Indicator </w:t>
            </w:r>
            <w:r w:rsidRPr="0046725D">
              <w:rPr>
                <w:rFonts w:asciiTheme="majorBidi" w:eastAsia="Times New Roman" w:hAnsiTheme="majorBidi" w:cstheme="majorBidi"/>
              </w:rPr>
              <w:t>9.5.1</w:t>
            </w:r>
          </w:p>
          <w:p w:rsidR="00F80452" w:rsidRDefault="00F80452" w:rsidP="005A4EEE">
            <w:pPr>
              <w:spacing w:after="0" w:line="240" w:lineRule="auto"/>
              <w:jc w:val="center"/>
              <w:rPr>
                <w:rFonts w:asciiTheme="majorBidi" w:eastAsia="Times New Roman" w:hAnsiTheme="majorBidi" w:cstheme="majorBidi"/>
              </w:rPr>
            </w:pPr>
          </w:p>
          <w:p w:rsidR="00F80452" w:rsidRPr="0046725D" w:rsidRDefault="00F8045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 xml:space="preserve">Annual (or three-year) </w:t>
            </w:r>
            <w:r w:rsidRPr="0046725D">
              <w:rPr>
                <w:rFonts w:asciiTheme="majorBidi" w:eastAsia="Times New Roman" w:hAnsiTheme="majorBidi" w:cstheme="majorBidi"/>
              </w:rPr>
              <w:t>averages</w:t>
            </w:r>
            <w:r>
              <w:rPr>
                <w:rFonts w:asciiTheme="majorBidi" w:eastAsia="Times New Roman" w:hAnsiTheme="majorBidi" w:cstheme="majorBidi"/>
              </w:rPr>
              <w:t>, unless otherwise stated</w:t>
            </w:r>
          </w:p>
        </w:tc>
      </w:tr>
      <w:tr w:rsidR="00F80452" w:rsidRPr="00B26D47" w:rsidTr="005A4EEE">
        <w:trPr>
          <w:trHeight w:val="116"/>
          <w:jc w:val="center"/>
        </w:trPr>
        <w:tc>
          <w:tcPr>
            <w:tcW w:w="541" w:type="dxa"/>
            <w:vMerge/>
            <w:tcBorders>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 of GDP</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5.4%</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 xml:space="preserve">6.0% </w:t>
            </w:r>
            <w:r w:rsidRPr="0046725D">
              <w:rPr>
                <w:rFonts w:asciiTheme="majorBidi" w:eastAsia="Times New Roman" w:hAnsiTheme="majorBidi" w:cstheme="majorBidi"/>
              </w:rPr>
              <w:t>per year</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 xml:space="preserve">6.5% </w:t>
            </w:r>
            <w:r w:rsidRPr="0046725D">
              <w:rPr>
                <w:rFonts w:asciiTheme="majorBidi" w:eastAsia="Times New Roman" w:hAnsiTheme="majorBidi" w:cstheme="majorBidi"/>
              </w:rPr>
              <w:t>per year</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 xml:space="preserve">7.0% </w:t>
            </w:r>
            <w:r w:rsidRPr="0046725D">
              <w:rPr>
                <w:rFonts w:asciiTheme="majorBidi" w:eastAsia="Times New Roman" w:hAnsiTheme="majorBidi" w:cstheme="majorBidi"/>
              </w:rPr>
              <w:t>per year</w:t>
            </w:r>
          </w:p>
        </w:tc>
        <w:tc>
          <w:tcPr>
            <w:tcW w:w="2224" w:type="dxa"/>
            <w:vMerge/>
            <w:tcBorders>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r>
      <w:tr w:rsidR="00F80452" w:rsidRPr="00B26D47" w:rsidTr="005A4EEE">
        <w:trPr>
          <w:trHeight w:val="116"/>
          <w:jc w:val="center"/>
        </w:trPr>
        <w:tc>
          <w:tcPr>
            <w:tcW w:w="541" w:type="dxa"/>
            <w:vMerge/>
            <w:tcBorders>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in % of general government budget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1</w:t>
            </w:r>
            <w:r w:rsidRPr="0046725D">
              <w:rPr>
                <w:rFonts w:asciiTheme="majorBidi" w:eastAsia="Times New Roman" w:hAnsiTheme="majorBidi" w:cstheme="majorBidi"/>
              </w:rPr>
              <w:t>5</w:t>
            </w:r>
            <w:r w:rsidRPr="0046725D">
              <w:rPr>
                <w:rFonts w:asciiTheme="majorBidi" w:eastAsia="Times New Roman" w:hAnsiTheme="majorBidi" w:cstheme="majorBidi"/>
                <w:lang w:val="ru-RU"/>
              </w:rPr>
              <w:t>.</w:t>
            </w:r>
            <w:r w:rsidRPr="0046725D">
              <w:rPr>
                <w:rFonts w:asciiTheme="majorBidi" w:eastAsia="Times New Roman" w:hAnsiTheme="majorBidi" w:cstheme="majorBidi"/>
              </w:rPr>
              <w:t>3</w:t>
            </w:r>
            <w:r w:rsidRPr="0046725D">
              <w:rPr>
                <w:rFonts w:asciiTheme="majorBidi" w:eastAsia="Times New Roman" w:hAnsiTheme="majorBidi" w:cstheme="majorBidi"/>
                <w:lang w:val="ru-RU"/>
              </w:rPr>
              <w: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18</w:t>
            </w:r>
            <w:r w:rsidRPr="0046725D">
              <w:rPr>
                <w:rFonts w:asciiTheme="majorBidi" w:eastAsia="Times New Roman" w:hAnsiTheme="majorBidi" w:cstheme="majorBidi"/>
                <w:lang w:val="ru-RU"/>
              </w:rPr>
              <w:t>.0%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21.0%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2</w:t>
            </w:r>
            <w:r w:rsidRPr="0046725D">
              <w:rPr>
                <w:rFonts w:asciiTheme="majorBidi" w:eastAsia="Times New Roman" w:hAnsiTheme="majorBidi" w:cstheme="majorBidi"/>
              </w:rPr>
              <w:t>4.0</w:t>
            </w:r>
            <w:r w:rsidRPr="0046725D">
              <w:rPr>
                <w:rFonts w:asciiTheme="majorBidi" w:eastAsia="Times New Roman" w:hAnsiTheme="majorBidi" w:cstheme="majorBidi"/>
                <w:lang w:val="ru-RU"/>
              </w:rPr>
              <w:t>%</w:t>
            </w:r>
          </w:p>
        </w:tc>
        <w:tc>
          <w:tcPr>
            <w:tcW w:w="2224" w:type="dxa"/>
            <w:vMerge/>
            <w:tcBorders>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r>
      <w:tr w:rsidR="00F80452" w:rsidRPr="00B26D47" w:rsidTr="005A4EEE">
        <w:trPr>
          <w:trHeight w:val="116"/>
          <w:jc w:val="center"/>
        </w:trPr>
        <w:tc>
          <w:tcPr>
            <w:tcW w:w="541" w:type="dxa"/>
            <w:vMerge/>
            <w:tcBorders>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spending on R&amp;D in % of education budget</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r w:rsidRPr="0046725D">
              <w:rPr>
                <w:rFonts w:asciiTheme="majorBidi" w:eastAsia="Times New Roman" w:hAnsiTheme="majorBidi" w:cstheme="majorBidi"/>
                <w:lang w:val="ru-RU"/>
              </w:rPr>
              <w:t>2</w:t>
            </w:r>
            <w:r w:rsidRPr="0046725D">
              <w:rPr>
                <w:rFonts w:asciiTheme="majorBidi" w:eastAsia="Times New Roman" w:hAnsiTheme="majorBidi" w:cstheme="majorBidi"/>
              </w:rPr>
              <w:t>3%</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At least</w:t>
            </w:r>
            <w:r w:rsidRPr="0046725D">
              <w:rPr>
                <w:rFonts w:asciiTheme="majorBidi" w:eastAsia="Times New Roman" w:hAnsiTheme="majorBidi" w:cstheme="majorBidi"/>
                <w:lang w:val="ru-RU"/>
              </w:rPr>
              <w:t xml:space="preserve"> 1.0%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At least</w:t>
            </w:r>
            <w:r w:rsidRPr="0046725D">
              <w:rPr>
                <w:rFonts w:asciiTheme="majorBidi" w:eastAsia="Times New Roman" w:hAnsiTheme="majorBidi" w:cstheme="majorBidi"/>
                <w:lang w:val="ru-RU"/>
              </w:rPr>
              <w:t xml:space="preserve"> 1.2%</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rPr>
              <w:t>At least</w:t>
            </w:r>
            <w:r w:rsidRPr="0046725D">
              <w:rPr>
                <w:rFonts w:asciiTheme="majorBidi" w:eastAsia="Times New Roman" w:hAnsiTheme="majorBidi" w:cstheme="majorBidi"/>
                <w:lang w:val="ru-RU"/>
              </w:rPr>
              <w:t xml:space="preserve"> 1.5%</w:t>
            </w:r>
          </w:p>
        </w:tc>
        <w:tc>
          <w:tcPr>
            <w:tcW w:w="2224" w:type="dxa"/>
            <w:vMerge/>
            <w:tcBorders>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r>
      <w:tr w:rsidR="00F80452" w:rsidRPr="00B26D47" w:rsidTr="005A4EEE">
        <w:trPr>
          <w:trHeight w:val="116"/>
          <w:jc w:val="center"/>
        </w:trPr>
        <w:tc>
          <w:tcPr>
            <w:tcW w:w="541" w:type="dxa"/>
            <w:vMerge/>
            <w:tcBorders>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annual outturn as a share of approved plan</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97.0%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98.0%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99.0%</w:t>
            </w:r>
          </w:p>
        </w:tc>
        <w:tc>
          <w:tcPr>
            <w:tcW w:w="1710" w:type="dxa"/>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100.0%</w:t>
            </w:r>
          </w:p>
        </w:tc>
        <w:tc>
          <w:tcPr>
            <w:tcW w:w="2224" w:type="dxa"/>
            <w:vMerge/>
            <w:tcBorders>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p>
        </w:tc>
      </w:tr>
      <w:tr w:rsidR="00F80452" w:rsidRPr="00B26D47" w:rsidTr="005A4EEE">
        <w:trPr>
          <w:trHeight w:val="260"/>
          <w:jc w:val="center"/>
        </w:trPr>
        <w:tc>
          <w:tcPr>
            <w:tcW w:w="541" w:type="dxa"/>
            <w:vMerge w:val="restart"/>
            <w:tcBorders>
              <w:top w:val="single" w:sz="4" w:space="0" w:color="auto"/>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79</w:t>
            </w:r>
          </w:p>
        </w:tc>
        <w:tc>
          <w:tcPr>
            <w:tcW w:w="4744" w:type="dxa"/>
            <w:tcBorders>
              <w:top w:val="single" w:sz="4" w:space="0" w:color="auto"/>
              <w:left w:val="single" w:sz="4" w:space="0" w:color="auto"/>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General government spending per child, pupil or student (in % of GDP per capita), including: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33.9%</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36.0%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38.0%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40.0%</w:t>
            </w:r>
          </w:p>
        </w:tc>
        <w:tc>
          <w:tcPr>
            <w:tcW w:w="2224" w:type="dxa"/>
            <w:vMerge w:val="restart"/>
            <w:tcBorders>
              <w:top w:val="single" w:sz="4" w:space="0" w:color="auto"/>
              <w:left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Estimations account for anticipated change/growth in per-capita GDP</w:t>
            </w:r>
          </w:p>
        </w:tc>
      </w:tr>
      <w:tr w:rsidR="00F80452" w:rsidRPr="00B26D47" w:rsidTr="005A4EEE">
        <w:trPr>
          <w:trHeight w:val="170"/>
          <w:jc w:val="center"/>
        </w:trPr>
        <w:tc>
          <w:tcPr>
            <w:tcW w:w="541" w:type="dxa"/>
            <w:vMerge/>
            <w:tcBorders>
              <w:left w:val="single" w:sz="4" w:space="0" w:color="auto"/>
              <w:right w:val="single" w:sz="4" w:space="0" w:color="auto"/>
            </w:tcBorders>
            <w:shd w:val="clear" w:color="auto" w:fill="auto"/>
            <w:noWrap/>
            <w:vAlign w:val="center"/>
            <w:hideMark/>
          </w:tcPr>
          <w:p w:rsidR="00F80452" w:rsidRPr="00B26D47" w:rsidRDefault="00F80452" w:rsidP="005A4EEE">
            <w:pPr>
              <w:spacing w:after="0" w:line="240" w:lineRule="auto"/>
              <w:jc w:val="center"/>
              <w:rPr>
                <w:rFonts w:asciiTheme="majorBidi" w:eastAsia="Times New Roman" w:hAnsiTheme="majorBidi" w:cstheme="majorBidi"/>
              </w:rPr>
            </w:pPr>
          </w:p>
        </w:tc>
        <w:tc>
          <w:tcPr>
            <w:tcW w:w="4744" w:type="dxa"/>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preschool education (including </w:t>
            </w:r>
            <w:r>
              <w:rPr>
                <w:rFonts w:asciiTheme="majorBidi" w:eastAsia="Times New Roman" w:hAnsiTheme="majorBidi" w:cstheme="majorBidi"/>
              </w:rPr>
              <w:t>CDCs</w:t>
            </w:r>
            <w:r w:rsidRPr="00B26D47">
              <w:rPr>
                <w:rFonts w:asciiTheme="majorBidi" w:eastAsia="Times New Roman" w:hAnsiTheme="majorBidi" w:cstheme="majorBidi"/>
              </w:rPr>
              <w: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20.5%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22.0%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24.0%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26.0%</w:t>
            </w:r>
          </w:p>
        </w:tc>
        <w:tc>
          <w:tcPr>
            <w:tcW w:w="2224" w:type="dxa"/>
            <w:vMerge/>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170"/>
          <w:jc w:val="center"/>
        </w:trPr>
        <w:tc>
          <w:tcPr>
            <w:tcW w:w="541" w:type="dxa"/>
            <w:vMerge/>
            <w:tcBorders>
              <w:left w:val="single" w:sz="4" w:space="0" w:color="auto"/>
              <w:right w:val="single" w:sz="4" w:space="0" w:color="auto"/>
            </w:tcBorders>
            <w:shd w:val="clear" w:color="auto" w:fill="auto"/>
            <w:noWrap/>
            <w:vAlign w:val="center"/>
            <w:hideMark/>
          </w:tcPr>
          <w:p w:rsidR="00F80452" w:rsidRPr="00B26D47" w:rsidRDefault="00F80452" w:rsidP="005A4EEE">
            <w:pPr>
              <w:spacing w:after="0" w:line="240" w:lineRule="auto"/>
              <w:jc w:val="center"/>
              <w:rPr>
                <w:rFonts w:asciiTheme="majorBidi" w:eastAsia="Times New Roman" w:hAnsiTheme="majorBidi" w:cstheme="majorBidi"/>
              </w:rPr>
            </w:pPr>
          </w:p>
        </w:tc>
        <w:tc>
          <w:tcPr>
            <w:tcW w:w="4744" w:type="dxa"/>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general secondary education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16.2%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18.0%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20.0%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22.0%</w:t>
            </w:r>
          </w:p>
        </w:tc>
        <w:tc>
          <w:tcPr>
            <w:tcW w:w="2224" w:type="dxa"/>
            <w:vMerge/>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170"/>
          <w:jc w:val="center"/>
        </w:trPr>
        <w:tc>
          <w:tcPr>
            <w:tcW w:w="541" w:type="dxa"/>
            <w:vMerge/>
            <w:tcBorders>
              <w:left w:val="single" w:sz="4" w:space="0" w:color="auto"/>
              <w:right w:val="single" w:sz="4" w:space="0" w:color="auto"/>
            </w:tcBorders>
            <w:shd w:val="clear" w:color="auto" w:fill="auto"/>
            <w:noWrap/>
            <w:vAlign w:val="center"/>
            <w:hideMark/>
          </w:tcPr>
          <w:p w:rsidR="00F80452" w:rsidRPr="00B26D47" w:rsidRDefault="00F80452" w:rsidP="005A4EEE">
            <w:pPr>
              <w:spacing w:after="0" w:line="240" w:lineRule="auto"/>
              <w:jc w:val="center"/>
              <w:rPr>
                <w:rFonts w:asciiTheme="majorBidi" w:eastAsia="Times New Roman" w:hAnsiTheme="majorBidi" w:cstheme="majorBidi"/>
              </w:rPr>
            </w:pPr>
          </w:p>
        </w:tc>
        <w:tc>
          <w:tcPr>
            <w:tcW w:w="4744" w:type="dxa"/>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initial vocational education and training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36.6%</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38.0%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40.0%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42.0%</w:t>
            </w:r>
          </w:p>
        </w:tc>
        <w:tc>
          <w:tcPr>
            <w:tcW w:w="2224" w:type="dxa"/>
            <w:vMerge/>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170"/>
          <w:jc w:val="center"/>
        </w:trPr>
        <w:tc>
          <w:tcPr>
            <w:tcW w:w="541" w:type="dxa"/>
            <w:vMerge/>
            <w:tcBorders>
              <w:left w:val="single" w:sz="4" w:space="0" w:color="auto"/>
              <w:right w:val="single" w:sz="4" w:space="0" w:color="auto"/>
            </w:tcBorders>
            <w:shd w:val="clear" w:color="auto" w:fill="auto"/>
            <w:noWrap/>
            <w:vAlign w:val="center"/>
            <w:hideMark/>
          </w:tcPr>
          <w:p w:rsidR="00F80452" w:rsidRPr="00B26D47" w:rsidRDefault="00F80452" w:rsidP="005A4EEE">
            <w:pPr>
              <w:spacing w:after="0" w:line="240" w:lineRule="auto"/>
              <w:jc w:val="center"/>
              <w:rPr>
                <w:rFonts w:asciiTheme="majorBidi" w:eastAsia="Times New Roman" w:hAnsiTheme="majorBidi" w:cstheme="majorBidi"/>
              </w:rPr>
            </w:pPr>
          </w:p>
        </w:tc>
        <w:tc>
          <w:tcPr>
            <w:tcW w:w="4744" w:type="dxa"/>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secondary vocational education and training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25.3%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27.0%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29.0%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31.0%</w:t>
            </w:r>
          </w:p>
        </w:tc>
        <w:tc>
          <w:tcPr>
            <w:tcW w:w="2224" w:type="dxa"/>
            <w:vMerge/>
            <w:tcBorders>
              <w:left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170"/>
          <w:jc w:val="center"/>
        </w:trPr>
        <w:tc>
          <w:tcPr>
            <w:tcW w:w="541" w:type="dxa"/>
            <w:vMerge/>
            <w:tcBorders>
              <w:left w:val="single" w:sz="4" w:space="0" w:color="auto"/>
              <w:bottom w:val="single" w:sz="4" w:space="0" w:color="auto"/>
              <w:right w:val="single" w:sz="4" w:space="0" w:color="auto"/>
            </w:tcBorders>
            <w:shd w:val="clear" w:color="auto" w:fill="auto"/>
            <w:noWrap/>
            <w:vAlign w:val="center"/>
            <w:hideMark/>
          </w:tcPr>
          <w:p w:rsidR="00F80452" w:rsidRPr="00B26D47" w:rsidRDefault="00F80452" w:rsidP="005A4EEE">
            <w:pPr>
              <w:spacing w:after="0" w:line="240" w:lineRule="auto"/>
              <w:jc w:val="center"/>
              <w:rPr>
                <w:rFonts w:asciiTheme="majorBidi" w:eastAsia="Times New Roman" w:hAnsiTheme="majorBidi" w:cstheme="majorBidi"/>
              </w:rPr>
            </w:pPr>
          </w:p>
        </w:tc>
        <w:tc>
          <w:tcPr>
            <w:tcW w:w="4744" w:type="dxa"/>
            <w:tcBorders>
              <w:left w:val="single" w:sz="4" w:space="0" w:color="auto"/>
              <w:bottom w:val="single" w:sz="4" w:space="0" w:color="auto"/>
              <w:right w:val="single" w:sz="4" w:space="0" w:color="auto"/>
            </w:tcBorders>
            <w:shd w:val="clear" w:color="auto" w:fill="auto"/>
            <w:vAlign w:val="center"/>
            <w:hideMark/>
          </w:tcPr>
          <w:p w:rsidR="00F80452" w:rsidRPr="00CB073D"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in higher professional education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42.8%</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44.0%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46.0%</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48.0%</w:t>
            </w:r>
          </w:p>
        </w:tc>
        <w:tc>
          <w:tcPr>
            <w:tcW w:w="2224" w:type="dxa"/>
            <w:vMerge/>
            <w:tcBorders>
              <w:left w:val="single" w:sz="4" w:space="0" w:color="auto"/>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800"/>
          <w:jc w:val="center"/>
        </w:trPr>
        <w:tc>
          <w:tcPr>
            <w:tcW w:w="541" w:type="dxa"/>
            <w:vMerge w:val="restart"/>
            <w:tcBorders>
              <w:top w:val="nil"/>
              <w:left w:val="single" w:sz="4" w:space="0" w:color="auto"/>
              <w:right w:val="single" w:sz="4" w:space="0" w:color="auto"/>
            </w:tcBorders>
            <w:shd w:val="clear" w:color="auto" w:fill="auto"/>
            <w:noWrap/>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Pr>
                <w:rFonts w:asciiTheme="majorBidi" w:eastAsia="Times New Roman" w:hAnsiTheme="majorBidi" w:cstheme="majorBidi"/>
              </w:rPr>
              <w:t>80</w:t>
            </w:r>
          </w:p>
        </w:tc>
        <w:tc>
          <w:tcPr>
            <w:tcW w:w="4744" w:type="dxa"/>
            <w:tcBorders>
              <w:top w:val="single" w:sz="4" w:space="0" w:color="auto"/>
              <w:left w:val="nil"/>
              <w:right w:val="single" w:sz="4" w:space="0" w:color="auto"/>
            </w:tcBorders>
            <w:shd w:val="clear" w:color="auto" w:fill="auto"/>
            <w:vAlign w:val="center"/>
            <w:hideMark/>
          </w:tcPr>
          <w:p w:rsidR="00F80452" w:rsidRPr="0046725D" w:rsidRDefault="00F80452" w:rsidP="005A4EEE">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year-on-year growth of general government spending for the education sector (in % compared to the 2020 base year), including:</w:t>
            </w:r>
          </w:p>
        </w:tc>
        <w:tc>
          <w:tcPr>
            <w:tcW w:w="1710" w:type="dxa"/>
            <w:tcBorders>
              <w:top w:val="nil"/>
              <w:left w:val="nil"/>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lang w:val="ru-RU"/>
              </w:rPr>
            </w:pPr>
            <w:r w:rsidRPr="0046725D">
              <w:rPr>
                <w:rFonts w:asciiTheme="majorBidi" w:eastAsia="Times New Roman" w:hAnsiTheme="majorBidi" w:cstheme="majorBidi"/>
                <w:lang w:val="ru-RU"/>
              </w:rPr>
              <w:t>--</w:t>
            </w:r>
          </w:p>
        </w:tc>
        <w:tc>
          <w:tcPr>
            <w:tcW w:w="2224" w:type="dxa"/>
            <w:vMerge w:val="restart"/>
            <w:tcBorders>
              <w:top w:val="nil"/>
              <w:left w:val="nil"/>
              <w:right w:val="single" w:sz="4" w:space="0" w:color="auto"/>
            </w:tcBorders>
            <w:shd w:val="clear" w:color="auto" w:fill="auto"/>
            <w:vAlign w:val="center"/>
            <w:hideMark/>
          </w:tcPr>
          <w:p w:rsidR="00F80452" w:rsidRPr="0046725D" w:rsidRDefault="00F80452" w:rsidP="005A4EEE">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Cumulative figures during 2021-2030</w:t>
            </w:r>
          </w:p>
        </w:tc>
      </w:tr>
      <w:tr w:rsidR="00F80452" w:rsidRPr="00B26D47" w:rsidTr="005A4EEE">
        <w:trPr>
          <w:trHeight w:val="85"/>
          <w:jc w:val="center"/>
        </w:trPr>
        <w:tc>
          <w:tcPr>
            <w:tcW w:w="541" w:type="dxa"/>
            <w:vMerge/>
            <w:tcBorders>
              <w:left w:val="single" w:sz="4" w:space="0" w:color="auto"/>
              <w:right w:val="single" w:sz="4" w:space="0" w:color="auto"/>
            </w:tcBorders>
            <w:shd w:val="clear" w:color="auto" w:fill="auto"/>
            <w:noWrap/>
            <w:vAlign w:val="center"/>
            <w:hideMark/>
          </w:tcPr>
          <w:p w:rsidR="00F80452" w:rsidRPr="00CB073D" w:rsidRDefault="00F80452" w:rsidP="005A4EEE">
            <w:pPr>
              <w:spacing w:after="0" w:line="240" w:lineRule="auto"/>
              <w:jc w:val="center"/>
              <w:rPr>
                <w:rFonts w:asciiTheme="majorBidi" w:eastAsia="Times New Roman" w:hAnsiTheme="majorBidi" w:cstheme="majorBidi"/>
                <w:color w:val="C00000"/>
              </w:rPr>
            </w:pPr>
          </w:p>
        </w:tc>
        <w:tc>
          <w:tcPr>
            <w:tcW w:w="4744" w:type="dxa"/>
            <w:tcBorders>
              <w:top w:val="nil"/>
              <w:left w:val="nil"/>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Pr>
                <w:rFonts w:asciiTheme="majorBidi" w:eastAsia="Times New Roman" w:hAnsiTheme="majorBidi" w:cstheme="majorBidi"/>
              </w:rPr>
              <w:t xml:space="preserve">   - nominal growth rate</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lang w:val="ru-RU"/>
              </w:rPr>
            </w:pPr>
            <w:r w:rsidRPr="00B26D47">
              <w:rPr>
                <w:rFonts w:asciiTheme="majorBidi" w:eastAsia="Times New Roman" w:hAnsiTheme="majorBidi" w:cstheme="majorBidi"/>
                <w:lang w:val="ru-RU"/>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37.0%</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90.0%</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150.</w:t>
            </w:r>
            <w:r w:rsidRPr="00B26D47">
              <w:rPr>
                <w:rFonts w:asciiTheme="majorBidi" w:eastAsia="Times New Roman" w:hAnsiTheme="majorBidi" w:cstheme="majorBidi"/>
                <w:lang w:val="ru-RU"/>
              </w:rPr>
              <w:t>0</w:t>
            </w:r>
            <w:r w:rsidRPr="00B26D47">
              <w:rPr>
                <w:rFonts w:asciiTheme="majorBidi" w:eastAsia="Times New Roman" w:hAnsiTheme="majorBidi" w:cstheme="majorBidi"/>
              </w:rPr>
              <w:t>%</w:t>
            </w:r>
          </w:p>
        </w:tc>
        <w:tc>
          <w:tcPr>
            <w:tcW w:w="2224" w:type="dxa"/>
            <w:vMerge/>
            <w:tcBorders>
              <w:left w:val="nil"/>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F80452" w:rsidRPr="00B26D47" w:rsidTr="005A4EEE">
        <w:trPr>
          <w:trHeight w:val="85"/>
          <w:jc w:val="center"/>
        </w:trPr>
        <w:tc>
          <w:tcPr>
            <w:tcW w:w="541" w:type="dxa"/>
            <w:vMerge/>
            <w:tcBorders>
              <w:left w:val="single" w:sz="4" w:space="0" w:color="auto"/>
              <w:bottom w:val="single" w:sz="4" w:space="0" w:color="auto"/>
              <w:right w:val="single" w:sz="4" w:space="0" w:color="auto"/>
            </w:tcBorders>
            <w:shd w:val="clear" w:color="auto" w:fill="auto"/>
            <w:noWrap/>
            <w:vAlign w:val="center"/>
            <w:hideMark/>
          </w:tcPr>
          <w:p w:rsidR="00F80452" w:rsidRPr="00CB073D" w:rsidRDefault="00F80452" w:rsidP="005A4EEE">
            <w:pPr>
              <w:spacing w:after="0" w:line="240" w:lineRule="auto"/>
              <w:jc w:val="center"/>
              <w:rPr>
                <w:rFonts w:asciiTheme="majorBidi" w:eastAsia="Times New Roman" w:hAnsiTheme="majorBidi" w:cstheme="majorBidi"/>
                <w:color w:val="C00000"/>
              </w:rPr>
            </w:pPr>
          </w:p>
        </w:tc>
        <w:tc>
          <w:tcPr>
            <w:tcW w:w="4744"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rPr>
                <w:rFonts w:asciiTheme="majorBidi" w:eastAsia="Times New Roman" w:hAnsiTheme="majorBidi" w:cstheme="majorBidi"/>
              </w:rPr>
            </w:pPr>
            <w:r w:rsidRPr="00B26D47">
              <w:rPr>
                <w:rFonts w:asciiTheme="majorBidi" w:eastAsia="Times New Roman" w:hAnsiTheme="majorBidi" w:cstheme="majorBidi"/>
              </w:rPr>
              <w:t xml:space="preserve">   - real growth rate</w:t>
            </w:r>
            <w:r w:rsidRPr="00320BE5">
              <w:rPr>
                <w:rFonts w:asciiTheme="majorBidi" w:eastAsia="Times New Roman" w:hAnsiTheme="majorBidi" w:cstheme="majorBidi"/>
              </w:rPr>
              <w:t xml:space="preserve"> (</w:t>
            </w:r>
            <w:r>
              <w:rPr>
                <w:rFonts w:asciiTheme="majorBidi" w:eastAsia="Times New Roman" w:hAnsiTheme="majorBidi" w:cstheme="majorBidi"/>
              </w:rPr>
              <w:t>inflation-adjusted</w:t>
            </w:r>
            <w:r w:rsidRPr="00320BE5">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10.0%</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2</w:t>
            </w:r>
            <w:r>
              <w:rPr>
                <w:rFonts w:asciiTheme="majorBidi" w:eastAsia="Times New Roman" w:hAnsiTheme="majorBidi" w:cstheme="majorBidi"/>
              </w:rPr>
              <w:t>5</w:t>
            </w:r>
            <w:r w:rsidRPr="00B26D47">
              <w:rPr>
                <w:rFonts w:asciiTheme="majorBidi" w:eastAsia="Times New Roman" w:hAnsiTheme="majorBidi" w:cstheme="majorBidi"/>
              </w:rPr>
              <w:t>.0%</w:t>
            </w:r>
          </w:p>
        </w:tc>
        <w:tc>
          <w:tcPr>
            <w:tcW w:w="1710" w:type="dxa"/>
            <w:tcBorders>
              <w:top w:val="nil"/>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45.0%</w:t>
            </w:r>
          </w:p>
        </w:tc>
        <w:tc>
          <w:tcPr>
            <w:tcW w:w="2224" w:type="dxa"/>
            <w:vMerge/>
            <w:tcBorders>
              <w:left w:val="nil"/>
              <w:bottom w:val="single" w:sz="4" w:space="0" w:color="auto"/>
              <w:right w:val="single" w:sz="4" w:space="0" w:color="auto"/>
            </w:tcBorders>
            <w:shd w:val="clear" w:color="auto" w:fill="auto"/>
            <w:vAlign w:val="center"/>
            <w:hideMark/>
          </w:tcPr>
          <w:p w:rsidR="00F80452" w:rsidRPr="00B26D47" w:rsidRDefault="00F80452" w:rsidP="005A4EEE">
            <w:pPr>
              <w:spacing w:after="0" w:line="240" w:lineRule="auto"/>
              <w:jc w:val="center"/>
              <w:rPr>
                <w:rFonts w:asciiTheme="majorBidi" w:eastAsia="Times New Roman" w:hAnsiTheme="majorBidi" w:cstheme="majorBidi"/>
                <w:color w:val="000000"/>
              </w:rPr>
            </w:pPr>
          </w:p>
        </w:tc>
      </w:tr>
      <w:tr w:rsidR="00ED1CCF" w:rsidRPr="00B26D47" w:rsidTr="0023340C">
        <w:trPr>
          <w:trHeight w:val="188"/>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F" w:rsidRPr="0046725D" w:rsidRDefault="00F8045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81</w:t>
            </w:r>
          </w:p>
        </w:tc>
        <w:tc>
          <w:tcPr>
            <w:tcW w:w="4744" w:type="dxa"/>
            <w:tcBorders>
              <w:top w:val="single" w:sz="4" w:space="0" w:color="auto"/>
              <w:left w:val="nil"/>
              <w:bottom w:val="single" w:sz="4" w:space="0" w:color="auto"/>
              <w:right w:val="single" w:sz="4" w:space="0" w:color="auto"/>
            </w:tcBorders>
            <w:shd w:val="clear" w:color="auto" w:fill="auto"/>
            <w:vAlign w:val="bottom"/>
            <w:hideMark/>
          </w:tcPr>
          <w:p w:rsidR="00ED1CCF" w:rsidRPr="0046725D" w:rsidRDefault="00ED1CCF" w:rsidP="00E47096">
            <w:pPr>
              <w:spacing w:after="0" w:line="240" w:lineRule="auto"/>
              <w:rPr>
                <w:rFonts w:asciiTheme="majorBidi" w:eastAsia="Times New Roman" w:hAnsiTheme="majorBidi" w:cstheme="majorBidi"/>
              </w:rPr>
            </w:pPr>
            <w:r w:rsidRPr="0046725D">
              <w:rPr>
                <w:rFonts w:asciiTheme="majorBidi" w:eastAsia="Times New Roman" w:hAnsiTheme="majorBidi" w:cstheme="majorBidi"/>
              </w:rPr>
              <w:t>Off-budget investments (such as extra-budgetary funds) from the education sector (as a % of aggregate general government spending on the education sector).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17</w:t>
            </w:r>
            <w:r w:rsidRPr="0046725D">
              <w:rPr>
                <w:rFonts w:asciiTheme="majorBidi" w:eastAsia="Times New Roman" w:hAnsiTheme="majorBidi" w:cstheme="majorBidi"/>
              </w:rPr>
              <w:t>.</w:t>
            </w:r>
            <w:r w:rsidRPr="0046725D">
              <w:rPr>
                <w:rFonts w:asciiTheme="majorBidi" w:eastAsia="Times New Roman" w:hAnsiTheme="majorBidi" w:cstheme="majorBidi"/>
                <w:lang w:val="ru-RU"/>
              </w:rPr>
              <w:t>9</w:t>
            </w:r>
            <w:r w:rsidRPr="0046725D">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21</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24</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lang w:val="ru-RU"/>
              </w:rPr>
              <w:t>27</w:t>
            </w:r>
            <w:r w:rsidRPr="0046725D">
              <w:rPr>
                <w:rFonts w:asciiTheme="majorBidi" w:eastAsia="Times New Roman" w:hAnsiTheme="majorBidi" w:cstheme="majorBidi"/>
              </w:rPr>
              <w:t>.</w:t>
            </w:r>
            <w:r w:rsidRPr="0046725D">
              <w:rPr>
                <w:rFonts w:asciiTheme="majorBidi" w:eastAsia="Times New Roman" w:hAnsiTheme="majorBidi" w:cstheme="majorBidi"/>
                <w:lang w:val="ru-RU"/>
              </w:rPr>
              <w:t>0</w:t>
            </w:r>
            <w:r w:rsidRPr="0046725D">
              <w:rPr>
                <w:rFonts w:asciiTheme="majorBidi" w:eastAsia="Times New Roman" w:hAnsiTheme="majorBidi" w:cstheme="majorBidi"/>
              </w:rPr>
              <w:t>%</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F80452" w:rsidRPr="00B26D47" w:rsidTr="00F80452">
        <w:trPr>
          <w:trHeight w:val="188"/>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82</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F80452">
            <w:pPr>
              <w:spacing w:after="0" w:line="240" w:lineRule="auto"/>
              <w:rPr>
                <w:rFonts w:asciiTheme="majorBidi" w:eastAsia="Times New Roman" w:hAnsiTheme="majorBidi" w:cstheme="majorBidi"/>
              </w:rPr>
            </w:pPr>
            <w:r>
              <w:rPr>
                <w:rFonts w:asciiTheme="majorBidi" w:eastAsia="Times New Roman" w:hAnsiTheme="majorBidi" w:cstheme="majorBidi"/>
              </w:rPr>
              <w:t>Presence of per-capita financing mechanism for alternative forms of preschool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Mechanism</w:t>
            </w:r>
          </w:p>
          <w:p w:rsidR="00F80452" w:rsidRP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does not exist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New financing mechanisms are developed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Piloting of new financing mechanisms is completed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Alternative financing mechanisms are fully implemented</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F80452" w:rsidRPr="00B26D47" w:rsidRDefault="00F8045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r>
      <w:tr w:rsidR="00F80452" w:rsidRPr="00B26D47" w:rsidTr="00F80452">
        <w:trPr>
          <w:trHeight w:val="188"/>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83</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F80452">
            <w:pPr>
              <w:spacing w:after="0" w:line="240" w:lineRule="auto"/>
              <w:rPr>
                <w:rFonts w:asciiTheme="majorBidi" w:eastAsia="Times New Roman" w:hAnsiTheme="majorBidi" w:cstheme="majorBidi"/>
              </w:rPr>
            </w:pPr>
            <w:r>
              <w:rPr>
                <w:rFonts w:asciiTheme="majorBidi" w:eastAsia="Times New Roman" w:hAnsiTheme="majorBidi" w:cstheme="majorBidi"/>
              </w:rPr>
              <w:t>Introduction of new fiscal incentives mechanism to attract investment into the education sector.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New financing mechanisms are not implemented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46725D" w:rsidRDefault="00F80452" w:rsidP="00F80452">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Global practice is reviewed re: the possibility of implementing new fiscal mechanisms to stimulate investment in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F80452" w:rsidRDefault="00F80452" w:rsidP="00F80452">
            <w:pPr>
              <w:spacing w:after="0" w:line="240" w:lineRule="auto"/>
              <w:jc w:val="center"/>
              <w:rPr>
                <w:rFonts w:asciiTheme="majorBidi" w:eastAsia="Times New Roman" w:hAnsiTheme="majorBidi" w:cstheme="majorBidi"/>
              </w:rPr>
            </w:pPr>
            <w:r>
              <w:rPr>
                <w:rFonts w:asciiTheme="majorBidi" w:eastAsia="Times New Roman" w:hAnsiTheme="majorBidi" w:cstheme="majorBidi"/>
              </w:rPr>
              <w:t>Piloting of new fiscal mechanisms is completed (e.g. tax benefits, student credit, vouchers, etc.)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F80452" w:rsidRPr="0046725D" w:rsidRDefault="00F80452" w:rsidP="00F80452">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New fiscal mechanisms are implemented and respective legislative and regulatory frameworks are modernized</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F80452" w:rsidRPr="00B26D47" w:rsidRDefault="00F80452" w:rsidP="009B3EE7">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r>
      <w:tr w:rsidR="00ED1CCF" w:rsidRPr="00B26D47" w:rsidTr="0023340C">
        <w:trPr>
          <w:trHeight w:val="440"/>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ED1CCF" w:rsidRPr="00B26D47" w:rsidRDefault="00ED1CCF"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6.1.3: </w:t>
            </w:r>
            <w:r w:rsidRPr="00320BE5">
              <w:rPr>
                <w:rFonts w:asciiTheme="majorBidi" w:eastAsia="Times New Roman" w:hAnsiTheme="majorBidi" w:cstheme="majorBidi"/>
                <w:b/>
                <w:bCs/>
                <w:color w:val="000000"/>
              </w:rPr>
              <w:t xml:space="preserve">New forms of partnership between the public and private sector in education have been </w:t>
            </w:r>
            <w:r w:rsidRPr="00B26D47">
              <w:rPr>
                <w:rFonts w:asciiTheme="majorBidi" w:eastAsia="Times New Roman" w:hAnsiTheme="majorBidi" w:cstheme="majorBidi"/>
                <w:b/>
                <w:bCs/>
                <w:color w:val="000000"/>
              </w:rPr>
              <w:t>pursued</w:t>
            </w:r>
            <w:r w:rsidRPr="00320BE5">
              <w:rPr>
                <w:rFonts w:asciiTheme="majorBidi" w:eastAsia="Times New Roman" w:hAnsiTheme="majorBidi" w:cstheme="majorBidi"/>
                <w:b/>
                <w:bCs/>
                <w:color w:val="000000"/>
              </w:rPr>
              <w:t xml:space="preserve"> and implemented.</w:t>
            </w:r>
          </w:p>
        </w:tc>
      </w:tr>
      <w:tr w:rsidR="00ED1CCF" w:rsidRPr="00B26D47" w:rsidTr="0023340C">
        <w:trPr>
          <w:trHeight w:val="672"/>
          <w:jc w:val="center"/>
        </w:trPr>
        <w:tc>
          <w:tcPr>
            <w:tcW w:w="528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single" w:sz="4" w:space="0" w:color="auto"/>
              <w:left w:val="nil"/>
              <w:bottom w:val="single" w:sz="4" w:space="0" w:color="auto"/>
              <w:right w:val="single" w:sz="4" w:space="0" w:color="auto"/>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ED1CCF" w:rsidRPr="00B26D47" w:rsidTr="0023340C">
        <w:trPr>
          <w:trHeight w:val="800"/>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F" w:rsidRPr="0046725D" w:rsidRDefault="00F8045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84</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rPr>
                <w:rFonts w:asciiTheme="majorBidi" w:eastAsia="Times New Roman" w:hAnsiTheme="majorBidi" w:cstheme="majorBidi"/>
              </w:rPr>
            </w:pPr>
            <w:r w:rsidRPr="00B26D47">
              <w:rPr>
                <w:rFonts w:asciiTheme="majorBidi" w:eastAsia="Times New Roman" w:hAnsiTheme="majorBidi" w:cstheme="majorBidi"/>
              </w:rPr>
              <w:t>The number of investment projects concluded on the principles of public-private partnership (PPP) in the education sector.</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No PPP-based projects in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Situational analysis has been carried out and new financing forms (including PPPs) are developed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Regulatory framework has been revised to enable new financing forms (including PPPs)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The number of PPP-based investment projects has doubled in education </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w:t>
            </w:r>
          </w:p>
        </w:tc>
      </w:tr>
      <w:tr w:rsidR="00ED1CCF" w:rsidRPr="00B26D47" w:rsidTr="0023340C">
        <w:trPr>
          <w:trHeight w:val="467"/>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ED1CCF" w:rsidRPr="00B26D47" w:rsidRDefault="00ED1CCF" w:rsidP="0023340C">
            <w:pPr>
              <w:spacing w:after="0" w:line="240" w:lineRule="auto"/>
              <w:rPr>
                <w:rFonts w:asciiTheme="majorBidi" w:eastAsia="Times New Roman" w:hAnsiTheme="majorBidi" w:cstheme="majorBidi"/>
                <w:b/>
                <w:bCs/>
              </w:rPr>
            </w:pPr>
            <w:r w:rsidRPr="00B26D47">
              <w:rPr>
                <w:rFonts w:asciiTheme="majorBidi" w:eastAsia="Times New Roman" w:hAnsiTheme="majorBidi" w:cstheme="majorBidi"/>
                <w:b/>
                <w:bCs/>
              </w:rPr>
              <w:t xml:space="preserve">Intermediate outcome 6.1.4: </w:t>
            </w:r>
            <w:r w:rsidRPr="00320BE5">
              <w:rPr>
                <w:rFonts w:asciiTheme="majorBidi" w:eastAsia="Times New Roman" w:hAnsiTheme="majorBidi" w:cstheme="majorBidi"/>
                <w:b/>
                <w:bCs/>
              </w:rPr>
              <w:t>Implemented and/or modernized management information systems in the education sector</w:t>
            </w:r>
            <w:r w:rsidRPr="00B26D47">
              <w:rPr>
                <w:rFonts w:asciiTheme="majorBidi" w:eastAsia="Times New Roman" w:hAnsiTheme="majorBidi" w:cstheme="majorBidi"/>
                <w:b/>
                <w:bCs/>
              </w:rPr>
              <w:t>.</w:t>
            </w:r>
          </w:p>
        </w:tc>
      </w:tr>
      <w:tr w:rsidR="00ED1CCF" w:rsidRPr="00B26D47" w:rsidTr="0023340C">
        <w:trPr>
          <w:trHeight w:val="600"/>
          <w:jc w:val="center"/>
        </w:trPr>
        <w:tc>
          <w:tcPr>
            <w:tcW w:w="528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single" w:sz="4" w:space="0" w:color="auto"/>
              <w:left w:val="nil"/>
              <w:bottom w:val="nil"/>
              <w:right w:val="single" w:sz="4" w:space="0" w:color="auto"/>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ED1CCF" w:rsidRPr="00B26D47" w:rsidTr="0023340C">
        <w:trPr>
          <w:trHeight w:val="926"/>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F" w:rsidRPr="0046725D" w:rsidRDefault="00F80452" w:rsidP="0023340C">
            <w:pPr>
              <w:spacing w:after="0" w:line="240" w:lineRule="auto"/>
              <w:jc w:val="center"/>
              <w:rPr>
                <w:rFonts w:asciiTheme="majorBidi" w:eastAsia="Times New Roman" w:hAnsiTheme="majorBidi" w:cstheme="majorBidi"/>
                <w:lang w:val="ru-RU"/>
              </w:rPr>
            </w:pPr>
            <w:r>
              <w:rPr>
                <w:rFonts w:asciiTheme="majorBidi" w:eastAsia="Times New Roman" w:hAnsiTheme="majorBidi" w:cstheme="majorBidi"/>
              </w:rPr>
              <w:t>85</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Implementation of a financial management information system (FMIS) for educational institutions of all types of ownership in the Republic of Tajikistan.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FMIS for educational institutions does not exist (or is not integrated)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Programs are developed and FMIS for education sector is piloted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Piloting of FMIS for education sector has been completed at district and province level</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FMIS for education sector has been implemented across the public sector</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ED1CCF" w:rsidRPr="00B26D47" w:rsidTr="0023340C">
        <w:trPr>
          <w:trHeight w:val="485"/>
          <w:jc w:val="center"/>
        </w:trPr>
        <w:tc>
          <w:tcPr>
            <w:tcW w:w="541" w:type="dxa"/>
            <w:tcBorders>
              <w:top w:val="nil"/>
              <w:left w:val="single" w:sz="4" w:space="0" w:color="auto"/>
              <w:bottom w:val="single" w:sz="4" w:space="0" w:color="auto"/>
              <w:right w:val="single" w:sz="4" w:space="0" w:color="auto"/>
            </w:tcBorders>
            <w:shd w:val="clear" w:color="auto" w:fill="auto"/>
            <w:noWrap/>
            <w:vAlign w:val="center"/>
            <w:hideMark/>
          </w:tcPr>
          <w:p w:rsidR="00ED1CCF"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86</w:t>
            </w:r>
          </w:p>
        </w:tc>
        <w:tc>
          <w:tcPr>
            <w:tcW w:w="4744"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133A48">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EMIS has been upgraded (such as to accommodate online functions) and expanded in line with additional reporting requirements for the NSED/NDS(MTDP) and SDG indicators.</w:t>
            </w:r>
          </w:p>
        </w:tc>
        <w:tc>
          <w:tcPr>
            <w:tcW w:w="1710"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EMIS is functionally limited and has not been upgraded</w:t>
            </w:r>
          </w:p>
        </w:tc>
        <w:tc>
          <w:tcPr>
            <w:tcW w:w="1710"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133A48">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EMIS expanded and its enhancement roadmap is developed and agreed upon with partners</w:t>
            </w:r>
          </w:p>
        </w:tc>
        <w:tc>
          <w:tcPr>
            <w:tcW w:w="1710"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EMIS has been expanded and the enhancement roadmap has been fully implemented</w:t>
            </w:r>
          </w:p>
        </w:tc>
        <w:tc>
          <w:tcPr>
            <w:tcW w:w="1710"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EMIS is fully functional, upgraded and expanded</w:t>
            </w:r>
          </w:p>
        </w:tc>
        <w:tc>
          <w:tcPr>
            <w:tcW w:w="2224" w:type="dxa"/>
            <w:tcBorders>
              <w:top w:val="nil"/>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ED1CCF" w:rsidRPr="00B26D47" w:rsidTr="0023340C">
        <w:trPr>
          <w:trHeight w:val="645"/>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ED1CCF" w:rsidRPr="00B26D47" w:rsidRDefault="00ED1CCF" w:rsidP="0023340C">
            <w:pPr>
              <w:spacing w:after="0" w:line="240" w:lineRule="auto"/>
              <w:rPr>
                <w:rFonts w:asciiTheme="majorBidi" w:eastAsia="Times New Roman" w:hAnsiTheme="majorBidi" w:cstheme="majorBidi"/>
                <w:b/>
                <w:bCs/>
                <w:color w:val="000000"/>
              </w:rPr>
            </w:pPr>
            <w:bookmarkStart w:id="6" w:name="_Hlk52806102"/>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6.1.5: </w:t>
            </w:r>
            <w:r w:rsidRPr="00320BE5">
              <w:rPr>
                <w:rFonts w:asciiTheme="majorBidi" w:eastAsia="Times New Roman" w:hAnsiTheme="majorBidi" w:cstheme="majorBidi"/>
                <w:b/>
                <w:bCs/>
                <w:color w:val="000000"/>
              </w:rPr>
              <w:t>Digital technologies are widely used in education sector management and the national system for assessing the quality of education (at all levels of education)</w:t>
            </w:r>
            <w:r w:rsidRPr="00B26D47">
              <w:rPr>
                <w:rFonts w:asciiTheme="majorBidi" w:eastAsia="Times New Roman" w:hAnsiTheme="majorBidi" w:cstheme="majorBidi"/>
                <w:b/>
                <w:bCs/>
                <w:color w:val="000000"/>
              </w:rPr>
              <w:t>.</w:t>
            </w:r>
            <w:bookmarkEnd w:id="6"/>
          </w:p>
        </w:tc>
      </w:tr>
      <w:tr w:rsidR="00ED1CCF" w:rsidRPr="00B26D47" w:rsidTr="0023340C">
        <w:trPr>
          <w:trHeight w:val="600"/>
          <w:jc w:val="center"/>
        </w:trPr>
        <w:tc>
          <w:tcPr>
            <w:tcW w:w="5285" w:type="dxa"/>
            <w:gridSpan w:val="2"/>
            <w:tcBorders>
              <w:top w:val="single" w:sz="4" w:space="0" w:color="auto"/>
              <w:left w:val="single" w:sz="4" w:space="0" w:color="auto"/>
              <w:bottom w:val="single" w:sz="4" w:space="0" w:color="auto"/>
              <w:right w:val="single" w:sz="4" w:space="0" w:color="000000"/>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nil"/>
              <w:left w:val="nil"/>
              <w:bottom w:val="single" w:sz="4" w:space="0" w:color="auto"/>
              <w:right w:val="single" w:sz="4" w:space="0" w:color="auto"/>
            </w:tcBorders>
            <w:shd w:val="clear" w:color="000000" w:fill="DBDBDB"/>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nil"/>
              <w:left w:val="nil"/>
              <w:bottom w:val="single" w:sz="4" w:space="0" w:color="auto"/>
              <w:right w:val="single" w:sz="4" w:space="0" w:color="auto"/>
            </w:tcBorders>
            <w:shd w:val="clear" w:color="000000" w:fill="D9D9D9"/>
            <w:vAlign w:val="center"/>
            <w:hideMark/>
          </w:tcPr>
          <w:p w:rsidR="00ED1CCF" w:rsidRPr="00B26D47" w:rsidRDefault="00ED1CCF"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ED1CCF" w:rsidRPr="00B26D47" w:rsidTr="0023340C">
        <w:trPr>
          <w:trHeight w:val="665"/>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1CCF"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87</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The presence of new regulation on the joint governance of educational institutions by the state and the public.</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Principles of state-public governance are not formulated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Regulatory framework is developed and/or adjusted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Elements of state-public governance are integrated at all levels of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State-public governance is used in some educational institutions </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ED1CCF" w:rsidRPr="00B26D47" w:rsidTr="00240A36">
        <w:trPr>
          <w:trHeight w:val="665"/>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tcPr>
          <w:p w:rsidR="00ED1CCF"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88</w:t>
            </w:r>
          </w:p>
        </w:tc>
        <w:tc>
          <w:tcPr>
            <w:tcW w:w="4744"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rPr>
                <w:rFonts w:asciiTheme="majorBidi" w:eastAsia="Times New Roman" w:hAnsiTheme="majorBidi" w:cstheme="majorBidi"/>
              </w:rPr>
            </w:pPr>
            <w:r w:rsidRPr="0046725D">
              <w:rPr>
                <w:rFonts w:asciiTheme="majorBidi" w:eastAsia="Times New Roman" w:hAnsiTheme="majorBidi" w:cstheme="majorBidi"/>
              </w:rPr>
              <w:t>All MoES affiliated agencies at the national and regional levels are provided with necessary digital technologies and proper system setup for digital learning, data exchange and effective sector management</w:t>
            </w:r>
          </w:p>
        </w:tc>
        <w:tc>
          <w:tcPr>
            <w:tcW w:w="1710"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Necessary equipment and proper interconnection system not yet provided  </w:t>
            </w:r>
          </w:p>
        </w:tc>
        <w:tc>
          <w:tcPr>
            <w:tcW w:w="1710"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 xml:space="preserve">Assessment of needs and necessary equipment provided to support effective sector management and digital learning   </w:t>
            </w:r>
          </w:p>
        </w:tc>
        <w:tc>
          <w:tcPr>
            <w:tcW w:w="1710"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National road map for digital learning and effective sector management developed and necessary guidelines adopted</w:t>
            </w:r>
          </w:p>
        </w:tc>
        <w:tc>
          <w:tcPr>
            <w:tcW w:w="1710"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National system capacity upgraded towards long term sustainability of digital learning and remote operation</w:t>
            </w:r>
          </w:p>
        </w:tc>
        <w:tc>
          <w:tcPr>
            <w:tcW w:w="2224" w:type="dxa"/>
            <w:tcBorders>
              <w:top w:val="single" w:sz="4" w:space="0" w:color="auto"/>
              <w:left w:val="nil"/>
              <w:bottom w:val="single" w:sz="4" w:space="0" w:color="auto"/>
              <w:right w:val="single" w:sz="4" w:space="0" w:color="auto"/>
            </w:tcBorders>
            <w:shd w:val="clear" w:color="auto" w:fill="auto"/>
            <w:vAlign w:val="center"/>
          </w:tcPr>
          <w:p w:rsidR="00ED1CCF" w:rsidRPr="0046725D" w:rsidRDefault="00ED1CCF"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w:t>
            </w:r>
          </w:p>
        </w:tc>
      </w:tr>
      <w:tr w:rsidR="00240A36" w:rsidRPr="00B26D47" w:rsidTr="00240A36">
        <w:trPr>
          <w:trHeight w:val="611"/>
          <w:jc w:val="center"/>
        </w:trPr>
        <w:tc>
          <w:tcPr>
            <w:tcW w:w="541" w:type="dxa"/>
            <w:vMerge w:val="restart"/>
            <w:tcBorders>
              <w:top w:val="nil"/>
              <w:left w:val="single" w:sz="4" w:space="0" w:color="auto"/>
              <w:right w:val="single" w:sz="4" w:space="0" w:color="auto"/>
            </w:tcBorders>
            <w:shd w:val="clear" w:color="auto" w:fill="auto"/>
            <w:noWrap/>
            <w:vAlign w:val="center"/>
            <w:hideMark/>
          </w:tcPr>
          <w:p w:rsidR="00240A36" w:rsidRPr="0046725D" w:rsidRDefault="00F80452"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89</w:t>
            </w:r>
          </w:p>
        </w:tc>
        <w:tc>
          <w:tcPr>
            <w:tcW w:w="4744" w:type="dxa"/>
            <w:tcBorders>
              <w:top w:val="single" w:sz="4" w:space="0" w:color="auto"/>
              <w:left w:val="nil"/>
              <w:right w:val="single" w:sz="4" w:space="0" w:color="auto"/>
            </w:tcBorders>
            <w:shd w:val="clear" w:color="auto" w:fill="auto"/>
            <w:vAlign w:val="center"/>
            <w:hideMark/>
          </w:tcPr>
          <w:p w:rsidR="00240A36" w:rsidRPr="0046725D" w:rsidRDefault="001744EC" w:rsidP="001744EC">
            <w:pPr>
              <w:spacing w:after="0" w:line="240" w:lineRule="auto"/>
              <w:rPr>
                <w:rFonts w:asciiTheme="majorBidi" w:eastAsia="Times New Roman" w:hAnsiTheme="majorBidi" w:cstheme="majorBidi"/>
              </w:rPr>
            </w:pPr>
            <w:r>
              <w:rPr>
                <w:rFonts w:asciiTheme="majorBidi" w:eastAsia="Times New Roman" w:hAnsiTheme="majorBidi" w:cstheme="majorBidi"/>
              </w:rPr>
              <w:t>The s</w:t>
            </w:r>
            <w:r w:rsidR="00240A36" w:rsidRPr="0046725D">
              <w:rPr>
                <w:rFonts w:asciiTheme="majorBidi" w:eastAsia="Times New Roman" w:hAnsiTheme="majorBidi" w:cstheme="majorBidi"/>
              </w:rPr>
              <w:t>hare of districts and educational institutions (at all levels</w:t>
            </w:r>
            <w:r>
              <w:rPr>
                <w:rFonts w:asciiTheme="majorBidi" w:eastAsia="Times New Roman" w:hAnsiTheme="majorBidi" w:cstheme="majorBidi"/>
              </w:rPr>
              <w:t xml:space="preserve"> of education</w:t>
            </w:r>
            <w:r w:rsidR="00240A36" w:rsidRPr="0046725D">
              <w:rPr>
                <w:rFonts w:asciiTheme="majorBidi" w:eastAsia="Times New Roman" w:hAnsiTheme="majorBidi" w:cstheme="majorBidi"/>
              </w:rPr>
              <w:t xml:space="preserve">) connected to Internet and digital technology </w:t>
            </w:r>
            <w:r>
              <w:rPr>
                <w:rFonts w:asciiTheme="majorBidi" w:eastAsia="Times New Roman" w:hAnsiTheme="majorBidi" w:cstheme="majorBidi"/>
              </w:rPr>
              <w:t xml:space="preserve">which supports improved </w:t>
            </w:r>
            <w:r w:rsidR="00240A36" w:rsidRPr="0046725D">
              <w:rPr>
                <w:rFonts w:asciiTheme="majorBidi" w:eastAsia="Times New Roman" w:hAnsiTheme="majorBidi" w:cstheme="majorBidi"/>
              </w:rPr>
              <w:t xml:space="preserve">quality </w:t>
            </w:r>
            <w:r>
              <w:rPr>
                <w:rFonts w:asciiTheme="majorBidi" w:eastAsia="Times New Roman" w:hAnsiTheme="majorBidi" w:cstheme="majorBidi"/>
              </w:rPr>
              <w:t xml:space="preserve">of </w:t>
            </w:r>
            <w:r w:rsidR="00240A36" w:rsidRPr="0046725D">
              <w:rPr>
                <w:rFonts w:asciiTheme="majorBidi" w:eastAsia="Times New Roman" w:hAnsiTheme="majorBidi" w:cstheme="majorBidi"/>
              </w:rPr>
              <w:t>learning</w:t>
            </w:r>
            <w:r>
              <w:rPr>
                <w:rFonts w:asciiTheme="majorBidi" w:eastAsia="Times New Roman" w:hAnsiTheme="majorBidi" w:cstheme="majorBidi"/>
              </w:rPr>
              <w:t>, including:</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4119F5"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2224" w:type="dxa"/>
            <w:vMerge w:val="restart"/>
            <w:tcBorders>
              <w:top w:val="nil"/>
              <w:left w:val="nil"/>
              <w:right w:val="single" w:sz="4" w:space="0" w:color="auto"/>
            </w:tcBorders>
            <w:shd w:val="clear" w:color="auto" w:fill="auto"/>
            <w:vAlign w:val="center"/>
            <w:hideMark/>
          </w:tcPr>
          <w:p w:rsidR="00240A36" w:rsidRPr="00B26D47" w:rsidRDefault="00240A36"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240A36" w:rsidRPr="00B26D47" w:rsidTr="00240A36">
        <w:trPr>
          <w:trHeight w:val="85"/>
          <w:jc w:val="center"/>
        </w:trPr>
        <w:tc>
          <w:tcPr>
            <w:tcW w:w="541" w:type="dxa"/>
            <w:vMerge/>
            <w:tcBorders>
              <w:left w:val="single" w:sz="4" w:space="0" w:color="auto"/>
              <w:right w:val="single" w:sz="4" w:space="0" w:color="auto"/>
            </w:tcBorders>
            <w:shd w:val="clear" w:color="auto" w:fill="auto"/>
            <w:noWrap/>
            <w:vAlign w:val="center"/>
            <w:hideMark/>
          </w:tcPr>
          <w:p w:rsidR="00240A36" w:rsidRPr="0046725D" w:rsidRDefault="00240A36" w:rsidP="0023340C">
            <w:pPr>
              <w:spacing w:after="0" w:line="240" w:lineRule="auto"/>
              <w:jc w:val="center"/>
              <w:rPr>
                <w:rFonts w:asciiTheme="majorBidi" w:eastAsia="Times New Roman" w:hAnsiTheme="majorBidi" w:cstheme="majorBidi"/>
              </w:rPr>
            </w:pPr>
          </w:p>
        </w:tc>
        <w:tc>
          <w:tcPr>
            <w:tcW w:w="4744" w:type="dxa"/>
            <w:tcBorders>
              <w:top w:val="nil"/>
              <w:left w:val="nil"/>
              <w:right w:val="single" w:sz="4" w:space="0" w:color="auto"/>
            </w:tcBorders>
            <w:shd w:val="clear" w:color="auto" w:fill="auto"/>
            <w:vAlign w:val="center"/>
            <w:hideMark/>
          </w:tcPr>
          <w:p w:rsidR="00240A36" w:rsidRPr="0046725D" w:rsidRDefault="00240A36" w:rsidP="007A7428">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districts across the country</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240A3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n/a</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2224" w:type="dxa"/>
            <w:vMerge/>
            <w:tcBorders>
              <w:left w:val="nil"/>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p>
        </w:tc>
      </w:tr>
      <w:tr w:rsidR="00240A36" w:rsidRPr="00B26D47" w:rsidTr="0046725D">
        <w:trPr>
          <w:trHeight w:val="85"/>
          <w:jc w:val="center"/>
        </w:trPr>
        <w:tc>
          <w:tcPr>
            <w:tcW w:w="541" w:type="dxa"/>
            <w:vMerge/>
            <w:tcBorders>
              <w:left w:val="single" w:sz="4" w:space="0" w:color="auto"/>
              <w:bottom w:val="single" w:sz="4" w:space="0" w:color="auto"/>
              <w:right w:val="single" w:sz="4" w:space="0" w:color="auto"/>
            </w:tcBorders>
            <w:shd w:val="clear" w:color="auto" w:fill="auto"/>
            <w:noWrap/>
            <w:vAlign w:val="center"/>
            <w:hideMark/>
          </w:tcPr>
          <w:p w:rsidR="00240A36" w:rsidRPr="0046725D" w:rsidRDefault="00240A36" w:rsidP="0023340C">
            <w:pPr>
              <w:spacing w:after="0" w:line="240" w:lineRule="auto"/>
              <w:jc w:val="center"/>
              <w:rPr>
                <w:rFonts w:asciiTheme="majorBidi" w:eastAsia="Times New Roman" w:hAnsiTheme="majorBidi" w:cstheme="majorBidi"/>
              </w:rPr>
            </w:pPr>
          </w:p>
        </w:tc>
        <w:tc>
          <w:tcPr>
            <w:tcW w:w="4744" w:type="dxa"/>
            <w:tcBorders>
              <w:top w:val="nil"/>
              <w:left w:val="nil"/>
              <w:bottom w:val="single" w:sz="4" w:space="0" w:color="auto"/>
              <w:right w:val="single" w:sz="4" w:space="0" w:color="auto"/>
            </w:tcBorders>
            <w:shd w:val="clear" w:color="auto" w:fill="auto"/>
            <w:vAlign w:val="center"/>
            <w:hideMark/>
          </w:tcPr>
          <w:p w:rsidR="00240A36" w:rsidRPr="0046725D" w:rsidRDefault="00240A36" w:rsidP="007A7428">
            <w:pPr>
              <w:spacing w:after="0" w:line="240" w:lineRule="auto"/>
              <w:rPr>
                <w:rFonts w:asciiTheme="majorBidi" w:eastAsia="Times New Roman" w:hAnsiTheme="majorBidi" w:cstheme="majorBidi"/>
              </w:rPr>
            </w:pPr>
            <w:r w:rsidRPr="0046725D">
              <w:rPr>
                <w:rFonts w:asciiTheme="majorBidi" w:eastAsia="Times New Roman" w:hAnsiTheme="majorBidi" w:cstheme="majorBidi"/>
              </w:rPr>
              <w:t xml:space="preserve">   - educational institutions (at all levels)</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240A36" w:rsidP="0023340C">
            <w:pPr>
              <w:spacing w:after="0" w:line="240" w:lineRule="auto"/>
              <w:jc w:val="center"/>
              <w:rPr>
                <w:rFonts w:asciiTheme="majorBidi" w:eastAsia="Times New Roman" w:hAnsiTheme="majorBidi" w:cstheme="majorBidi"/>
              </w:rPr>
            </w:pPr>
            <w:r w:rsidRPr="0046725D">
              <w:rPr>
                <w:rFonts w:asciiTheme="majorBidi" w:eastAsia="Times New Roman" w:hAnsiTheme="majorBidi" w:cstheme="majorBidi"/>
              </w:rPr>
              <w:t>n/a</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1710" w:type="dxa"/>
            <w:tcBorders>
              <w:top w:val="nil"/>
              <w:left w:val="nil"/>
              <w:bottom w:val="single" w:sz="4" w:space="0" w:color="auto"/>
              <w:right w:val="single" w:sz="4" w:space="0" w:color="auto"/>
            </w:tcBorders>
            <w:shd w:val="clear" w:color="auto" w:fill="auto"/>
            <w:vAlign w:val="center"/>
            <w:hideMark/>
          </w:tcPr>
          <w:p w:rsidR="00240A36" w:rsidRPr="0046725D"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w:t>
            </w:r>
          </w:p>
        </w:tc>
        <w:tc>
          <w:tcPr>
            <w:tcW w:w="2224" w:type="dxa"/>
            <w:vMerge/>
            <w:tcBorders>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p>
        </w:tc>
      </w:tr>
      <w:tr w:rsidR="00240A36" w:rsidRPr="00B26D47" w:rsidTr="0023340C">
        <w:trPr>
          <w:trHeight w:val="645"/>
          <w:jc w:val="center"/>
        </w:trPr>
        <w:tc>
          <w:tcPr>
            <w:tcW w:w="14349" w:type="dxa"/>
            <w:gridSpan w:val="7"/>
            <w:tcBorders>
              <w:top w:val="single" w:sz="4" w:space="0" w:color="auto"/>
              <w:left w:val="single" w:sz="4" w:space="0" w:color="auto"/>
              <w:bottom w:val="single" w:sz="4" w:space="0" w:color="auto"/>
              <w:right w:val="single" w:sz="4" w:space="0" w:color="000000"/>
            </w:tcBorders>
            <w:shd w:val="clear" w:color="auto" w:fill="B8CCE4" w:themeFill="accent1" w:themeFillTint="66"/>
            <w:vAlign w:val="center"/>
            <w:hideMark/>
          </w:tcPr>
          <w:p w:rsidR="00240A36" w:rsidRPr="00B26D47" w:rsidRDefault="00240A36" w:rsidP="0023340C">
            <w:pPr>
              <w:spacing w:after="0" w:line="240" w:lineRule="auto"/>
              <w:rPr>
                <w:rFonts w:asciiTheme="majorBidi" w:eastAsia="Times New Roman" w:hAnsiTheme="majorBidi" w:cstheme="majorBidi"/>
                <w:b/>
                <w:bCs/>
                <w:color w:val="000000"/>
              </w:rPr>
            </w:pPr>
            <w:r w:rsidRPr="00B26D47">
              <w:rPr>
                <w:rFonts w:asciiTheme="majorBidi" w:eastAsia="Times New Roman" w:hAnsiTheme="majorBidi" w:cstheme="majorBidi"/>
                <w:b/>
                <w:bCs/>
              </w:rPr>
              <w:t>Intermediate outcome</w:t>
            </w:r>
            <w:r w:rsidRPr="00B26D47">
              <w:rPr>
                <w:rFonts w:asciiTheme="majorBidi" w:eastAsia="Times New Roman" w:hAnsiTheme="majorBidi" w:cstheme="majorBidi"/>
                <w:b/>
                <w:bCs/>
                <w:color w:val="000000"/>
              </w:rPr>
              <w:t xml:space="preserve"> 6.1.</w:t>
            </w:r>
            <w:r w:rsidRPr="00320BE5">
              <w:rPr>
                <w:rFonts w:asciiTheme="majorBidi" w:eastAsia="Times New Roman" w:hAnsiTheme="majorBidi" w:cstheme="majorBidi"/>
                <w:b/>
                <w:bCs/>
                <w:color w:val="000000"/>
              </w:rPr>
              <w:t>6</w:t>
            </w:r>
            <w:r w:rsidRPr="00B26D47">
              <w:rPr>
                <w:rFonts w:asciiTheme="majorBidi" w:eastAsia="Times New Roman" w:hAnsiTheme="majorBidi" w:cstheme="majorBidi"/>
                <w:b/>
                <w:bCs/>
                <w:color w:val="000000"/>
              </w:rPr>
              <w:t xml:space="preserve">: </w:t>
            </w:r>
            <w:r w:rsidRPr="00320BE5">
              <w:rPr>
                <w:rFonts w:asciiTheme="majorBidi" w:eastAsia="Times New Roman" w:hAnsiTheme="majorBidi" w:cstheme="majorBidi"/>
                <w:b/>
                <w:bCs/>
              </w:rPr>
              <w:t>Natural hazards and climate risks are integrated into educational institutions to reduce vulnerability and exposure, as well as to strengthen overcoming and adaptation to sustainable development</w:t>
            </w:r>
            <w:r w:rsidRPr="00B26D47">
              <w:rPr>
                <w:rFonts w:asciiTheme="majorBidi" w:eastAsia="Times New Roman" w:hAnsiTheme="majorBidi" w:cstheme="majorBidi"/>
                <w:b/>
                <w:bCs/>
                <w:color w:val="000000"/>
              </w:rPr>
              <w:t>.</w:t>
            </w:r>
          </w:p>
        </w:tc>
      </w:tr>
      <w:tr w:rsidR="00240A36" w:rsidRPr="00B26D47" w:rsidTr="0023340C">
        <w:trPr>
          <w:trHeight w:val="95"/>
          <w:jc w:val="center"/>
        </w:trPr>
        <w:tc>
          <w:tcPr>
            <w:tcW w:w="5285"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Key performance indicators</w:t>
            </w:r>
          </w:p>
        </w:tc>
        <w:tc>
          <w:tcPr>
            <w:tcW w:w="17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lang w:val="ru-RU"/>
              </w:rPr>
            </w:pPr>
            <w:r w:rsidRPr="00B26D47">
              <w:rPr>
                <w:rFonts w:asciiTheme="majorBidi" w:eastAsia="Times New Roman" w:hAnsiTheme="majorBidi" w:cstheme="majorBidi"/>
                <w:color w:val="000000"/>
              </w:rPr>
              <w:t>20</w:t>
            </w:r>
            <w:r>
              <w:rPr>
                <w:rFonts w:asciiTheme="majorBidi" w:eastAsia="Times New Roman" w:hAnsiTheme="majorBidi" w:cstheme="majorBidi"/>
                <w:color w:val="000000"/>
              </w:rPr>
              <w:t>19/20</w:t>
            </w:r>
            <w:r w:rsidRPr="00B26D47">
              <w:rPr>
                <w:rFonts w:asciiTheme="majorBidi" w:eastAsia="Times New Roman" w:hAnsiTheme="majorBidi" w:cstheme="majorBidi"/>
                <w:color w:val="000000"/>
              </w:rPr>
              <w:t xml:space="preserve">20                 </w:t>
            </w:r>
            <w:r>
              <w:rPr>
                <w:rFonts w:asciiTheme="majorBidi" w:eastAsia="Times New Roman" w:hAnsiTheme="majorBidi" w:cstheme="majorBidi"/>
                <w:color w:val="000000"/>
              </w:rPr>
              <w:t xml:space="preserve">academic year </w:t>
            </w:r>
            <w:r w:rsidRPr="00B26D47">
              <w:rPr>
                <w:rFonts w:asciiTheme="majorBidi" w:eastAsia="Times New Roman" w:hAnsiTheme="majorBidi" w:cstheme="majorBidi"/>
                <w:color w:val="000000"/>
                <w:lang w:val="ru-RU"/>
              </w:rPr>
              <w:t>(</w:t>
            </w:r>
            <w:r w:rsidRPr="00B26D47">
              <w:rPr>
                <w:rFonts w:asciiTheme="majorBidi" w:eastAsia="Times New Roman" w:hAnsiTheme="majorBidi" w:cstheme="majorBidi"/>
                <w:color w:val="000000"/>
              </w:rPr>
              <w:t>baseline</w:t>
            </w:r>
            <w:r w:rsidRPr="00B26D47">
              <w:rPr>
                <w:rFonts w:asciiTheme="majorBidi" w:eastAsia="Times New Roman" w:hAnsiTheme="majorBidi" w:cstheme="majorBidi"/>
                <w:color w:val="000000"/>
                <w:lang w:val="ru-RU"/>
              </w:rPr>
              <w:t>)</w:t>
            </w:r>
          </w:p>
        </w:tc>
        <w:tc>
          <w:tcPr>
            <w:tcW w:w="17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2021-2023</w:t>
            </w:r>
          </w:p>
        </w:tc>
        <w:tc>
          <w:tcPr>
            <w:tcW w:w="17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2024-2026</w:t>
            </w:r>
          </w:p>
        </w:tc>
        <w:tc>
          <w:tcPr>
            <w:tcW w:w="1710"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2027-2030</w:t>
            </w:r>
          </w:p>
        </w:tc>
        <w:tc>
          <w:tcPr>
            <w:tcW w:w="2224" w:type="dxa"/>
            <w:tcBorders>
              <w:top w:val="single" w:sz="4" w:space="0" w:color="auto"/>
              <w:left w:val="nil"/>
              <w:bottom w:val="single" w:sz="4" w:space="0" w:color="auto"/>
              <w:right w:val="single" w:sz="4" w:space="0" w:color="auto"/>
            </w:tcBorders>
            <w:shd w:val="clear" w:color="auto" w:fill="D9D9D9" w:themeFill="background1" w:themeFillShade="D9"/>
            <w:vAlign w:val="center"/>
            <w:hideMark/>
          </w:tcPr>
          <w:p w:rsidR="00240A36" w:rsidRPr="00B26D47" w:rsidRDefault="00240A36" w:rsidP="0023340C">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color w:val="000000"/>
              </w:rPr>
              <w:t>Comments</w:t>
            </w:r>
          </w:p>
        </w:tc>
      </w:tr>
      <w:tr w:rsidR="00240A36" w:rsidRPr="00B26D47" w:rsidTr="0023340C">
        <w:trPr>
          <w:trHeight w:val="95"/>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A36" w:rsidRPr="00C8635F"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90</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240A36" w:rsidRPr="00C75B51" w:rsidRDefault="00240A36" w:rsidP="0023340C">
            <w:pPr>
              <w:spacing w:after="0" w:line="240" w:lineRule="auto"/>
              <w:rPr>
                <w:rFonts w:asciiTheme="majorBidi" w:eastAsia="Times New Roman" w:hAnsiTheme="majorBidi" w:cstheme="majorBidi"/>
              </w:rPr>
            </w:pPr>
            <w:r w:rsidRPr="00320BE5">
              <w:rPr>
                <w:rFonts w:asciiTheme="majorBidi" w:eastAsia="Times New Roman" w:hAnsiTheme="majorBidi" w:cstheme="majorBidi"/>
              </w:rPr>
              <w:t xml:space="preserve">Institutions, coordination mechanisms and networks, as well as national capacities to increase resilience to hazards and threats to the education sector (at </w:t>
            </w:r>
            <w:r w:rsidRPr="00B26D47">
              <w:rPr>
                <w:rFonts w:asciiTheme="majorBidi" w:eastAsia="Times New Roman" w:hAnsiTheme="majorBidi" w:cstheme="majorBidi"/>
              </w:rPr>
              <w:t>republican</w:t>
            </w:r>
            <w:r w:rsidRPr="00320BE5">
              <w:rPr>
                <w:rFonts w:asciiTheme="majorBidi" w:eastAsia="Times New Roman" w:hAnsiTheme="majorBidi" w:cstheme="majorBidi"/>
              </w:rPr>
              <w:t xml:space="preserve"> and </w:t>
            </w:r>
            <w:r w:rsidRPr="00B26D47">
              <w:rPr>
                <w:rFonts w:asciiTheme="majorBidi" w:eastAsia="Times New Roman" w:hAnsiTheme="majorBidi" w:cstheme="majorBidi"/>
              </w:rPr>
              <w:t>sub-national</w:t>
            </w:r>
            <w:r w:rsidRPr="00320BE5">
              <w:rPr>
                <w:rFonts w:asciiTheme="majorBidi" w:eastAsia="Times New Roman" w:hAnsiTheme="majorBidi" w:cstheme="majorBidi"/>
              </w:rPr>
              <w:t xml:space="preserve"> levels) are developed and strengthened.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Weak resilience of educational institutions to natural hazards and other risks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Staff capacity has been enhanced with respect to resilience to hazards in education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Coordination mechanisms and networks are developed to improve resilience</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Resilience is improved among educational institutions to withstand natural hazards and other risks</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240A36" w:rsidRPr="00B26D47" w:rsidTr="0023340C">
        <w:trPr>
          <w:trHeight w:val="288"/>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A36" w:rsidRPr="00C8635F" w:rsidRDefault="001744EC" w:rsidP="0023340C">
            <w:pPr>
              <w:spacing w:after="0" w:line="240" w:lineRule="auto"/>
              <w:jc w:val="center"/>
              <w:rPr>
                <w:rFonts w:asciiTheme="majorBidi" w:eastAsia="Times New Roman" w:hAnsiTheme="majorBidi" w:cstheme="majorBidi"/>
              </w:rPr>
            </w:pPr>
            <w:r>
              <w:rPr>
                <w:rFonts w:asciiTheme="majorBidi" w:eastAsia="Times New Roman" w:hAnsiTheme="majorBidi" w:cstheme="majorBidi"/>
              </w:rPr>
              <w:t>91</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240A36" w:rsidRPr="00C75B51" w:rsidRDefault="00240A36" w:rsidP="0023340C">
            <w:pPr>
              <w:spacing w:after="0" w:line="240" w:lineRule="auto"/>
              <w:rPr>
                <w:rFonts w:asciiTheme="majorBidi" w:eastAsia="Times New Roman" w:hAnsiTheme="majorBidi" w:cstheme="majorBidi"/>
              </w:rPr>
            </w:pPr>
            <w:r w:rsidRPr="00320BE5">
              <w:rPr>
                <w:rFonts w:asciiTheme="majorBidi" w:eastAsia="Times New Roman" w:hAnsiTheme="majorBidi" w:cstheme="majorBidi"/>
              </w:rPr>
              <w:t>Disaster risk reduction approaches (for emergency preparedness, response and recovery) have been introduced in the implementation of educational programs</w:t>
            </w:r>
            <w:r w:rsidRPr="00B26D47">
              <w:rPr>
                <w:rFonts w:asciiTheme="majorBidi" w:eastAsia="Times New Roman" w:hAnsiTheme="majorBidi" w:cstheme="majorBidi"/>
              </w:rPr>
              <w:t>, i.e. in learning and training materials for children and teachers</w:t>
            </w:r>
            <w:r w:rsidRPr="00320BE5">
              <w:rPr>
                <w:rFonts w:asciiTheme="majorBidi" w:eastAsia="Times New Roman" w:hAnsiTheme="majorBidi" w:cstheme="majorBidi"/>
              </w:rPr>
              <w:t>.</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23340C">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Educational institutions do not implement disaster risk reduction approaches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C02AD4">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Disaster risk reduction approaches are introduced</w:t>
            </w:r>
            <w:r>
              <w:rPr>
                <w:rFonts w:asciiTheme="majorBidi" w:eastAsia="Times New Roman" w:hAnsiTheme="majorBidi" w:cstheme="majorBidi"/>
              </w:rPr>
              <w:t xml:space="preserve"> </w:t>
            </w:r>
            <w:r w:rsidRPr="00B26D47">
              <w:rPr>
                <w:rFonts w:asciiTheme="majorBidi" w:eastAsia="Times New Roman" w:hAnsiTheme="majorBidi" w:cstheme="majorBidi"/>
              </w:rPr>
              <w:t>in preschool and general secondary educational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C02AD4">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Disaster risk reduction approaches are introduced in academic programs in IVET and SVET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C02AD4">
            <w:pPr>
              <w:spacing w:after="0" w:line="240" w:lineRule="auto"/>
              <w:jc w:val="center"/>
              <w:rPr>
                <w:rFonts w:asciiTheme="majorBidi" w:eastAsia="Times New Roman" w:hAnsiTheme="majorBidi" w:cstheme="majorBidi"/>
              </w:rPr>
            </w:pPr>
            <w:r w:rsidRPr="00B26D47">
              <w:rPr>
                <w:rFonts w:asciiTheme="majorBidi" w:eastAsia="Times New Roman" w:hAnsiTheme="majorBidi" w:cstheme="majorBidi"/>
              </w:rPr>
              <w:t>Disaster risk reduction approaches are introduced in academic programs in higher professional education</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r w:rsidR="00240A36" w:rsidRPr="00B26D47" w:rsidTr="0023340C">
        <w:trPr>
          <w:trHeight w:val="279"/>
          <w:jc w:val="center"/>
        </w:trPr>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0A36" w:rsidRPr="00C8635F" w:rsidRDefault="001744EC" w:rsidP="007A7428">
            <w:pPr>
              <w:spacing w:after="0" w:line="240" w:lineRule="auto"/>
              <w:jc w:val="center"/>
              <w:rPr>
                <w:rFonts w:asciiTheme="majorBidi" w:eastAsia="Times New Roman" w:hAnsiTheme="majorBidi" w:cstheme="majorBidi"/>
              </w:rPr>
            </w:pPr>
            <w:r>
              <w:rPr>
                <w:rFonts w:asciiTheme="majorBidi" w:eastAsia="Times New Roman" w:hAnsiTheme="majorBidi" w:cstheme="majorBidi"/>
              </w:rPr>
              <w:t>92</w:t>
            </w:r>
          </w:p>
        </w:tc>
        <w:tc>
          <w:tcPr>
            <w:tcW w:w="4744" w:type="dxa"/>
            <w:tcBorders>
              <w:top w:val="single" w:sz="4" w:space="0" w:color="auto"/>
              <w:left w:val="nil"/>
              <w:bottom w:val="single" w:sz="4" w:space="0" w:color="auto"/>
              <w:right w:val="single" w:sz="4" w:space="0" w:color="auto"/>
            </w:tcBorders>
            <w:shd w:val="clear" w:color="auto" w:fill="auto"/>
            <w:vAlign w:val="center"/>
            <w:hideMark/>
          </w:tcPr>
          <w:p w:rsidR="00240A36" w:rsidRPr="00C8635F" w:rsidRDefault="00240A36" w:rsidP="007A7428">
            <w:pPr>
              <w:spacing w:after="0" w:line="240" w:lineRule="auto"/>
              <w:rPr>
                <w:rFonts w:asciiTheme="majorBidi" w:eastAsia="Times New Roman" w:hAnsiTheme="majorBidi" w:cstheme="majorBidi"/>
              </w:rPr>
            </w:pPr>
            <w:r w:rsidRPr="00C8635F">
              <w:rPr>
                <w:rFonts w:asciiTheme="majorBidi" w:eastAsia="Times New Roman" w:hAnsiTheme="majorBidi" w:cstheme="majorBidi"/>
              </w:rPr>
              <w:t>Enhanced access of educational institutions and government education authorities to hazard-related evidence (such as, for example, early warning system data and disaster risk information), including the provision of environmental education for children/students in educational institutions.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C8635F" w:rsidRDefault="00240A36" w:rsidP="0023340C">
            <w:pPr>
              <w:spacing w:after="0" w:line="240" w:lineRule="auto"/>
              <w:jc w:val="center"/>
              <w:rPr>
                <w:rFonts w:asciiTheme="majorBidi" w:eastAsia="Times New Roman" w:hAnsiTheme="majorBidi" w:cstheme="majorBidi"/>
              </w:rPr>
            </w:pPr>
            <w:r w:rsidRPr="00C8635F">
              <w:rPr>
                <w:rFonts w:asciiTheme="majorBidi" w:eastAsia="Times New Roman" w:hAnsiTheme="majorBidi" w:cstheme="majorBidi"/>
              </w:rPr>
              <w:t>Access to hazard-related evidence is limited and environmental matters are not paid due attention</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C8635F" w:rsidRDefault="00240A36" w:rsidP="0023340C">
            <w:pPr>
              <w:spacing w:after="0" w:line="240" w:lineRule="auto"/>
              <w:jc w:val="center"/>
              <w:rPr>
                <w:rFonts w:asciiTheme="majorBidi" w:eastAsia="Times New Roman" w:hAnsiTheme="majorBidi" w:cstheme="majorBidi"/>
              </w:rPr>
            </w:pPr>
            <w:r w:rsidRPr="00C8635F">
              <w:rPr>
                <w:rFonts w:asciiTheme="majorBidi" w:eastAsia="Times New Roman" w:hAnsiTheme="majorBidi" w:cstheme="majorBidi"/>
              </w:rPr>
              <w:t>Capacity of staff and knowledge of students in educational institutions has been enhanced in relation to use of data re: natural hazards and other risks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C8635F" w:rsidRDefault="00240A36" w:rsidP="0023340C">
            <w:pPr>
              <w:spacing w:after="0" w:line="240" w:lineRule="auto"/>
              <w:jc w:val="center"/>
              <w:rPr>
                <w:rFonts w:asciiTheme="majorBidi" w:eastAsia="Times New Roman" w:hAnsiTheme="majorBidi" w:cstheme="majorBidi"/>
              </w:rPr>
            </w:pPr>
            <w:r w:rsidRPr="00C8635F">
              <w:rPr>
                <w:rFonts w:asciiTheme="majorBidi" w:eastAsia="Times New Roman" w:hAnsiTheme="majorBidi" w:cstheme="majorBidi"/>
              </w:rPr>
              <w:t>Interaction between educational institutions and the Ministry of Emergency Situations has been improved</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40A36" w:rsidRPr="00C8635F" w:rsidRDefault="00240A36" w:rsidP="007A7428">
            <w:pPr>
              <w:spacing w:after="0" w:line="240" w:lineRule="auto"/>
              <w:jc w:val="center"/>
              <w:rPr>
                <w:rFonts w:asciiTheme="majorBidi" w:eastAsia="Times New Roman" w:hAnsiTheme="majorBidi" w:cstheme="majorBidi"/>
              </w:rPr>
            </w:pPr>
            <w:r w:rsidRPr="00C8635F">
              <w:rPr>
                <w:rFonts w:asciiTheme="majorBidi" w:eastAsia="Times New Roman" w:hAnsiTheme="majorBidi" w:cstheme="majorBidi"/>
              </w:rPr>
              <w:t>All educational institutions have access to hazard-related data and training (e.g., early warning system data and disaster risk information)</w:t>
            </w:r>
          </w:p>
        </w:tc>
        <w:tc>
          <w:tcPr>
            <w:tcW w:w="2224" w:type="dxa"/>
            <w:tcBorders>
              <w:top w:val="single" w:sz="4" w:space="0" w:color="auto"/>
              <w:left w:val="nil"/>
              <w:bottom w:val="single" w:sz="4" w:space="0" w:color="auto"/>
              <w:right w:val="single" w:sz="4" w:space="0" w:color="auto"/>
            </w:tcBorders>
            <w:shd w:val="clear" w:color="auto" w:fill="auto"/>
            <w:vAlign w:val="center"/>
            <w:hideMark/>
          </w:tcPr>
          <w:p w:rsidR="00240A36" w:rsidRPr="00B26D47" w:rsidRDefault="00240A36" w:rsidP="009B3EE7">
            <w:pPr>
              <w:spacing w:after="0" w:line="240" w:lineRule="auto"/>
              <w:jc w:val="center"/>
              <w:rPr>
                <w:rFonts w:asciiTheme="majorBidi" w:eastAsia="Times New Roman" w:hAnsiTheme="majorBidi" w:cstheme="majorBidi"/>
                <w:color w:val="000000"/>
              </w:rPr>
            </w:pPr>
            <w:r w:rsidRPr="00B26D47">
              <w:rPr>
                <w:rFonts w:asciiTheme="majorBidi" w:eastAsia="Times New Roman" w:hAnsiTheme="majorBidi" w:cstheme="majorBidi"/>
              </w:rPr>
              <w:t>Indicator was not previously monitored</w:t>
            </w:r>
          </w:p>
        </w:tc>
      </w:tr>
    </w:tbl>
    <w:p w:rsidR="00B37CAD" w:rsidRPr="007900CA" w:rsidRDefault="00B37CAD" w:rsidP="00B37CAD">
      <w:pPr>
        <w:rPr>
          <w:lang w:val="ru-RU"/>
        </w:rPr>
      </w:pPr>
    </w:p>
    <w:sectPr w:rsidR="00B37CAD" w:rsidRPr="007900CA" w:rsidSect="0023340C">
      <w:pgSz w:w="15840" w:h="12240" w:orient="landscape"/>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6AB551" w15:done="0"/>
  <w15:commentEx w15:paraId="2D26A41A" w15:done="0"/>
  <w15:commentEx w15:paraId="44F707DA" w15:done="0"/>
  <w15:commentEx w15:paraId="3C670B03" w15:done="0"/>
  <w15:commentEx w15:paraId="564589F1" w15:done="0"/>
  <w15:commentEx w15:paraId="2589AB72" w15:done="0"/>
  <w15:commentEx w15:paraId="1476AB70" w15:paraIdParent="2589AB72" w15:done="0"/>
  <w15:commentEx w15:paraId="3C577ED0" w15:done="0"/>
  <w15:commentEx w15:paraId="35F19D3D" w15:paraIdParent="3C577ED0" w15:done="0"/>
  <w15:commentEx w15:paraId="4DD1072E" w15:paraIdParent="3C577ED0" w15:done="0"/>
  <w15:commentEx w15:paraId="03A8C629" w15:done="0"/>
  <w15:commentEx w15:paraId="48B23914" w15:paraIdParent="03A8C629" w15:done="0"/>
  <w15:commentEx w15:paraId="09891441" w15:paraIdParent="03A8C629" w15:done="0"/>
  <w15:commentEx w15:paraId="0C9A044C" w15:done="0"/>
  <w15:commentEx w15:paraId="755152BA" w15:done="0"/>
  <w15:commentEx w15:paraId="63D084B5" w15:done="0"/>
  <w15:commentEx w15:paraId="0C020BC1" w15:done="0"/>
  <w15:commentEx w15:paraId="3A9A33C3" w15:done="0"/>
  <w15:commentEx w15:paraId="1711A57C" w15:paraIdParent="3A9A33C3" w15:done="0"/>
  <w15:commentEx w15:paraId="54E0D3FC" w15:done="0"/>
  <w15:commentEx w15:paraId="3FFEB79F" w15:done="0"/>
  <w15:commentEx w15:paraId="3BAB708B" w15:done="0"/>
  <w15:commentEx w15:paraId="2E0FC5C4" w15:paraIdParent="3BAB708B" w15:done="0"/>
  <w15:commentEx w15:paraId="41A804CE" w15:done="0"/>
  <w15:commentEx w15:paraId="693FDA53" w15:paraIdParent="41A804CE" w15:done="0"/>
  <w15:commentEx w15:paraId="7CC6C924" w15:done="0"/>
  <w15:commentEx w15:paraId="7EA46C4E" w15:paraIdParent="7CC6C924" w15:done="0"/>
  <w15:commentEx w15:paraId="4EF82C0B" w15:done="0"/>
  <w15:commentEx w15:paraId="3522B98E" w15:done="0"/>
  <w15:commentEx w15:paraId="711F5765" w15:done="0"/>
  <w15:commentEx w15:paraId="31D6F847" w15:paraIdParent="711F5765" w15:done="0"/>
  <w15:commentEx w15:paraId="6F9CC5D7" w15:done="0"/>
  <w15:commentEx w15:paraId="5A68BE7E" w15:done="0"/>
  <w15:commentEx w15:paraId="0A5FEC88" w15:paraIdParent="5A68BE7E" w15:done="0"/>
  <w15:commentEx w15:paraId="224E5AB4" w15:paraIdParent="5A68BE7E" w15:done="0"/>
  <w15:commentEx w15:paraId="0E353314" w15:done="0"/>
  <w15:commentEx w15:paraId="1716FE17" w15:done="0"/>
  <w15:commentEx w15:paraId="4F4216C7" w15:done="0"/>
  <w15:commentEx w15:paraId="1AF3AADB" w15:paraIdParent="4F4216C7" w15:done="0"/>
  <w15:commentEx w15:paraId="31DFBA0F" w15:paraIdParent="4F4216C7" w15:done="0"/>
  <w15:commentEx w15:paraId="3B5DDF09" w15:done="0"/>
  <w15:commentEx w15:paraId="64617E9B" w15:done="0"/>
  <w15:commentEx w15:paraId="0289FA27" w15:paraIdParent="64617E9B" w15:done="0"/>
  <w15:commentEx w15:paraId="47DA38A1" w15:done="0"/>
  <w15:commentEx w15:paraId="43074616" w15:done="0"/>
  <w15:commentEx w15:paraId="73185035" w15:done="0"/>
  <w15:commentEx w15:paraId="044BDC76" w15:paraIdParent="73185035" w15:done="0"/>
  <w15:commentEx w15:paraId="3A341517" w15:paraIdParent="73185035" w15:done="0"/>
  <w15:commentEx w15:paraId="5BF4F565" w15:paraIdParent="73185035" w15:done="0"/>
  <w15:commentEx w15:paraId="24F0756F" w15:done="0"/>
  <w15:commentEx w15:paraId="2F59F9A7" w15:done="0"/>
  <w15:commentEx w15:paraId="4ED6F1EE" w15:done="0"/>
  <w15:commentEx w15:paraId="36D98F46" w15:done="0"/>
  <w15:commentEx w15:paraId="43C69867" w15:paraIdParent="36D98F46" w15:done="0"/>
  <w15:commentEx w15:paraId="39E60991" w15:done="0"/>
  <w15:commentEx w15:paraId="09BEBE15" w15:paraIdParent="39E60991" w15:done="0"/>
  <w15:commentEx w15:paraId="4BEB0E27" w15:done="0"/>
  <w15:commentEx w15:paraId="02530A6B" w15:done="0"/>
  <w15:commentEx w15:paraId="77737098" w15:paraIdParent="02530A6B" w15:done="0"/>
  <w15:commentEx w15:paraId="2D17953B" w15:paraIdParent="02530A6B" w15:done="0"/>
  <w15:commentEx w15:paraId="58665554" w15:done="0"/>
  <w15:commentEx w15:paraId="3E1C8C72" w15:paraIdParent="58665554" w15:done="0"/>
  <w15:commentEx w15:paraId="21C22A34" w15:done="0"/>
  <w15:commentEx w15:paraId="14871167" w15:done="0"/>
  <w15:commentEx w15:paraId="1F9AA6F1" w15:paraIdParent="14871167" w15:done="0"/>
  <w15:commentEx w15:paraId="0D094A72" w15:done="0"/>
  <w15:commentEx w15:paraId="58350521" w15:paraIdParent="0D094A72" w15:done="0"/>
  <w15:commentEx w15:paraId="094C6B62" w15:done="0"/>
  <w15:commentEx w15:paraId="10E2A15A" w15:done="0"/>
  <w15:commentEx w15:paraId="336EFDDE" w15:paraIdParent="10E2A15A" w15:done="0"/>
  <w15:commentEx w15:paraId="289BFF76" w15:done="0"/>
  <w15:commentEx w15:paraId="7F60CAE6" w15:done="0"/>
  <w15:commentEx w15:paraId="17F6B665" w15:paraIdParent="7F60CAE6" w15:done="0"/>
  <w15:commentEx w15:paraId="3F54E5AC" w15:done="0"/>
  <w15:commentEx w15:paraId="101C31F6" w15:done="0"/>
  <w15:commentEx w15:paraId="36FBC4BC" w15:done="0"/>
  <w15:commentEx w15:paraId="73B7448C" w15:done="0"/>
  <w15:commentEx w15:paraId="65AB2306" w15:paraIdParent="73B744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6AB551" w16cid:durableId="2325D5D6"/>
  <w16cid:commentId w16cid:paraId="2D26A41A" w16cid:durableId="2325D5C6"/>
  <w16cid:commentId w16cid:paraId="44F707DA" w16cid:durableId="2325D700"/>
  <w16cid:commentId w16cid:paraId="3C670B03" w16cid:durableId="2325DCF7"/>
  <w16cid:commentId w16cid:paraId="564589F1" w16cid:durableId="2325DE11"/>
  <w16cid:commentId w16cid:paraId="2589AB72" w16cid:durableId="2325DE27"/>
  <w16cid:commentId w16cid:paraId="1476AB70" w16cid:durableId="2325DE28"/>
  <w16cid:commentId w16cid:paraId="3C577ED0" w16cid:durableId="23206EDF"/>
  <w16cid:commentId w16cid:paraId="35F19D3D" w16cid:durableId="2325B22E"/>
  <w16cid:commentId w16cid:paraId="4DD1072E" w16cid:durableId="2325DE57"/>
  <w16cid:commentId w16cid:paraId="03A8C629" w16cid:durableId="23206E58"/>
  <w16cid:commentId w16cid:paraId="48B23914" w16cid:durableId="2325B263"/>
  <w16cid:commentId w16cid:paraId="09891441" w16cid:durableId="2325DF07"/>
  <w16cid:commentId w16cid:paraId="0C9A044C" w16cid:durableId="2325E056"/>
  <w16cid:commentId w16cid:paraId="755152BA" w16cid:durableId="2325E08B"/>
  <w16cid:commentId w16cid:paraId="63D084B5" w16cid:durableId="2325E09A"/>
  <w16cid:commentId w16cid:paraId="0C020BC1" w16cid:durableId="2325E200"/>
  <w16cid:commentId w16cid:paraId="3A9A33C3" w16cid:durableId="2325B366"/>
  <w16cid:commentId w16cid:paraId="1711A57C" w16cid:durableId="2325E2CE"/>
  <w16cid:commentId w16cid:paraId="54E0D3FC" w16cid:durableId="2325E4C0"/>
  <w16cid:commentId w16cid:paraId="3FFEB79F" w16cid:durableId="23217F6F"/>
  <w16cid:commentId w16cid:paraId="3BAB708B" w16cid:durableId="23218027"/>
  <w16cid:commentId w16cid:paraId="2E0FC5C4" w16cid:durableId="2325E367"/>
  <w16cid:commentId w16cid:paraId="41A804CE" w16cid:durableId="2325B42C"/>
  <w16cid:commentId w16cid:paraId="693FDA53" w16cid:durableId="2325E3C6"/>
  <w16cid:commentId w16cid:paraId="7CC6C924" w16cid:durableId="23206E05"/>
  <w16cid:commentId w16cid:paraId="7EA46C4E" w16cid:durableId="2325E478"/>
  <w16cid:commentId w16cid:paraId="4EF82C0B" w16cid:durableId="2325B490"/>
  <w16cid:commentId w16cid:paraId="3522B98E" w16cid:durableId="2325E52D"/>
  <w16cid:commentId w16cid:paraId="711F5765" w16cid:durableId="23206E91"/>
  <w16cid:commentId w16cid:paraId="31D6F847" w16cid:durableId="2325B4D5"/>
  <w16cid:commentId w16cid:paraId="6F9CC5D7" w16cid:durableId="2325E579"/>
  <w16cid:commentId w16cid:paraId="5A68BE7E" w16cid:durableId="23206F7D"/>
  <w16cid:commentId w16cid:paraId="0A5FEC88" w16cid:durableId="2325B534"/>
  <w16cid:commentId w16cid:paraId="224E5AB4" w16cid:durableId="2325E5DA"/>
  <w16cid:commentId w16cid:paraId="0E353314" w16cid:durableId="2325BA50"/>
  <w16cid:commentId w16cid:paraId="1716FE17" w16cid:durableId="2325BB03"/>
  <w16cid:commentId w16cid:paraId="4F4216C7" w16cid:durableId="23218423"/>
  <w16cid:commentId w16cid:paraId="1AF3AADB" w16cid:durableId="2325BB8D"/>
  <w16cid:commentId w16cid:paraId="31DFBA0F" w16cid:durableId="2325E739"/>
  <w16cid:commentId w16cid:paraId="3B5DDF09" w16cid:durableId="232184C7"/>
  <w16cid:commentId w16cid:paraId="64617E9B" w16cid:durableId="2321854A"/>
  <w16cid:commentId w16cid:paraId="0289FA27" w16cid:durableId="2325BBB4"/>
  <w16cid:commentId w16cid:paraId="47DA38A1" w16cid:durableId="232186A5"/>
  <w16cid:commentId w16cid:paraId="43074616" w16cid:durableId="2325BC22"/>
  <w16cid:commentId w16cid:paraId="73185035" w16cid:durableId="23218650"/>
  <w16cid:commentId w16cid:paraId="044BDC76" w16cid:durableId="2325BC7D"/>
  <w16cid:commentId w16cid:paraId="3A341517" w16cid:durableId="2326B9AB"/>
  <w16cid:commentId w16cid:paraId="5BF4F565" w16cid:durableId="2326B9E7"/>
  <w16cid:commentId w16cid:paraId="24F0756F" w16cid:durableId="23218844"/>
  <w16cid:commentId w16cid:paraId="2F59F9A7" w16cid:durableId="232188E2"/>
  <w16cid:commentId w16cid:paraId="4ED6F1EE" w16cid:durableId="2325BD17"/>
  <w16cid:commentId w16cid:paraId="36D98F46" w16cid:durableId="23218A22"/>
  <w16cid:commentId w16cid:paraId="43C69867" w16cid:durableId="2325BDFC"/>
  <w16cid:commentId w16cid:paraId="39E60991" w16cid:durableId="23218A42"/>
  <w16cid:commentId w16cid:paraId="09BEBE15" w16cid:durableId="2325BE1B"/>
  <w16cid:commentId w16cid:paraId="4BEB0E27" w16cid:durableId="2325BE36"/>
  <w16cid:commentId w16cid:paraId="02530A6B" w16cid:durableId="2325BE81"/>
  <w16cid:commentId w16cid:paraId="77737098" w16cid:durableId="2326BCFB"/>
  <w16cid:commentId w16cid:paraId="2D17953B" w16cid:durableId="2326BD1D"/>
  <w16cid:commentId w16cid:paraId="58665554" w16cid:durableId="23218C3C"/>
  <w16cid:commentId w16cid:paraId="3E1C8C72" w16cid:durableId="2325BEFD"/>
  <w16cid:commentId w16cid:paraId="21C22A34" w16cid:durableId="2325BF2E"/>
  <w16cid:commentId w16cid:paraId="14871167" w16cid:durableId="23218CAD"/>
  <w16cid:commentId w16cid:paraId="1F9AA6F1" w16cid:durableId="2325BF76"/>
  <w16cid:commentId w16cid:paraId="0D094A72" w16cid:durableId="23218DB3"/>
  <w16cid:commentId w16cid:paraId="58350521" w16cid:durableId="2325BFC8"/>
  <w16cid:commentId w16cid:paraId="094C6B62" w16cid:durableId="2325BFE2"/>
  <w16cid:commentId w16cid:paraId="10E2A15A" w16cid:durableId="23218E32"/>
  <w16cid:commentId w16cid:paraId="336EFDDE" w16cid:durableId="2325C003"/>
  <w16cid:commentId w16cid:paraId="289BFF76" w16cid:durableId="23218EB1"/>
  <w16cid:commentId w16cid:paraId="7F60CAE6" w16cid:durableId="23206B1B"/>
  <w16cid:commentId w16cid:paraId="17F6B665" w16cid:durableId="2325C168"/>
  <w16cid:commentId w16cid:paraId="3F54E5AC" w16cid:durableId="23206BD0"/>
  <w16cid:commentId w16cid:paraId="101C31F6" w16cid:durableId="2326CACD"/>
  <w16cid:commentId w16cid:paraId="36FBC4BC" w16cid:durableId="23206C87"/>
  <w16cid:commentId w16cid:paraId="73B7448C" w16cid:durableId="23206D2D"/>
  <w16cid:commentId w16cid:paraId="65AB2306" w16cid:durableId="2325C207"/>
</w16cid:commentsId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 w:name="Microsoft Sans Serif">
    <w:panose1 w:val="020B0604020202020204"/>
    <w:charset w:val="00"/>
    <w:family w:val="swiss"/>
    <w:pitch w:val="variable"/>
    <w:sig w:usb0="E5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F038A0"/>
    <w:multiLevelType w:val="hybridMultilevel"/>
    <w:tmpl w:val="DC74ECE0"/>
    <w:lvl w:ilvl="0" w:tplc="8B629F6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shed Kurbonov">
    <w15:presenceInfo w15:providerId="AD" w15:userId="S::jkurbonov@unicef.org::c00ef6d9-c9cb-46a1-ad82-24c05f78c7f3"/>
  </w15:person>
  <w15:person w15:author="Shukufa Ibodova">
    <w15:presenceInfo w15:providerId="AD" w15:userId="S::sibodova@unicef.org::193cb077-b3cf-4970-8542-74f8958d5daf"/>
  </w15:person>
  <w15:person w15:author="Shahnoz Valijonbekova">
    <w15:presenceInfo w15:providerId="AD" w15:userId="S::svalijonbekova@unicef.org::8df74f5c-6ff2-46b6-91ed-7bcb2c47f599"/>
  </w15:person>
  <w15:person w15:author="Hurmat Dushanbiev">
    <w15:presenceInfo w15:providerId="AD" w15:userId="S::hdushanbiev@unicef.org::356867ef-4845-4213-8b77-9dfe31a14ce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savePreviewPicture/>
  <w:compat/>
  <w:rsids>
    <w:rsidRoot w:val="00B37CAD"/>
    <w:rsid w:val="00001105"/>
    <w:rsid w:val="00024743"/>
    <w:rsid w:val="00025E6D"/>
    <w:rsid w:val="00062BAE"/>
    <w:rsid w:val="000852B4"/>
    <w:rsid w:val="000C7164"/>
    <w:rsid w:val="000E6225"/>
    <w:rsid w:val="00103950"/>
    <w:rsid w:val="00105665"/>
    <w:rsid w:val="00132F8E"/>
    <w:rsid w:val="00133843"/>
    <w:rsid w:val="00133A48"/>
    <w:rsid w:val="00135D10"/>
    <w:rsid w:val="001744EC"/>
    <w:rsid w:val="00194A6D"/>
    <w:rsid w:val="001B5879"/>
    <w:rsid w:val="001D576E"/>
    <w:rsid w:val="001D6F69"/>
    <w:rsid w:val="0023340C"/>
    <w:rsid w:val="00240A36"/>
    <w:rsid w:val="002B6DC1"/>
    <w:rsid w:val="002C044A"/>
    <w:rsid w:val="002F7C1A"/>
    <w:rsid w:val="00315A82"/>
    <w:rsid w:val="00317332"/>
    <w:rsid w:val="00317656"/>
    <w:rsid w:val="00320BE5"/>
    <w:rsid w:val="00330DD1"/>
    <w:rsid w:val="00344B4B"/>
    <w:rsid w:val="00361709"/>
    <w:rsid w:val="00371333"/>
    <w:rsid w:val="003818D1"/>
    <w:rsid w:val="00392370"/>
    <w:rsid w:val="003E7CCA"/>
    <w:rsid w:val="003F51AB"/>
    <w:rsid w:val="00400D82"/>
    <w:rsid w:val="00401C9B"/>
    <w:rsid w:val="004119F5"/>
    <w:rsid w:val="0046026E"/>
    <w:rsid w:val="00464C39"/>
    <w:rsid w:val="0046725D"/>
    <w:rsid w:val="00467639"/>
    <w:rsid w:val="00491001"/>
    <w:rsid w:val="0049585F"/>
    <w:rsid w:val="004A346D"/>
    <w:rsid w:val="004A5FF2"/>
    <w:rsid w:val="004C35D9"/>
    <w:rsid w:val="00515B13"/>
    <w:rsid w:val="005272FE"/>
    <w:rsid w:val="0057404E"/>
    <w:rsid w:val="00584DB4"/>
    <w:rsid w:val="005B64F7"/>
    <w:rsid w:val="005C02E7"/>
    <w:rsid w:val="00662A71"/>
    <w:rsid w:val="00662E2E"/>
    <w:rsid w:val="006714FD"/>
    <w:rsid w:val="00683C70"/>
    <w:rsid w:val="006D0664"/>
    <w:rsid w:val="0070148C"/>
    <w:rsid w:val="007225A6"/>
    <w:rsid w:val="0074344E"/>
    <w:rsid w:val="00753778"/>
    <w:rsid w:val="007903C7"/>
    <w:rsid w:val="007A3DFD"/>
    <w:rsid w:val="007A7428"/>
    <w:rsid w:val="007E0467"/>
    <w:rsid w:val="007E05F6"/>
    <w:rsid w:val="007F2BE6"/>
    <w:rsid w:val="00836054"/>
    <w:rsid w:val="008E67EB"/>
    <w:rsid w:val="00907117"/>
    <w:rsid w:val="009151C2"/>
    <w:rsid w:val="00926BB2"/>
    <w:rsid w:val="0092749A"/>
    <w:rsid w:val="00941A1C"/>
    <w:rsid w:val="0098144D"/>
    <w:rsid w:val="009B3EE7"/>
    <w:rsid w:val="009D13C4"/>
    <w:rsid w:val="00A0672F"/>
    <w:rsid w:val="00A4062B"/>
    <w:rsid w:val="00A50684"/>
    <w:rsid w:val="00AE1E50"/>
    <w:rsid w:val="00AE6C6F"/>
    <w:rsid w:val="00B00217"/>
    <w:rsid w:val="00B0696D"/>
    <w:rsid w:val="00B37CAD"/>
    <w:rsid w:val="00B45A21"/>
    <w:rsid w:val="00B747AC"/>
    <w:rsid w:val="00B92CF0"/>
    <w:rsid w:val="00B94DC0"/>
    <w:rsid w:val="00BA001A"/>
    <w:rsid w:val="00BB19A4"/>
    <w:rsid w:val="00BC26DE"/>
    <w:rsid w:val="00BC292F"/>
    <w:rsid w:val="00BE1B89"/>
    <w:rsid w:val="00BF23B6"/>
    <w:rsid w:val="00C02AD4"/>
    <w:rsid w:val="00C1415A"/>
    <w:rsid w:val="00C25380"/>
    <w:rsid w:val="00C65670"/>
    <w:rsid w:val="00C75B51"/>
    <w:rsid w:val="00C8635F"/>
    <w:rsid w:val="00CB073D"/>
    <w:rsid w:val="00CB7001"/>
    <w:rsid w:val="00CF0B0A"/>
    <w:rsid w:val="00CF3481"/>
    <w:rsid w:val="00CF4453"/>
    <w:rsid w:val="00D52A26"/>
    <w:rsid w:val="00D65332"/>
    <w:rsid w:val="00DB6954"/>
    <w:rsid w:val="00DC6971"/>
    <w:rsid w:val="00E14881"/>
    <w:rsid w:val="00E47096"/>
    <w:rsid w:val="00E70337"/>
    <w:rsid w:val="00EB3E42"/>
    <w:rsid w:val="00ED14DE"/>
    <w:rsid w:val="00ED1CCF"/>
    <w:rsid w:val="00EE44AC"/>
    <w:rsid w:val="00F138E2"/>
    <w:rsid w:val="00F4608B"/>
    <w:rsid w:val="00F463CF"/>
    <w:rsid w:val="00F722C6"/>
    <w:rsid w:val="00F80452"/>
    <w:rsid w:val="00FE306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7CAD"/>
  </w:style>
  <w:style w:type="paragraph" w:styleId="Heading1">
    <w:name w:val="heading 1"/>
    <w:basedOn w:val="Normal"/>
    <w:next w:val="Normal"/>
    <w:link w:val="Heading1Char"/>
    <w:uiPriority w:val="9"/>
    <w:qFormat/>
    <w:rsid w:val="00B37C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37C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B37CAD"/>
    <w:pPr>
      <w:keepNext/>
      <w:spacing w:after="0" w:line="280" w:lineRule="atLeast"/>
      <w:outlineLvl w:val="3"/>
    </w:pPr>
    <w:rPr>
      <w:rFonts w:ascii="Times New Roman" w:eastAsia="Times New Roman" w:hAnsi="Times New Roman" w:cs="Times New Roman"/>
      <w:bCs/>
      <w:i/>
      <w:color w:val="0A55A3"/>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C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37C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7CA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B37CAD"/>
    <w:rPr>
      <w:rFonts w:ascii="Times New Roman" w:eastAsia="Times New Roman" w:hAnsi="Times New Roman" w:cs="Times New Roman"/>
      <w:bCs/>
      <w:i/>
      <w:color w:val="0A55A3"/>
      <w:szCs w:val="28"/>
      <w:lang w:val="en-GB"/>
    </w:rPr>
  </w:style>
  <w:style w:type="table" w:styleId="TableGrid">
    <w:name w:val="Table Grid"/>
    <w:basedOn w:val="TableNormal"/>
    <w:uiPriority w:val="59"/>
    <w:rsid w:val="00B37CA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7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CAD"/>
  </w:style>
  <w:style w:type="paragraph" w:styleId="Footer">
    <w:name w:val="footer"/>
    <w:basedOn w:val="Normal"/>
    <w:link w:val="FooterChar"/>
    <w:uiPriority w:val="99"/>
    <w:unhideWhenUsed/>
    <w:rsid w:val="00B37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CAD"/>
  </w:style>
  <w:style w:type="paragraph" w:styleId="ListParagraph">
    <w:name w:val="List Paragraph"/>
    <w:aliases w:val="EOD Bullets,Colorful List - Accent 11,Bullets,Evidence on Demand bullet points,CEIL PEAKS bullet points,Scriptoria bullet points,Dot pt,No Spacing1,List Paragraph Char Char Char,Indicator Text,List Paragraph1,Numbered Para 1,Bullet Points"/>
    <w:basedOn w:val="Normal"/>
    <w:link w:val="ListParagraphChar"/>
    <w:uiPriority w:val="34"/>
    <w:qFormat/>
    <w:rsid w:val="00B37CAD"/>
    <w:pPr>
      <w:ind w:left="720"/>
      <w:contextualSpacing/>
    </w:pPr>
  </w:style>
  <w:style w:type="paragraph" w:styleId="BalloonText">
    <w:name w:val="Balloon Text"/>
    <w:basedOn w:val="Normal"/>
    <w:link w:val="BalloonTextChar"/>
    <w:uiPriority w:val="99"/>
    <w:semiHidden/>
    <w:unhideWhenUsed/>
    <w:rsid w:val="00B37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7CAD"/>
    <w:rPr>
      <w:rFonts w:ascii="Tahoma" w:hAnsi="Tahoma" w:cs="Tahoma"/>
      <w:sz w:val="16"/>
      <w:szCs w:val="16"/>
    </w:rPr>
  </w:style>
  <w:style w:type="paragraph" w:styleId="TOCHeading">
    <w:name w:val="TOC Heading"/>
    <w:basedOn w:val="Heading1"/>
    <w:next w:val="Normal"/>
    <w:uiPriority w:val="39"/>
    <w:unhideWhenUsed/>
    <w:qFormat/>
    <w:rsid w:val="00B37CAD"/>
    <w:pPr>
      <w:outlineLvl w:val="9"/>
    </w:pPr>
  </w:style>
  <w:style w:type="paragraph" w:styleId="TOC1">
    <w:name w:val="toc 1"/>
    <w:basedOn w:val="Normal"/>
    <w:next w:val="Normal"/>
    <w:autoRedefine/>
    <w:uiPriority w:val="39"/>
    <w:unhideWhenUsed/>
    <w:rsid w:val="00B37CAD"/>
    <w:pPr>
      <w:spacing w:after="100"/>
    </w:pPr>
  </w:style>
  <w:style w:type="paragraph" w:styleId="TOC2">
    <w:name w:val="toc 2"/>
    <w:basedOn w:val="Normal"/>
    <w:next w:val="Normal"/>
    <w:autoRedefine/>
    <w:uiPriority w:val="39"/>
    <w:unhideWhenUsed/>
    <w:rsid w:val="00B37CAD"/>
    <w:pPr>
      <w:spacing w:after="100"/>
      <w:ind w:left="220"/>
    </w:pPr>
  </w:style>
  <w:style w:type="character" w:styleId="Hyperlink">
    <w:name w:val="Hyperlink"/>
    <w:basedOn w:val="DefaultParagraphFont"/>
    <w:uiPriority w:val="99"/>
    <w:unhideWhenUsed/>
    <w:rsid w:val="00B37CAD"/>
    <w:rPr>
      <w:color w:val="0000FF" w:themeColor="hyperlink"/>
      <w:u w:val="single"/>
    </w:rPr>
  </w:style>
  <w:style w:type="paragraph" w:styleId="FootnoteText">
    <w:name w:val="footnote text"/>
    <w:basedOn w:val="Normal"/>
    <w:link w:val="FootnoteTextChar"/>
    <w:uiPriority w:val="99"/>
    <w:unhideWhenUsed/>
    <w:rsid w:val="00B37CAD"/>
    <w:pPr>
      <w:spacing w:after="0" w:line="240" w:lineRule="auto"/>
    </w:pPr>
    <w:rPr>
      <w:sz w:val="20"/>
      <w:szCs w:val="20"/>
    </w:rPr>
  </w:style>
  <w:style w:type="character" w:customStyle="1" w:styleId="FootnoteTextChar">
    <w:name w:val="Footnote Text Char"/>
    <w:basedOn w:val="DefaultParagraphFont"/>
    <w:link w:val="FootnoteText"/>
    <w:uiPriority w:val="99"/>
    <w:rsid w:val="00B37CAD"/>
    <w:rPr>
      <w:sz w:val="20"/>
      <w:szCs w:val="20"/>
    </w:rPr>
  </w:style>
  <w:style w:type="character" w:styleId="FootnoteReference">
    <w:name w:val="footnote reference"/>
    <w:basedOn w:val="DefaultParagraphFont"/>
    <w:uiPriority w:val="99"/>
    <w:semiHidden/>
    <w:unhideWhenUsed/>
    <w:rsid w:val="00B37CAD"/>
    <w:rPr>
      <w:vertAlign w:val="superscript"/>
    </w:rPr>
  </w:style>
  <w:style w:type="paragraph" w:customStyle="1" w:styleId="Char">
    <w:name w:val="Char"/>
    <w:basedOn w:val="Normal"/>
    <w:rsid w:val="00B37CAD"/>
    <w:pPr>
      <w:spacing w:after="160" w:line="240" w:lineRule="exact"/>
    </w:pPr>
    <w:rPr>
      <w:rFonts w:ascii="Verdana" w:eastAsia="Times New Roman" w:hAnsi="Verdana" w:cs="Times New Roman"/>
      <w:sz w:val="20"/>
      <w:szCs w:val="20"/>
    </w:rPr>
  </w:style>
  <w:style w:type="character" w:customStyle="1" w:styleId="ListParagraphChar">
    <w:name w:val="List Paragraph Char"/>
    <w:aliases w:val="EOD Bullets Char,Colorful List - Accent 11 Char,Bullets Char,Evidence on Demand bullet points Char,CEIL PEAKS bullet points Char,Scriptoria bullet points Char,Dot pt Char,No Spacing1 Char,List Paragraph Char Char Char Char"/>
    <w:basedOn w:val="DefaultParagraphFont"/>
    <w:link w:val="ListParagraph"/>
    <w:uiPriority w:val="34"/>
    <w:qFormat/>
    <w:rsid w:val="00B37CAD"/>
  </w:style>
  <w:style w:type="paragraph" w:styleId="TOC3">
    <w:name w:val="toc 3"/>
    <w:basedOn w:val="Normal"/>
    <w:next w:val="Normal"/>
    <w:autoRedefine/>
    <w:uiPriority w:val="39"/>
    <w:unhideWhenUsed/>
    <w:rsid w:val="00B37CAD"/>
    <w:pPr>
      <w:spacing w:after="100"/>
      <w:ind w:left="440"/>
    </w:pPr>
  </w:style>
  <w:style w:type="character" w:customStyle="1" w:styleId="alt-edited">
    <w:name w:val="alt-edited"/>
    <w:basedOn w:val="DefaultParagraphFont"/>
    <w:rsid w:val="00B37CAD"/>
  </w:style>
  <w:style w:type="character" w:styleId="CommentReference">
    <w:name w:val="annotation reference"/>
    <w:basedOn w:val="DefaultParagraphFont"/>
    <w:uiPriority w:val="99"/>
    <w:semiHidden/>
    <w:unhideWhenUsed/>
    <w:rsid w:val="00B37CAD"/>
    <w:rPr>
      <w:sz w:val="16"/>
      <w:szCs w:val="16"/>
    </w:rPr>
  </w:style>
  <w:style w:type="paragraph" w:styleId="CommentText">
    <w:name w:val="annotation text"/>
    <w:basedOn w:val="Normal"/>
    <w:link w:val="CommentTextChar"/>
    <w:uiPriority w:val="99"/>
    <w:semiHidden/>
    <w:unhideWhenUsed/>
    <w:rsid w:val="00B37CAD"/>
    <w:pPr>
      <w:spacing w:line="240" w:lineRule="auto"/>
    </w:pPr>
    <w:rPr>
      <w:sz w:val="20"/>
      <w:szCs w:val="20"/>
    </w:rPr>
  </w:style>
  <w:style w:type="character" w:customStyle="1" w:styleId="CommentTextChar">
    <w:name w:val="Comment Text Char"/>
    <w:basedOn w:val="DefaultParagraphFont"/>
    <w:link w:val="CommentText"/>
    <w:uiPriority w:val="99"/>
    <w:semiHidden/>
    <w:rsid w:val="00B37CAD"/>
    <w:rPr>
      <w:sz w:val="20"/>
      <w:szCs w:val="20"/>
    </w:rPr>
  </w:style>
  <w:style w:type="paragraph" w:styleId="CommentSubject">
    <w:name w:val="annotation subject"/>
    <w:basedOn w:val="CommentText"/>
    <w:next w:val="CommentText"/>
    <w:link w:val="CommentSubjectChar"/>
    <w:uiPriority w:val="99"/>
    <w:semiHidden/>
    <w:unhideWhenUsed/>
    <w:rsid w:val="00B37CAD"/>
    <w:rPr>
      <w:b/>
      <w:bCs/>
    </w:rPr>
  </w:style>
  <w:style w:type="character" w:customStyle="1" w:styleId="CommentSubjectChar">
    <w:name w:val="Comment Subject Char"/>
    <w:basedOn w:val="CommentTextChar"/>
    <w:link w:val="CommentSubject"/>
    <w:uiPriority w:val="99"/>
    <w:semiHidden/>
    <w:rsid w:val="00B37CAD"/>
    <w:rPr>
      <w:b/>
      <w:bCs/>
      <w:sz w:val="20"/>
      <w:szCs w:val="20"/>
    </w:rPr>
  </w:style>
  <w:style w:type="paragraph" w:styleId="Revision">
    <w:name w:val="Revision"/>
    <w:hidden/>
    <w:uiPriority w:val="99"/>
    <w:semiHidden/>
    <w:rsid w:val="00B37CAD"/>
    <w:pPr>
      <w:spacing w:after="0" w:line="240" w:lineRule="auto"/>
    </w:pPr>
  </w:style>
  <w:style w:type="paragraph" w:customStyle="1" w:styleId="Default">
    <w:name w:val="Default"/>
    <w:rsid w:val="00B37CA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rsid w:val="00B37CAD"/>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PlainTable11">
    <w:name w:val="Plain Table 11"/>
    <w:basedOn w:val="TableNormal"/>
    <w:uiPriority w:val="41"/>
    <w:rsid w:val="00B37CAD"/>
    <w:pPr>
      <w:spacing w:after="0" w:line="240" w:lineRule="auto"/>
    </w:pPr>
    <w:rPr>
      <w:rFonts w:ascii="Times New Roman" w:hAnsi="Times New Roman" w:cs="Angsana New"/>
      <w:sz w:val="20"/>
      <w:szCs w:val="20"/>
      <w:lang w:val="ru-RU"/>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1">
    <w:name w:val="Абзац списка1"/>
    <w:basedOn w:val="Normal"/>
    <w:qFormat/>
    <w:rsid w:val="00B37CAD"/>
    <w:pPr>
      <w:ind w:left="720"/>
    </w:pPr>
    <w:rPr>
      <w:rFonts w:ascii="Calibri" w:eastAsia="Times New Roman" w:hAnsi="Calibri" w:cs="Calibri"/>
      <w:lang w:val="ru-RU" w:eastAsia="ru-RU"/>
    </w:rPr>
  </w:style>
  <w:style w:type="character" w:customStyle="1" w:styleId="viewsanadhohighlight">
    <w:name w:val="view_sanadho_highlight"/>
    <w:rsid w:val="00B37CAD"/>
  </w:style>
  <w:style w:type="table" w:customStyle="1" w:styleId="10">
    <w:name w:val="Сетка таблицы1"/>
    <w:basedOn w:val="TableNormal"/>
    <w:next w:val="TableGrid"/>
    <w:uiPriority w:val="59"/>
    <w:rsid w:val="00B37CAD"/>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2">
    <w:name w:val="Сетка таблицы2"/>
    <w:basedOn w:val="TableNormal"/>
    <w:next w:val="TableGrid"/>
    <w:uiPriority w:val="59"/>
    <w:rsid w:val="00B37CAD"/>
    <w:pPr>
      <w:spacing w:after="0" w:line="240" w:lineRule="auto"/>
    </w:pPr>
    <w:rPr>
      <w:lang w:val="ru-R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4">
    <w:name w:val="toc 4"/>
    <w:basedOn w:val="Normal"/>
    <w:next w:val="Normal"/>
    <w:autoRedefine/>
    <w:uiPriority w:val="39"/>
    <w:unhideWhenUsed/>
    <w:rsid w:val="00B37CAD"/>
    <w:pPr>
      <w:spacing w:after="100" w:line="259" w:lineRule="auto"/>
      <w:ind w:left="660"/>
    </w:pPr>
    <w:rPr>
      <w:rFonts w:eastAsiaTheme="minorEastAsia"/>
      <w:lang w:val="ru-RU" w:eastAsia="ru-RU"/>
    </w:rPr>
  </w:style>
  <w:style w:type="paragraph" w:styleId="TOC5">
    <w:name w:val="toc 5"/>
    <w:basedOn w:val="Normal"/>
    <w:next w:val="Normal"/>
    <w:autoRedefine/>
    <w:uiPriority w:val="39"/>
    <w:unhideWhenUsed/>
    <w:rsid w:val="00B37CAD"/>
    <w:pPr>
      <w:spacing w:after="100" w:line="259" w:lineRule="auto"/>
      <w:ind w:left="880"/>
    </w:pPr>
    <w:rPr>
      <w:rFonts w:eastAsiaTheme="minorEastAsia"/>
      <w:lang w:val="ru-RU" w:eastAsia="ru-RU"/>
    </w:rPr>
  </w:style>
  <w:style w:type="paragraph" w:styleId="TOC6">
    <w:name w:val="toc 6"/>
    <w:basedOn w:val="Normal"/>
    <w:next w:val="Normal"/>
    <w:autoRedefine/>
    <w:uiPriority w:val="39"/>
    <w:unhideWhenUsed/>
    <w:rsid w:val="00B37CAD"/>
    <w:pPr>
      <w:spacing w:after="100" w:line="259" w:lineRule="auto"/>
      <w:ind w:left="1100"/>
    </w:pPr>
    <w:rPr>
      <w:rFonts w:eastAsiaTheme="minorEastAsia"/>
      <w:lang w:val="ru-RU" w:eastAsia="ru-RU"/>
    </w:rPr>
  </w:style>
  <w:style w:type="paragraph" w:styleId="TOC7">
    <w:name w:val="toc 7"/>
    <w:basedOn w:val="Normal"/>
    <w:next w:val="Normal"/>
    <w:autoRedefine/>
    <w:uiPriority w:val="39"/>
    <w:unhideWhenUsed/>
    <w:rsid w:val="00B37CAD"/>
    <w:pPr>
      <w:spacing w:after="100" w:line="259" w:lineRule="auto"/>
      <w:ind w:left="1320"/>
    </w:pPr>
    <w:rPr>
      <w:rFonts w:eastAsiaTheme="minorEastAsia"/>
      <w:lang w:val="ru-RU" w:eastAsia="ru-RU"/>
    </w:rPr>
  </w:style>
  <w:style w:type="paragraph" w:styleId="TOC8">
    <w:name w:val="toc 8"/>
    <w:basedOn w:val="Normal"/>
    <w:next w:val="Normal"/>
    <w:autoRedefine/>
    <w:uiPriority w:val="39"/>
    <w:unhideWhenUsed/>
    <w:rsid w:val="00B37CAD"/>
    <w:pPr>
      <w:spacing w:after="100" w:line="259" w:lineRule="auto"/>
      <w:ind w:left="1540"/>
    </w:pPr>
    <w:rPr>
      <w:rFonts w:eastAsiaTheme="minorEastAsia"/>
      <w:lang w:val="ru-RU" w:eastAsia="ru-RU"/>
    </w:rPr>
  </w:style>
  <w:style w:type="paragraph" w:styleId="TOC9">
    <w:name w:val="toc 9"/>
    <w:basedOn w:val="Normal"/>
    <w:next w:val="Normal"/>
    <w:autoRedefine/>
    <w:uiPriority w:val="39"/>
    <w:unhideWhenUsed/>
    <w:rsid w:val="00B37CAD"/>
    <w:pPr>
      <w:spacing w:after="100" w:line="259" w:lineRule="auto"/>
      <w:ind w:left="1760"/>
    </w:pPr>
    <w:rPr>
      <w:rFonts w:eastAsiaTheme="minorEastAsia"/>
      <w:lang w:val="ru-RU" w:eastAsia="ru-RU"/>
    </w:rPr>
  </w:style>
  <w:style w:type="paragraph" w:styleId="NoSpacing">
    <w:name w:val="No Spacing"/>
    <w:uiPriority w:val="1"/>
    <w:qFormat/>
    <w:rsid w:val="00B37CAD"/>
    <w:pPr>
      <w:spacing w:after="0" w:line="240" w:lineRule="auto"/>
    </w:pPr>
    <w:rPr>
      <w:rFonts w:ascii="Calibri" w:eastAsia="Calibri" w:hAnsi="Calibri" w:cs="Times New Roman"/>
    </w:rPr>
  </w:style>
  <w:style w:type="paragraph" w:styleId="Subtitle">
    <w:name w:val="Subtitle"/>
    <w:basedOn w:val="Normal"/>
    <w:next w:val="Normal"/>
    <w:link w:val="SubtitleChar"/>
    <w:qFormat/>
    <w:rsid w:val="00B37CAD"/>
    <w:pPr>
      <w:spacing w:after="60" w:line="240" w:lineRule="auto"/>
      <w:ind w:firstLine="709"/>
      <w:jc w:val="center"/>
      <w:outlineLvl w:val="1"/>
    </w:pPr>
    <w:rPr>
      <w:rFonts w:ascii="Cambria" w:eastAsia="Times New Roman" w:hAnsi="Cambria" w:cs="Times New Roman"/>
      <w:sz w:val="24"/>
      <w:szCs w:val="24"/>
      <w:lang w:val="ru-RU"/>
    </w:rPr>
  </w:style>
  <w:style w:type="character" w:customStyle="1" w:styleId="SubtitleChar">
    <w:name w:val="Subtitle Char"/>
    <w:basedOn w:val="DefaultParagraphFont"/>
    <w:link w:val="Subtitle"/>
    <w:rsid w:val="00B37CAD"/>
    <w:rPr>
      <w:rFonts w:ascii="Cambria" w:eastAsia="Times New Roman" w:hAnsi="Cambria" w:cs="Times New Roman"/>
      <w:sz w:val="24"/>
      <w:szCs w:val="24"/>
      <w:lang w:val="ru-RU"/>
    </w:rPr>
  </w:style>
  <w:style w:type="paragraph" w:styleId="HTMLPreformatted">
    <w:name w:val="HTML Preformatted"/>
    <w:basedOn w:val="Normal"/>
    <w:link w:val="HTMLPreformattedChar"/>
    <w:uiPriority w:val="99"/>
    <w:unhideWhenUsed/>
    <w:rsid w:val="00B37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B37CAD"/>
    <w:rPr>
      <w:rFonts w:ascii="Courier New" w:eastAsia="Times New Roman" w:hAnsi="Courier New" w:cs="Courier New"/>
      <w:sz w:val="20"/>
      <w:szCs w:val="20"/>
      <w:lang w:val="ru-RU" w:eastAsia="ru-RU"/>
    </w:rPr>
  </w:style>
  <w:style w:type="character" w:customStyle="1" w:styleId="BodyTextChar">
    <w:name w:val="Body Text Char"/>
    <w:basedOn w:val="DefaultParagraphFont"/>
    <w:link w:val="BodyText"/>
    <w:rsid w:val="00B37CAD"/>
    <w:rPr>
      <w:sz w:val="18"/>
      <w:szCs w:val="18"/>
      <w:shd w:val="clear" w:color="auto" w:fill="FFFFFF"/>
    </w:rPr>
  </w:style>
  <w:style w:type="paragraph" w:styleId="BodyText">
    <w:name w:val="Body Text"/>
    <w:basedOn w:val="Normal"/>
    <w:link w:val="BodyTextChar"/>
    <w:rsid w:val="00B37CAD"/>
    <w:pPr>
      <w:shd w:val="clear" w:color="auto" w:fill="FFFFFF"/>
      <w:spacing w:after="180" w:line="216" w:lineRule="exact"/>
      <w:jc w:val="both"/>
    </w:pPr>
    <w:rPr>
      <w:sz w:val="18"/>
      <w:szCs w:val="18"/>
    </w:rPr>
  </w:style>
  <w:style w:type="character" w:customStyle="1" w:styleId="BodyTextChar1">
    <w:name w:val="Body Text Char1"/>
    <w:basedOn w:val="DefaultParagraphFont"/>
    <w:uiPriority w:val="99"/>
    <w:semiHidden/>
    <w:rsid w:val="00B37CAD"/>
  </w:style>
  <w:style w:type="character" w:customStyle="1" w:styleId="11">
    <w:name w:val="Основной текст + Полужирный1"/>
    <w:basedOn w:val="BodyTextChar"/>
    <w:rsid w:val="00B37CAD"/>
    <w:rPr>
      <w:rFonts w:ascii="Times New Roman" w:hAnsi="Times New Roman" w:cs="Times New Roman"/>
      <w:b/>
      <w:bCs/>
      <w:spacing w:val="0"/>
      <w:sz w:val="18"/>
      <w:szCs w:val="18"/>
      <w:shd w:val="clear" w:color="auto" w:fill="FFFFFF"/>
    </w:rPr>
  </w:style>
  <w:style w:type="character" w:customStyle="1" w:styleId="st">
    <w:name w:val="st"/>
    <w:basedOn w:val="DefaultParagraphFont"/>
    <w:rsid w:val="00B37CAD"/>
  </w:style>
  <w:style w:type="character" w:styleId="Emphasis">
    <w:name w:val="Emphasis"/>
    <w:basedOn w:val="DefaultParagraphFont"/>
    <w:uiPriority w:val="20"/>
    <w:qFormat/>
    <w:rsid w:val="00B37CAD"/>
    <w:rPr>
      <w:i/>
      <w:iCs/>
    </w:rPr>
  </w:style>
  <w:style w:type="character" w:customStyle="1" w:styleId="tlid-translation">
    <w:name w:val="tlid-translation"/>
    <w:basedOn w:val="DefaultParagraphFont"/>
    <w:rsid w:val="00B37CAD"/>
  </w:style>
  <w:style w:type="character" w:styleId="Strong">
    <w:name w:val="Strong"/>
    <w:basedOn w:val="DefaultParagraphFont"/>
    <w:uiPriority w:val="22"/>
    <w:qFormat/>
    <w:rsid w:val="00B37CAD"/>
    <w:rPr>
      <w:b/>
      <w:bCs/>
    </w:rPr>
  </w:style>
  <w:style w:type="paragraph" w:customStyle="1" w:styleId="Heading40">
    <w:name w:val="Heading4"/>
    <w:basedOn w:val="Heading4"/>
    <w:link w:val="Heading4Char0"/>
    <w:rsid w:val="00B37CAD"/>
    <w:pPr>
      <w:spacing w:line="240" w:lineRule="auto"/>
    </w:pPr>
    <w:rPr>
      <w:rFonts w:asciiTheme="minorHAnsi" w:hAnsiTheme="minorHAnsi" w:cstheme="minorHAnsi"/>
      <w:b/>
      <w:bCs w:val="0"/>
      <w:color w:val="auto"/>
    </w:rPr>
  </w:style>
  <w:style w:type="character" w:customStyle="1" w:styleId="Heading4Char0">
    <w:name w:val="Heading4 Char"/>
    <w:basedOn w:val="Heading4Char"/>
    <w:link w:val="Heading40"/>
    <w:rsid w:val="00B37CAD"/>
    <w:rPr>
      <w:rFonts w:ascii="Times New Roman" w:eastAsia="Times New Roman" w:hAnsi="Times New Roman" w:cstheme="minorHAnsi"/>
      <w:b/>
      <w:bCs/>
      <w:i/>
      <w:color w:val="0A55A3"/>
      <w:szCs w:val="28"/>
      <w:lang w:val="en-GB"/>
    </w:rPr>
  </w:style>
  <w:style w:type="character" w:customStyle="1" w:styleId="FontStyle12">
    <w:name w:val="Font Style12"/>
    <w:rsid w:val="00B37CAD"/>
    <w:rPr>
      <w:rFonts w:ascii="Microsoft Sans Serif" w:hAnsi="Microsoft Sans Serif"/>
      <w:sz w:val="28"/>
    </w:rPr>
  </w:style>
  <w:style w:type="paragraph" w:customStyle="1" w:styleId="12">
    <w:name w:val="Без интервала1"/>
    <w:qFormat/>
    <w:rsid w:val="00B37CAD"/>
    <w:pPr>
      <w:spacing w:after="0" w:line="240" w:lineRule="auto"/>
    </w:pPr>
    <w:rPr>
      <w:rFonts w:ascii="Calibri" w:eastAsia="Times New Roman" w:hAnsi="Calibri" w:cs="Times New Roman"/>
      <w:lang w:val="ru-RU"/>
    </w:rPr>
  </w:style>
  <w:style w:type="table" w:customStyle="1" w:styleId="13">
    <w:name w:val="Сетка таблицы светлая1"/>
    <w:basedOn w:val="TableNormal"/>
    <w:uiPriority w:val="40"/>
    <w:rsid w:val="00B37CAD"/>
    <w:pPr>
      <w:spacing w:after="0" w:line="240" w:lineRule="auto"/>
    </w:pPr>
    <w:rPr>
      <w:lang w:val="ru-RU"/>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20</Pages>
  <Words>5946</Words>
  <Characters>33898</Characters>
  <Application>Microsoft Office Word</Application>
  <DocSecurity>0</DocSecurity>
  <Lines>282</Lines>
  <Paragraphs>79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October 26, 2020</vt:lpstr>
      <vt:lpstr>KEY PERFORMANCE INDICATORS (KPIs) for the NSED 2021-2030</vt:lpstr>
    </vt:vector>
  </TitlesOfParts>
  <Company/>
  <LinksUpToDate>false</LinksUpToDate>
  <CharactersWithSpaces>39765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Shuhrat</dc:creator>
  <cp:lastModifiedBy>Shuhrat</cp:lastModifiedBy>
  <cp:revision>45</cp:revision>
  <dcterms:created xsi:type="dcterms:W3CDTF">2020-10-06T11:53:00Z</dcterms:created>
  <dcterms:modified xsi:type="dcterms:W3CDTF">2020-10-26T08:23:00Z</dcterms:modified>
</cp:coreProperties>
</file>