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99" w:rsidRPr="00C36D4B" w:rsidRDefault="00C36D4B" w:rsidP="00C36D4B">
      <w:pPr>
        <w:pStyle w:val="Heading1"/>
        <w:spacing w:before="0" w:line="240" w:lineRule="auto"/>
        <w:jc w:val="right"/>
        <w:rPr>
          <w:rFonts w:asciiTheme="majorBidi" w:hAnsiTheme="majorBidi"/>
          <w:b w:val="0"/>
          <w:bCs w:val="0"/>
          <w:color w:val="auto"/>
          <w:sz w:val="22"/>
          <w:szCs w:val="22"/>
          <w:lang w:val="ru-RU"/>
        </w:rPr>
      </w:pPr>
      <w:bookmarkStart w:id="0" w:name="_Toc38091744"/>
      <w:bookmarkStart w:id="1" w:name="_Toc38412343"/>
      <w:r w:rsidRPr="00C36D4B">
        <w:rPr>
          <w:rFonts w:asciiTheme="majorBidi" w:hAnsiTheme="majorBidi"/>
          <w:b w:val="0"/>
          <w:bCs w:val="0"/>
          <w:color w:val="auto"/>
          <w:sz w:val="22"/>
          <w:szCs w:val="22"/>
        </w:rPr>
        <w:t>26</w:t>
      </w:r>
      <w:r w:rsidR="00B67A99" w:rsidRPr="00C36D4B">
        <w:rPr>
          <w:rFonts w:asciiTheme="majorBidi" w:hAnsiTheme="majorBidi"/>
          <w:b w:val="0"/>
          <w:bCs w:val="0"/>
          <w:color w:val="auto"/>
          <w:sz w:val="22"/>
          <w:szCs w:val="22"/>
        </w:rPr>
        <w:t xml:space="preserve"> </w:t>
      </w:r>
      <w:r w:rsidR="00B01F1A" w:rsidRPr="00C36D4B">
        <w:rPr>
          <w:rFonts w:asciiTheme="majorBidi" w:hAnsiTheme="majorBidi"/>
          <w:b w:val="0"/>
          <w:bCs w:val="0"/>
          <w:color w:val="auto"/>
          <w:sz w:val="22"/>
          <w:szCs w:val="22"/>
          <w:lang w:val="ru-RU"/>
        </w:rPr>
        <w:t>ок</w:t>
      </w:r>
      <w:r w:rsidR="00B67A99" w:rsidRPr="00C36D4B">
        <w:rPr>
          <w:rFonts w:asciiTheme="majorBidi" w:hAnsiTheme="majorBidi"/>
          <w:b w:val="0"/>
          <w:bCs w:val="0"/>
          <w:color w:val="auto"/>
          <w:sz w:val="22"/>
          <w:szCs w:val="22"/>
          <w:lang w:val="ru-RU"/>
        </w:rPr>
        <w:t>тября 2020 г.</w:t>
      </w:r>
    </w:p>
    <w:p w:rsidR="00B67A99" w:rsidRPr="00B67A99" w:rsidRDefault="00B67A99" w:rsidP="00C36D4B">
      <w:pPr>
        <w:spacing w:after="0" w:line="240" w:lineRule="auto"/>
      </w:pPr>
    </w:p>
    <w:p w:rsidR="0076034B" w:rsidRPr="00696843" w:rsidRDefault="0076034B" w:rsidP="00C36D4B">
      <w:pPr>
        <w:pStyle w:val="Heading1"/>
        <w:spacing w:before="0" w:line="240" w:lineRule="auto"/>
        <w:jc w:val="center"/>
        <w:rPr>
          <w:rFonts w:asciiTheme="majorBidi" w:hAnsiTheme="majorBidi"/>
          <w:color w:val="auto"/>
          <w:lang w:val="ru-RU"/>
        </w:rPr>
      </w:pPr>
      <w:r w:rsidRPr="001610A4">
        <w:rPr>
          <w:rFonts w:asciiTheme="majorBidi" w:hAnsiTheme="majorBidi"/>
          <w:color w:val="auto"/>
          <w:lang w:val="ru-RU"/>
        </w:rPr>
        <w:t>КЛЮЧЕВЫ</w:t>
      </w:r>
      <w:r w:rsidR="00696843">
        <w:rPr>
          <w:rFonts w:asciiTheme="majorBidi" w:hAnsiTheme="majorBidi"/>
          <w:color w:val="auto"/>
          <w:lang w:val="ru-RU"/>
        </w:rPr>
        <w:t>Е</w:t>
      </w:r>
      <w:r w:rsidRPr="001610A4">
        <w:rPr>
          <w:rFonts w:asciiTheme="majorBidi" w:hAnsiTheme="majorBidi"/>
          <w:color w:val="auto"/>
          <w:lang w:val="ru-RU"/>
        </w:rPr>
        <w:t xml:space="preserve"> ИНДИКАТОР</w:t>
      </w:r>
      <w:r w:rsidR="00696843">
        <w:rPr>
          <w:rFonts w:asciiTheme="majorBidi" w:hAnsiTheme="majorBidi"/>
          <w:color w:val="auto"/>
          <w:lang w:val="ru-RU"/>
        </w:rPr>
        <w:t>Ы</w:t>
      </w:r>
      <w:r w:rsidRPr="001610A4">
        <w:rPr>
          <w:rFonts w:asciiTheme="majorBidi" w:hAnsiTheme="majorBidi"/>
          <w:color w:val="auto"/>
          <w:lang w:val="ru-RU"/>
        </w:rPr>
        <w:t xml:space="preserve"> РЕЗУЛЬТАТИВНОСТИ</w:t>
      </w:r>
      <w:bookmarkEnd w:id="0"/>
      <w:bookmarkEnd w:id="1"/>
      <w:r w:rsidR="00696843">
        <w:rPr>
          <w:rFonts w:asciiTheme="majorBidi" w:hAnsiTheme="majorBidi"/>
          <w:color w:val="auto"/>
        </w:rPr>
        <w:t xml:space="preserve"> </w:t>
      </w:r>
      <w:r w:rsidR="00696843">
        <w:rPr>
          <w:rFonts w:asciiTheme="majorBidi" w:hAnsiTheme="majorBidi"/>
          <w:color w:val="auto"/>
          <w:lang w:val="ru-RU"/>
        </w:rPr>
        <w:t>ДЛЯ НСРО НА ПЕРИОД 2021-2030 гг.</w:t>
      </w:r>
    </w:p>
    <w:p w:rsidR="0076034B" w:rsidRPr="001610A4" w:rsidRDefault="0076034B" w:rsidP="00C36D4B">
      <w:pPr>
        <w:spacing w:after="0" w:line="240" w:lineRule="auto"/>
        <w:rPr>
          <w:rFonts w:asciiTheme="majorBidi" w:hAnsiTheme="majorBidi" w:cstheme="majorBidi"/>
          <w:lang w:val="ru-RU"/>
        </w:rPr>
      </w:pPr>
    </w:p>
    <w:tbl>
      <w:tblPr>
        <w:tblW w:w="14328" w:type="dxa"/>
        <w:jc w:val="center"/>
        <w:tblLook w:val="04A0"/>
      </w:tblPr>
      <w:tblGrid>
        <w:gridCol w:w="505"/>
        <w:gridCol w:w="4806"/>
        <w:gridCol w:w="1653"/>
        <w:gridCol w:w="1729"/>
        <w:gridCol w:w="1667"/>
        <w:gridCol w:w="1734"/>
        <w:gridCol w:w="2234"/>
      </w:tblGrid>
      <w:tr w:rsidR="0076034B" w:rsidRPr="001610A4" w:rsidTr="00DA5212">
        <w:trPr>
          <w:trHeight w:val="405"/>
          <w:jc w:val="center"/>
        </w:trPr>
        <w:tc>
          <w:tcPr>
            <w:tcW w:w="143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</w:rPr>
              <w:t>1.</w:t>
            </w:r>
            <w:r w:rsidRPr="001610A4">
              <w:rPr>
                <w:rFonts w:asciiTheme="majorBidi" w:eastAsia="Times New Roman" w:hAnsiTheme="majorBidi" w:cstheme="majorBidi"/>
                <w:b/>
                <w:bCs/>
                <w:sz w:val="14"/>
                <w:szCs w:val="14"/>
              </w:rPr>
              <w:t xml:space="preserve"> </w:t>
            </w: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СКВОЗНЫЕ ИНДИКАТОРЫ</w:t>
            </w:r>
          </w:p>
        </w:tc>
      </w:tr>
      <w:tr w:rsidR="00B01F1A" w:rsidRPr="001610A4" w:rsidTr="00DA5212">
        <w:trPr>
          <w:trHeight w:val="600"/>
          <w:jc w:val="center"/>
        </w:trPr>
        <w:tc>
          <w:tcPr>
            <w:tcW w:w="5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76034B" w:rsidRPr="001610A4" w:rsidTr="00DA5212">
        <w:trPr>
          <w:trHeight w:val="431"/>
          <w:jc w:val="center"/>
        </w:trPr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6034B" w:rsidRPr="00C36D4B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C36D4B">
              <w:rPr>
                <w:rFonts w:asciiTheme="majorBidi" w:eastAsia="Times New Roman" w:hAnsiTheme="majorBidi" w:cstheme="majorBidi"/>
                <w:lang w:val="ru-RU"/>
              </w:rPr>
              <w:t>1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Доля лиц с профессиональным образованием среди занятого населения, в том числе: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32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5%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60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01F1A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НСР-2030</w:t>
            </w:r>
          </w:p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 </w:t>
            </w:r>
          </w:p>
        </w:tc>
      </w:tr>
      <w:tr w:rsidR="0076034B" w:rsidRPr="001610A4" w:rsidTr="00DA5212">
        <w:trPr>
          <w:trHeight w:val="300"/>
          <w:jc w:val="center"/>
        </w:trPr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6034B" w:rsidRPr="00C36D4B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мужчины</w:t>
            </w:r>
            <w:r w:rsidRPr="001610A4">
              <w:rPr>
                <w:rFonts w:asciiTheme="majorBidi" w:eastAsia="Times New Roman" w:hAnsiTheme="majorBidi" w:cstheme="majorBidi"/>
              </w:rPr>
              <w:t>;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36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5%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42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58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68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DA5212">
        <w:trPr>
          <w:trHeight w:val="85"/>
          <w:jc w:val="center"/>
        </w:trPr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6034B" w:rsidRPr="00C36D4B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женщины.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28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5%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DA5212">
        <w:trPr>
          <w:trHeight w:val="85"/>
          <w:jc w:val="center"/>
        </w:trPr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6034B" w:rsidRPr="00C36D4B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C36D4B">
              <w:rPr>
                <w:rFonts w:asciiTheme="majorBidi" w:eastAsia="Times New Roman" w:hAnsiTheme="majorBidi" w:cstheme="majorBidi"/>
                <w:lang w:val="ru-RU"/>
              </w:rPr>
              <w:t>2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Охват людей с ограниченными возможностями образовательными учреждениями всех уровней, в том числе: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15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8%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35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50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22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НСР-2030</w:t>
            </w:r>
          </w:p>
        </w:tc>
      </w:tr>
      <w:tr w:rsidR="0076034B" w:rsidRPr="001610A4" w:rsidTr="00DA5212">
        <w:trPr>
          <w:trHeight w:val="85"/>
          <w:jc w:val="center"/>
        </w:trPr>
        <w:tc>
          <w:tcPr>
            <w:tcW w:w="50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6034B" w:rsidRPr="00C36D4B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мужчины</w:t>
            </w:r>
            <w:r w:rsidRPr="001610A4">
              <w:rPr>
                <w:rFonts w:asciiTheme="majorBidi" w:eastAsia="Times New Roman" w:hAnsiTheme="majorBidi" w:cstheme="majorBidi"/>
              </w:rPr>
              <w:t>;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17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2%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22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5%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40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55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22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DA5212">
        <w:trPr>
          <w:trHeight w:val="85"/>
          <w:jc w:val="center"/>
        </w:trPr>
        <w:tc>
          <w:tcPr>
            <w:tcW w:w="50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6034B" w:rsidRPr="00C36D4B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женщины.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13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9%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18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5%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30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45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22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DA5212">
        <w:trPr>
          <w:trHeight w:val="85"/>
          <w:jc w:val="center"/>
        </w:trPr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6034B" w:rsidRPr="00C36D4B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C36D4B">
              <w:rPr>
                <w:rFonts w:asciiTheme="majorBidi" w:eastAsia="Times New Roman" w:hAnsiTheme="majorBidi" w:cstheme="majorBidi"/>
                <w:lang w:val="ru-RU"/>
              </w:rPr>
              <w:t>3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C36D4B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C36D4B">
              <w:rPr>
                <w:rFonts w:asciiTheme="majorBidi" w:eastAsia="Times New Roman" w:hAnsiTheme="majorBidi" w:cstheme="majorBidi"/>
                <w:lang w:val="ru-RU"/>
              </w:rPr>
              <w:t xml:space="preserve">Уровень </w:t>
            </w:r>
            <w:r w:rsidR="00B01F1A" w:rsidRPr="00C36D4B">
              <w:rPr>
                <w:rFonts w:asciiTheme="majorBidi" w:eastAsia="Times New Roman" w:hAnsiTheme="majorBidi" w:cstheme="majorBidi"/>
                <w:lang w:val="ru-RU"/>
              </w:rPr>
              <w:t>участия</w:t>
            </w:r>
            <w:r w:rsidRPr="00C36D4B">
              <w:rPr>
                <w:rFonts w:asciiTheme="majorBidi" w:eastAsia="Times New Roman" w:hAnsiTheme="majorBidi" w:cstheme="majorBidi"/>
                <w:lang w:val="ru-RU"/>
              </w:rPr>
              <w:t xml:space="preserve"> молодёжи и взрослых </w:t>
            </w:r>
            <w:r w:rsidR="00B01F1A" w:rsidRPr="00C36D4B">
              <w:rPr>
                <w:rFonts w:asciiTheme="majorBidi" w:eastAsia="Times New Roman" w:hAnsiTheme="majorBidi" w:cstheme="majorBidi"/>
                <w:lang w:val="ru-RU"/>
              </w:rPr>
              <w:t xml:space="preserve">в </w:t>
            </w:r>
            <w:r w:rsidRPr="00C36D4B">
              <w:rPr>
                <w:rFonts w:asciiTheme="majorBidi" w:eastAsia="Times New Roman" w:hAnsiTheme="majorBidi" w:cstheme="majorBidi"/>
                <w:lang w:val="ru-RU"/>
              </w:rPr>
              <w:t>формальн</w:t>
            </w:r>
            <w:r w:rsidR="00B01F1A" w:rsidRPr="00C36D4B">
              <w:rPr>
                <w:rFonts w:asciiTheme="majorBidi" w:eastAsia="Times New Roman" w:hAnsiTheme="majorBidi" w:cstheme="majorBidi"/>
                <w:lang w:val="ru-RU"/>
              </w:rPr>
              <w:t>ом</w:t>
            </w:r>
            <w:r w:rsidRPr="00C36D4B">
              <w:rPr>
                <w:rFonts w:asciiTheme="majorBidi" w:eastAsia="Times New Roman" w:hAnsiTheme="majorBidi" w:cstheme="majorBidi"/>
                <w:lang w:val="ru-RU"/>
              </w:rPr>
              <w:t xml:space="preserve"> и неформальн</w:t>
            </w:r>
            <w:r w:rsidR="00B01F1A" w:rsidRPr="00C36D4B">
              <w:rPr>
                <w:rFonts w:asciiTheme="majorBidi" w:eastAsia="Times New Roman" w:hAnsiTheme="majorBidi" w:cstheme="majorBidi"/>
                <w:lang w:val="ru-RU"/>
              </w:rPr>
              <w:t>ом</w:t>
            </w:r>
            <w:r w:rsidR="001B52C1" w:rsidRPr="00C36D4B">
              <w:rPr>
                <w:rFonts w:asciiTheme="majorBidi" w:eastAsia="Times New Roman" w:hAnsiTheme="majorBidi" w:cstheme="majorBidi"/>
                <w:lang w:val="en-GB"/>
              </w:rPr>
              <w:t xml:space="preserve"> (</w:t>
            </w:r>
            <w:r w:rsidR="001B52C1" w:rsidRPr="00C36D4B">
              <w:rPr>
                <w:rFonts w:asciiTheme="majorBidi" w:eastAsia="Times New Roman" w:hAnsiTheme="majorBidi" w:cstheme="majorBidi"/>
                <w:lang w:val="ru-RU"/>
              </w:rPr>
              <w:t>дополнительном)</w:t>
            </w:r>
            <w:r w:rsidRPr="00C36D4B">
              <w:rPr>
                <w:rFonts w:asciiTheme="majorBidi" w:eastAsia="Times New Roman" w:hAnsiTheme="majorBidi" w:cstheme="majorBidi"/>
                <w:lang w:val="ru-RU"/>
              </w:rPr>
              <w:t xml:space="preserve"> образовани</w:t>
            </w:r>
            <w:r w:rsidR="00B01F1A" w:rsidRPr="00C36D4B">
              <w:rPr>
                <w:rFonts w:asciiTheme="majorBidi" w:eastAsia="Times New Roman" w:hAnsiTheme="majorBidi" w:cstheme="majorBidi"/>
                <w:lang w:val="ru-RU"/>
              </w:rPr>
              <w:t>и</w:t>
            </w:r>
            <w:r w:rsidRPr="00C36D4B">
              <w:rPr>
                <w:rFonts w:asciiTheme="majorBidi" w:eastAsia="Times New Roman" w:hAnsiTheme="majorBidi" w:cstheme="majorBidi"/>
                <w:lang w:val="ru-RU"/>
              </w:rPr>
              <w:t xml:space="preserve"> и подготовк</w:t>
            </w:r>
            <w:r w:rsidR="00B01F1A" w:rsidRPr="00C36D4B">
              <w:rPr>
                <w:rFonts w:asciiTheme="majorBidi" w:eastAsia="Times New Roman" w:hAnsiTheme="majorBidi" w:cstheme="majorBidi"/>
                <w:lang w:val="ru-RU"/>
              </w:rPr>
              <w:t>е в последние 12 месяцев</w:t>
            </w:r>
            <w:r w:rsidRPr="00C36D4B">
              <w:rPr>
                <w:rFonts w:asciiTheme="majorBidi" w:eastAsia="Times New Roman" w:hAnsiTheme="majorBidi" w:cstheme="majorBidi"/>
                <w:lang w:val="ru-RU"/>
              </w:rPr>
              <w:t>, в том числе: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D10DD7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C36D4B">
              <w:rPr>
                <w:rFonts w:asciiTheme="majorBidi" w:eastAsia="Times New Roman" w:hAnsiTheme="majorBidi" w:cstheme="majorBidi"/>
              </w:rPr>
              <w:t>25,6%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30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40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50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22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C36D4B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C36D4B">
              <w:rPr>
                <w:rFonts w:asciiTheme="majorBidi" w:eastAsia="Times New Roman" w:hAnsiTheme="majorBidi" w:cstheme="majorBidi"/>
                <w:lang w:val="ru-RU"/>
              </w:rPr>
              <w:t xml:space="preserve">Индикатор </w:t>
            </w:r>
            <w:r w:rsidR="0076034B" w:rsidRPr="00C36D4B">
              <w:rPr>
                <w:rFonts w:asciiTheme="majorBidi" w:eastAsia="Times New Roman" w:hAnsiTheme="majorBidi" w:cstheme="majorBidi"/>
                <w:lang w:val="ru-RU"/>
              </w:rPr>
              <w:t>ЦУР 4.3.1</w:t>
            </w:r>
          </w:p>
          <w:p w:rsidR="00B01F1A" w:rsidRPr="00C36D4B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C00000"/>
                <w:lang w:val="ru-RU"/>
              </w:rPr>
            </w:pPr>
            <w:r w:rsidRPr="00C36D4B">
              <w:rPr>
                <w:rFonts w:asciiTheme="majorBidi" w:eastAsia="Times New Roman" w:hAnsiTheme="majorBidi" w:cstheme="majorBidi"/>
                <w:lang w:val="ru-RU"/>
              </w:rPr>
              <w:t>Индикатор ранее не отслеживался</w:t>
            </w:r>
          </w:p>
        </w:tc>
      </w:tr>
      <w:tr w:rsidR="0076034B" w:rsidRPr="001610A4" w:rsidTr="00DA5212">
        <w:trPr>
          <w:trHeight w:val="85"/>
          <w:jc w:val="center"/>
        </w:trPr>
        <w:tc>
          <w:tcPr>
            <w:tcW w:w="50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6034B" w:rsidRPr="00C36D4B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мужчины</w:t>
            </w:r>
            <w:r w:rsidRPr="001610A4">
              <w:rPr>
                <w:rFonts w:asciiTheme="majorBidi" w:eastAsia="Times New Roman" w:hAnsiTheme="majorBidi" w:cstheme="majorBidi"/>
              </w:rPr>
              <w:t>;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C36D4B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C36D4B">
              <w:rPr>
                <w:rFonts w:asciiTheme="majorBidi" w:eastAsia="Times New Roman" w:hAnsiTheme="majorBidi" w:cstheme="majorBidi"/>
              </w:rPr>
              <w:t>31,1%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35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45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55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22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DA5212">
        <w:trPr>
          <w:trHeight w:val="85"/>
          <w:jc w:val="center"/>
        </w:trPr>
        <w:tc>
          <w:tcPr>
            <w:tcW w:w="50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6034B" w:rsidRPr="00C36D4B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женщины;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C36D4B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C36D4B">
              <w:rPr>
                <w:rFonts w:asciiTheme="majorBidi" w:eastAsia="Times New Roman" w:hAnsiTheme="majorBidi" w:cstheme="majorBidi"/>
              </w:rPr>
              <w:t>22,7%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25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35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45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22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DA5212">
        <w:trPr>
          <w:trHeight w:val="85"/>
          <w:jc w:val="center"/>
        </w:trPr>
        <w:tc>
          <w:tcPr>
            <w:tcW w:w="50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6034B" w:rsidRPr="00C36D4B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в возрасте до 30 лет</w:t>
            </w:r>
            <w:r w:rsidRPr="001610A4">
              <w:rPr>
                <w:rFonts w:asciiTheme="majorBidi" w:eastAsia="Times New Roman" w:hAnsiTheme="majorBidi" w:cstheme="majorBidi"/>
              </w:rPr>
              <w:t>;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C36D4B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C36D4B">
              <w:rPr>
                <w:rFonts w:asciiTheme="majorBidi" w:eastAsia="Times New Roman" w:hAnsiTheme="majorBidi" w:cstheme="majorBidi"/>
              </w:rPr>
              <w:t>38,4%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40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50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60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22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DA5212">
        <w:trPr>
          <w:trHeight w:val="85"/>
          <w:jc w:val="center"/>
        </w:trPr>
        <w:tc>
          <w:tcPr>
            <w:tcW w:w="50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6034B" w:rsidRPr="00C36D4B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  - в возрасте от 30 лет и выше.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C36D4B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C36D4B">
              <w:rPr>
                <w:rFonts w:asciiTheme="majorBidi" w:eastAsia="Times New Roman" w:hAnsiTheme="majorBidi" w:cstheme="majorBidi"/>
              </w:rPr>
              <w:t>19,6%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25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30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35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22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DA5212">
        <w:trPr>
          <w:trHeight w:val="85"/>
          <w:jc w:val="center"/>
        </w:trPr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6034B" w:rsidRPr="00C36D4B" w:rsidRDefault="00C36D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4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Индекс гендерного паритета в секторе образования (в целом по государственным образовательным учреждениям), в том числе: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896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900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910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925</w:t>
            </w:r>
          </w:p>
        </w:tc>
        <w:tc>
          <w:tcPr>
            <w:tcW w:w="22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C36D4B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C36D4B">
              <w:rPr>
                <w:rFonts w:asciiTheme="majorBidi" w:eastAsia="Times New Roman" w:hAnsiTheme="majorBidi" w:cstheme="majorBidi"/>
                <w:lang w:val="ru-RU"/>
              </w:rPr>
              <w:t xml:space="preserve">Воздействует на Индикатор </w:t>
            </w:r>
            <w:r w:rsidR="0076034B" w:rsidRPr="00C36D4B">
              <w:rPr>
                <w:rFonts w:asciiTheme="majorBidi" w:eastAsia="Times New Roman" w:hAnsiTheme="majorBidi" w:cstheme="majorBidi"/>
                <w:lang w:val="ru-RU"/>
              </w:rPr>
              <w:t>ЦУР 4.5</w:t>
            </w:r>
            <w:r w:rsidR="0076034B" w:rsidRPr="00C36D4B">
              <w:rPr>
                <w:rFonts w:asciiTheme="majorBidi" w:eastAsia="Times New Roman" w:hAnsiTheme="majorBidi" w:cstheme="majorBidi"/>
              </w:rPr>
              <w:t>.1</w:t>
            </w:r>
          </w:p>
        </w:tc>
      </w:tr>
      <w:tr w:rsidR="0076034B" w:rsidRPr="001610A4" w:rsidTr="00DA5212">
        <w:trPr>
          <w:trHeight w:val="85"/>
          <w:jc w:val="center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  - раннее развитие и дошкольное образование;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813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825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850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900</w:t>
            </w:r>
          </w:p>
        </w:tc>
        <w:tc>
          <w:tcPr>
            <w:tcW w:w="22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DA5212">
        <w:trPr>
          <w:trHeight w:val="85"/>
          <w:jc w:val="center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общее среднее образование;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929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935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945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960</w:t>
            </w:r>
          </w:p>
        </w:tc>
        <w:tc>
          <w:tcPr>
            <w:tcW w:w="22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DA5212">
        <w:trPr>
          <w:trHeight w:val="85"/>
          <w:jc w:val="center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начальное профессиональное образование</w:t>
            </w:r>
            <w:r w:rsidRPr="001610A4">
              <w:rPr>
                <w:rFonts w:asciiTheme="majorBidi" w:eastAsia="Times New Roman" w:hAnsiTheme="majorBidi" w:cstheme="majorBidi"/>
              </w:rPr>
              <w:t>;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293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320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400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600</w:t>
            </w:r>
          </w:p>
        </w:tc>
        <w:tc>
          <w:tcPr>
            <w:tcW w:w="22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DA5212">
        <w:trPr>
          <w:trHeight w:val="85"/>
          <w:jc w:val="center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среднее профессиональное образование;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1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750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1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700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1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500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1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350</w:t>
            </w:r>
          </w:p>
        </w:tc>
        <w:tc>
          <w:tcPr>
            <w:tcW w:w="22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DA5212">
        <w:trPr>
          <w:trHeight w:val="275"/>
          <w:jc w:val="center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высшее профессиональное образование.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558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600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650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</w:rPr>
              <w:t>750</w:t>
            </w:r>
          </w:p>
        </w:tc>
        <w:tc>
          <w:tcPr>
            <w:tcW w:w="22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</w:tbl>
    <w:p w:rsidR="0076034B" w:rsidRDefault="0076034B" w:rsidP="0076034B">
      <w:pPr>
        <w:spacing w:after="0" w:line="240" w:lineRule="auto"/>
        <w:rPr>
          <w:rFonts w:cstheme="minorHAnsi"/>
          <w:lang w:val="ru-RU"/>
        </w:rPr>
      </w:pPr>
    </w:p>
    <w:tbl>
      <w:tblPr>
        <w:tblW w:w="14515" w:type="dxa"/>
        <w:jc w:val="center"/>
        <w:tblLook w:val="04A0"/>
      </w:tblPr>
      <w:tblGrid>
        <w:gridCol w:w="505"/>
        <w:gridCol w:w="11"/>
        <w:gridCol w:w="4303"/>
        <w:gridCol w:w="1917"/>
        <w:gridCol w:w="11"/>
        <w:gridCol w:w="1849"/>
        <w:gridCol w:w="1808"/>
        <w:gridCol w:w="1808"/>
        <w:gridCol w:w="2303"/>
      </w:tblGrid>
      <w:tr w:rsidR="0076034B" w:rsidRPr="00E70DA2" w:rsidTr="004205BC">
        <w:trPr>
          <w:trHeight w:val="405"/>
          <w:jc w:val="center"/>
        </w:trPr>
        <w:tc>
          <w:tcPr>
            <w:tcW w:w="145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lastRenderedPageBreak/>
              <w:t>2.</w:t>
            </w:r>
            <w:r w:rsidRPr="001610A4">
              <w:rPr>
                <w:rFonts w:asciiTheme="majorBidi" w:eastAsia="Times New Roman" w:hAnsiTheme="majorBidi" w:cstheme="majorBidi"/>
                <w:b/>
                <w:bCs/>
                <w:sz w:val="14"/>
                <w:szCs w:val="14"/>
                <w:lang w:val="ru-RU"/>
              </w:rPr>
              <w:t xml:space="preserve"> </w:t>
            </w: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РАННЕЕ РАЗВИТИЕ И ДОШКОЛЬНОЕ ОБРАЗОВАНИЕ</w:t>
            </w:r>
          </w:p>
        </w:tc>
      </w:tr>
      <w:tr w:rsidR="0076034B" w:rsidRPr="00E70DA2" w:rsidTr="004205BC">
        <w:trPr>
          <w:trHeight w:val="720"/>
          <w:jc w:val="center"/>
        </w:trPr>
        <w:tc>
          <w:tcPr>
            <w:tcW w:w="145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Общая цель: К 2030 г. обеспечить, чтобы все девочки и мальчики имели доступ к качественным системам развития, ухода и дошкольного обучения детей младшего возраста, с тем, чтобы они были готовы к получению начального образования (ЦУР 4.2).</w:t>
            </w:r>
          </w:p>
        </w:tc>
      </w:tr>
      <w:tr w:rsidR="0076034B" w:rsidRPr="00E70DA2" w:rsidTr="004205BC">
        <w:trPr>
          <w:trHeight w:val="675"/>
          <w:jc w:val="center"/>
        </w:trPr>
        <w:tc>
          <w:tcPr>
            <w:tcW w:w="145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365F91" w:themeFill="accent1" w:themeFillShade="BF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  <w:t>Долгосрочный результат 2.1 (Приоритет политики 1): Всем детям предоставлен безопасный и равный доступ к программам ухода, раннего развития и дошкольного образования.</w:t>
            </w:r>
          </w:p>
        </w:tc>
      </w:tr>
      <w:tr w:rsidR="0076034B" w:rsidRPr="00E70DA2" w:rsidTr="004205BC">
        <w:trPr>
          <w:trHeight w:val="629"/>
          <w:jc w:val="center"/>
        </w:trPr>
        <w:tc>
          <w:tcPr>
            <w:tcW w:w="145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2.1.1: Увеличен охват качественными и доступными услугами дошкольного образования за счёт предоставления новых и существующих помещений, которые отвечают нормативным и санитарно-гигиеническим требованиям.</w:t>
            </w:r>
          </w:p>
        </w:tc>
      </w:tr>
      <w:tr w:rsidR="0076034B" w:rsidRPr="001610A4" w:rsidTr="004205BC">
        <w:trPr>
          <w:trHeight w:val="600"/>
          <w:jc w:val="center"/>
        </w:trPr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6034B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</w:t>
            </w:r>
            <w:r w:rsidR="00B01F1A">
              <w:rPr>
                <w:rFonts w:asciiTheme="majorBidi" w:eastAsia="Times New Roman" w:hAnsiTheme="majorBidi" w:cstheme="majorBidi"/>
                <w:lang w:val="ru-RU"/>
              </w:rPr>
              <w:t>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6034B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C36D4B" w:rsidRPr="001610A4" w:rsidTr="004205BC">
        <w:trPr>
          <w:trHeight w:val="800"/>
          <w:jc w:val="center"/>
        </w:trPr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6D4B" w:rsidRPr="00C36D4B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C36D4B">
              <w:rPr>
                <w:rFonts w:asciiTheme="majorBidi" w:eastAsia="Times New Roman" w:hAnsiTheme="majorBidi" w:cstheme="majorBidi"/>
              </w:rPr>
              <w:t>5</w:t>
            </w:r>
          </w:p>
        </w:tc>
        <w:tc>
          <w:tcPr>
            <w:tcW w:w="43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Охват детей государственными и негосударственными учреждениями раннего развития и дошкольного образования всех типов, в том числе: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230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Воздействует на Индикатор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ЦУР 4.2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.2</w:t>
            </w:r>
          </w:p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</w:p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Индикатор ранее не отслеживался (на этом уровне детализации)</w:t>
            </w:r>
          </w:p>
        </w:tc>
      </w:tr>
      <w:tr w:rsidR="00C36D4B" w:rsidRPr="001610A4" w:rsidTr="004205BC">
        <w:trPr>
          <w:trHeight w:val="85"/>
          <w:jc w:val="center"/>
        </w:trPr>
        <w:tc>
          <w:tcPr>
            <w:tcW w:w="50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14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в возрасте от 1.5 до 3 лет (все дети)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1.6%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5.0%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15.0%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35.0%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C36D4B" w:rsidRPr="001610A4" w:rsidTr="004205BC">
        <w:trPr>
          <w:trHeight w:val="85"/>
          <w:jc w:val="center"/>
        </w:trPr>
        <w:tc>
          <w:tcPr>
            <w:tcW w:w="50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14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в возрасте от 1.5 до 3 лет (мальчики)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1.7%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5.0%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15.0%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35.0%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C36D4B" w:rsidRPr="001610A4" w:rsidTr="004205BC">
        <w:trPr>
          <w:trHeight w:val="85"/>
          <w:jc w:val="center"/>
        </w:trPr>
        <w:tc>
          <w:tcPr>
            <w:tcW w:w="50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14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в возрасте от 1.5 до 3 лет (девочки)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1.6%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5.0%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15.0%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35.0%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C36D4B" w:rsidRPr="001610A4" w:rsidTr="004205BC">
        <w:trPr>
          <w:trHeight w:val="67"/>
          <w:jc w:val="center"/>
        </w:trPr>
        <w:tc>
          <w:tcPr>
            <w:tcW w:w="50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в возрасте от 3 до 7(6) лет (все дети)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8.3%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20.0%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35.0%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50.0%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C36D4B" w:rsidRPr="001610A4" w:rsidTr="004205BC">
        <w:trPr>
          <w:trHeight w:val="300"/>
          <w:jc w:val="center"/>
        </w:trPr>
        <w:tc>
          <w:tcPr>
            <w:tcW w:w="50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в возрасте от 3 до 7(6) лет (мальчики)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8.8%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20.0%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35.0%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50.0%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C36D4B" w:rsidRPr="001610A4" w:rsidTr="004205BC">
        <w:trPr>
          <w:trHeight w:val="300"/>
          <w:jc w:val="center"/>
        </w:trPr>
        <w:tc>
          <w:tcPr>
            <w:tcW w:w="50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в возрасте от 3 до 7(6) лет (девочки)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7.8%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20.0%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35.0%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50.0%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C36D4B" w:rsidRPr="001610A4" w:rsidTr="004205BC">
        <w:trPr>
          <w:trHeight w:val="300"/>
          <w:jc w:val="center"/>
        </w:trPr>
        <w:tc>
          <w:tcPr>
            <w:tcW w:w="50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 возрасте 6</w:t>
            </w:r>
            <w:r>
              <w:rPr>
                <w:rFonts w:asciiTheme="majorBidi" w:eastAsia="Times New Roman" w:hAnsiTheme="majorBidi" w:cstheme="majorBidi"/>
                <w:color w:val="000000" w:themeColor="text1"/>
                <w:lang w:val="en-GB"/>
              </w:rPr>
              <w:t xml:space="preserve"> (5)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лет (все дети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)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10.0%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20.0%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35.0%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50.0%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C36D4B" w:rsidRPr="001610A4" w:rsidTr="004205BC">
        <w:trPr>
          <w:trHeight w:val="300"/>
          <w:jc w:val="center"/>
        </w:trPr>
        <w:tc>
          <w:tcPr>
            <w:tcW w:w="50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 возрасте 6</w:t>
            </w:r>
            <w:r>
              <w:rPr>
                <w:rFonts w:asciiTheme="majorBidi" w:eastAsia="Times New Roman" w:hAnsiTheme="majorBidi" w:cstheme="majorBidi"/>
                <w:color w:val="000000" w:themeColor="text1"/>
                <w:lang w:val="en-GB"/>
              </w:rPr>
              <w:t xml:space="preserve"> (5)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лет (мальчики)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10.7%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20.0%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35.0%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50.0%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C36D4B" w:rsidRPr="001610A4" w:rsidTr="004205BC">
        <w:trPr>
          <w:trHeight w:val="300"/>
          <w:jc w:val="center"/>
        </w:trPr>
        <w:tc>
          <w:tcPr>
            <w:tcW w:w="50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 возрасте 6</w:t>
            </w:r>
            <w:r>
              <w:rPr>
                <w:rFonts w:asciiTheme="majorBidi" w:eastAsia="Times New Roman" w:hAnsiTheme="majorBidi" w:cstheme="majorBidi"/>
                <w:color w:val="000000" w:themeColor="text1"/>
                <w:lang w:val="en-GB"/>
              </w:rPr>
              <w:t xml:space="preserve"> (5)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лет (девочки)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9.1%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20.0%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35.0%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50.0%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C36D4B" w:rsidRPr="001610A4" w:rsidTr="004205BC">
        <w:trPr>
          <w:trHeight w:val="300"/>
          <w:jc w:val="center"/>
        </w:trPr>
        <w:tc>
          <w:tcPr>
            <w:tcW w:w="505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ind w:left="336" w:hanging="336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 возрасте 6</w:t>
            </w:r>
            <w:r>
              <w:rPr>
                <w:rFonts w:asciiTheme="majorBidi" w:eastAsia="Times New Roman" w:hAnsiTheme="majorBidi" w:cstheme="majorBidi"/>
                <w:color w:val="000000" w:themeColor="text1"/>
                <w:lang w:val="en-GB"/>
              </w:rPr>
              <w:t xml:space="preserve"> (5)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лет (национальные меньшинства)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17.3%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28.0%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35.0%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50.0%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C36D4B" w:rsidRPr="001610A4" w:rsidTr="004205BC">
        <w:trPr>
          <w:trHeight w:val="300"/>
          <w:jc w:val="center"/>
        </w:trPr>
        <w:tc>
          <w:tcPr>
            <w:tcW w:w="50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ind w:left="336" w:hanging="336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 возрасте 6</w:t>
            </w:r>
            <w:r>
              <w:rPr>
                <w:rFonts w:asciiTheme="majorBidi" w:eastAsia="Times New Roman" w:hAnsiTheme="majorBidi" w:cstheme="majorBidi"/>
                <w:color w:val="000000" w:themeColor="text1"/>
                <w:lang w:val="en-GB"/>
              </w:rPr>
              <w:t xml:space="preserve"> (5)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лет (с ограниченными возможностями)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0.42%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15.0%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30.0%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50.0%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C36D4B" w:rsidRPr="001610A4" w:rsidTr="004205BC">
        <w:trPr>
          <w:trHeight w:val="359"/>
          <w:jc w:val="center"/>
        </w:trPr>
        <w:tc>
          <w:tcPr>
            <w:tcW w:w="5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36D4B" w:rsidRPr="00C36D4B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</w:rPr>
              <w:t>6</w:t>
            </w:r>
          </w:p>
        </w:tc>
        <w:tc>
          <w:tcPr>
            <w:tcW w:w="43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Индекс гендерного паритета (ИГП) в учреждениях раннего развития и дошкольного образования, в том числе: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,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8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13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0,825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0,850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0,900</w:t>
            </w:r>
          </w:p>
        </w:tc>
        <w:tc>
          <w:tcPr>
            <w:tcW w:w="23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BA46A9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Воздействует на Индикатор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ЦУР 4.5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.1</w:t>
            </w:r>
          </w:p>
        </w:tc>
      </w:tr>
      <w:tr w:rsidR="00C36D4B" w:rsidRPr="001610A4" w:rsidTr="004205BC">
        <w:trPr>
          <w:trHeight w:val="300"/>
          <w:jc w:val="center"/>
        </w:trPr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1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17563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в </w:t>
            </w:r>
            <w:r>
              <w:rPr>
                <w:rFonts w:asciiTheme="majorBidi" w:eastAsia="Times New Roman" w:hAnsiTheme="majorBidi" w:cstheme="majorBidi"/>
                <w:lang w:val="ru-RU"/>
              </w:rPr>
              <w:t>сельской местности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79</w:t>
            </w:r>
            <w:r w:rsidRPr="001610A4">
              <w:rPr>
                <w:rFonts w:asciiTheme="majorBidi" w:eastAsia="Times New Roman" w:hAnsiTheme="majorBidi" w:cstheme="majorBidi"/>
              </w:rPr>
              <w:t>5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81</w:t>
            </w:r>
            <w:r w:rsidRPr="001610A4">
              <w:rPr>
                <w:rFonts w:asciiTheme="majorBidi" w:eastAsia="Times New Roman" w:hAnsiTheme="majorBidi" w:cstheme="majorBidi"/>
              </w:rPr>
              <w:t>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83</w:t>
            </w:r>
            <w:r w:rsidRPr="001610A4">
              <w:rPr>
                <w:rFonts w:asciiTheme="majorBidi" w:eastAsia="Times New Roman" w:hAnsiTheme="majorBidi" w:cstheme="majorBidi"/>
              </w:rPr>
              <w:t>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87</w:t>
            </w:r>
            <w:r w:rsidRPr="001610A4">
              <w:rPr>
                <w:rFonts w:asciiTheme="majorBidi" w:eastAsia="Times New Roman" w:hAnsiTheme="majorBidi" w:cstheme="majorBidi"/>
              </w:rPr>
              <w:t>0</w:t>
            </w:r>
          </w:p>
        </w:tc>
        <w:tc>
          <w:tcPr>
            <w:tcW w:w="230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C36D4B" w:rsidRPr="001610A4" w:rsidTr="004205BC">
        <w:trPr>
          <w:trHeight w:val="89"/>
          <w:jc w:val="center"/>
        </w:trPr>
        <w:tc>
          <w:tcPr>
            <w:tcW w:w="5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  - среди дете</w:t>
            </w:r>
            <w:r>
              <w:rPr>
                <w:rFonts w:asciiTheme="majorBidi" w:eastAsia="Times New Roman" w:hAnsiTheme="majorBidi" w:cstheme="majorBidi"/>
                <w:lang w:val="ru-RU"/>
              </w:rPr>
              <w:t>й с ограниченными возможностями</w: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83</w:t>
            </w:r>
            <w:r w:rsidRPr="001610A4"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84</w:t>
            </w:r>
            <w:r w:rsidRPr="001610A4">
              <w:rPr>
                <w:rFonts w:asciiTheme="majorBidi" w:eastAsia="Times New Roman" w:hAnsiTheme="majorBidi" w:cstheme="majorBidi"/>
              </w:rPr>
              <w:t>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86</w:t>
            </w:r>
            <w:r w:rsidRPr="001610A4">
              <w:rPr>
                <w:rFonts w:asciiTheme="majorBidi" w:eastAsia="Times New Roman" w:hAnsiTheme="majorBidi" w:cstheme="majorBidi"/>
              </w:rPr>
              <w:t>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90</w:t>
            </w:r>
            <w:r w:rsidRPr="001610A4">
              <w:rPr>
                <w:rFonts w:asciiTheme="majorBidi" w:eastAsia="Times New Roman" w:hAnsiTheme="majorBidi" w:cstheme="majorBidi"/>
              </w:rPr>
              <w:t>0</w:t>
            </w:r>
          </w:p>
        </w:tc>
        <w:tc>
          <w:tcPr>
            <w:tcW w:w="230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6D4B" w:rsidRPr="001610A4" w:rsidRDefault="00C36D4B" w:rsidP="00142F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E70DA2" w:rsidTr="004205BC">
        <w:trPr>
          <w:trHeight w:val="600"/>
          <w:jc w:val="center"/>
        </w:trPr>
        <w:tc>
          <w:tcPr>
            <w:tcW w:w="5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6034B" w:rsidRPr="00C36D4B" w:rsidRDefault="00C36D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C36D4B">
              <w:rPr>
                <w:rFonts w:asciiTheme="majorBidi" w:eastAsia="Times New Roman" w:hAnsiTheme="majorBidi" w:cstheme="majorBidi"/>
              </w:rPr>
              <w:t>7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Количество учреждений раннего развития и дошкольного образования, в том числе: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11756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2,</w:t>
            </w:r>
            <w:r w:rsidR="00117563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468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11756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2,</w:t>
            </w:r>
            <w:r w:rsidR="00117563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600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117563" w:rsidP="0011756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3,000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3,300</w:t>
            </w:r>
          </w:p>
        </w:tc>
        <w:tc>
          <w:tcPr>
            <w:tcW w:w="23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Ожидаемый прирост соответствует темпам роста в последние 5 лет</w:t>
            </w:r>
          </w:p>
        </w:tc>
      </w:tr>
      <w:tr w:rsidR="0076034B" w:rsidRPr="001610A4" w:rsidTr="004205BC">
        <w:trPr>
          <w:trHeight w:val="300"/>
          <w:jc w:val="center"/>
        </w:trPr>
        <w:tc>
          <w:tcPr>
            <w:tcW w:w="5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6034B" w:rsidRPr="00C36D4B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центры развития ребёнка (ЦРР)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;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11756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1,</w:t>
            </w:r>
            <w:r w:rsidR="00117563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771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1,900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2,200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2,400</w:t>
            </w:r>
          </w:p>
        </w:tc>
        <w:tc>
          <w:tcPr>
            <w:tcW w:w="2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4205BC">
        <w:trPr>
          <w:trHeight w:val="170"/>
          <w:jc w:val="center"/>
        </w:trPr>
        <w:tc>
          <w:tcPr>
            <w:tcW w:w="5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6034B" w:rsidRPr="00C36D4B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090" w:rsidRPr="00BA46A9" w:rsidRDefault="0076034B" w:rsidP="009C409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государственные</w:t>
            </w:r>
            <w:r w:rsidR="00117563" w:rsidRPr="00BA46A9">
              <w:rPr>
                <w:rFonts w:asciiTheme="majorBidi" w:eastAsia="Times New Roman" w:hAnsiTheme="majorBidi" w:cstheme="majorBidi"/>
                <w:color w:val="000000" w:themeColor="text1"/>
              </w:rPr>
              <w:t>/</w:t>
            </w:r>
            <w:r w:rsidR="00117563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частные</w:t>
            </w:r>
            <w:r w:rsidR="00117563" w:rsidRPr="00BA46A9">
              <w:rPr>
                <w:rFonts w:asciiTheme="majorBidi" w:eastAsia="Times New Roman" w:hAnsiTheme="majorBidi" w:cstheme="majorBidi"/>
                <w:color w:val="000000" w:themeColor="text1"/>
              </w:rPr>
              <w:t>/</w:t>
            </w:r>
            <w:r w:rsidR="00117563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ведомственные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ДОУ</w:t>
            </w:r>
            <w:r w:rsidR="009C4090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и другие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;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117563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662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117563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700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117563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80</w:t>
            </w:r>
            <w:r w:rsidR="0076034B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900</w:t>
            </w:r>
          </w:p>
        </w:tc>
        <w:tc>
          <w:tcPr>
            <w:tcW w:w="2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117563" w:rsidRPr="001610A4" w:rsidTr="004205BC">
        <w:trPr>
          <w:trHeight w:val="170"/>
          <w:jc w:val="center"/>
        </w:trPr>
        <w:tc>
          <w:tcPr>
            <w:tcW w:w="5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  <w:hideMark/>
          </w:tcPr>
          <w:p w:rsidR="00117563" w:rsidRPr="00C36D4B" w:rsidRDefault="00C36D4B" w:rsidP="0011756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C36D4B">
              <w:rPr>
                <w:rFonts w:asciiTheme="majorBidi" w:eastAsia="Times New Roman" w:hAnsiTheme="majorBidi" w:cstheme="majorBidi"/>
              </w:rPr>
              <w:t>8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Среднее количество детей на 100 мест в дошкольных образовательных учреждениях, в том числе: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100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100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105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110</w:t>
            </w:r>
          </w:p>
        </w:tc>
        <w:tc>
          <w:tcPr>
            <w:tcW w:w="230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7563" w:rsidRPr="00C36D4B" w:rsidRDefault="00117563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C36D4B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117563" w:rsidRPr="001610A4" w:rsidTr="004205BC">
        <w:trPr>
          <w:trHeight w:val="170"/>
          <w:jc w:val="center"/>
        </w:trPr>
        <w:tc>
          <w:tcPr>
            <w:tcW w:w="51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117563" w:rsidRPr="00C36D4B" w:rsidRDefault="00117563" w:rsidP="0011756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11756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 ГБАО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114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110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110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110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7563" w:rsidRDefault="00117563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</w:tr>
      <w:tr w:rsidR="00117563" w:rsidRPr="001610A4" w:rsidTr="004205BC">
        <w:trPr>
          <w:trHeight w:val="170"/>
          <w:jc w:val="center"/>
        </w:trPr>
        <w:tc>
          <w:tcPr>
            <w:tcW w:w="51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117563" w:rsidRPr="00C36D4B" w:rsidRDefault="00117563" w:rsidP="0011756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11756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 Хатлонской области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91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95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100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110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7563" w:rsidRDefault="00117563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</w:tr>
      <w:tr w:rsidR="00117563" w:rsidRPr="001610A4" w:rsidTr="004205BC">
        <w:trPr>
          <w:trHeight w:val="170"/>
          <w:jc w:val="center"/>
        </w:trPr>
        <w:tc>
          <w:tcPr>
            <w:tcW w:w="51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117563" w:rsidRPr="00C36D4B" w:rsidRDefault="00117563" w:rsidP="0011756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 Согдийской области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100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100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105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110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7563" w:rsidRDefault="00117563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</w:tr>
      <w:tr w:rsidR="00117563" w:rsidRPr="001610A4" w:rsidTr="004205BC">
        <w:trPr>
          <w:trHeight w:val="170"/>
          <w:jc w:val="center"/>
        </w:trPr>
        <w:tc>
          <w:tcPr>
            <w:tcW w:w="51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:rsidR="00117563" w:rsidRPr="00C36D4B" w:rsidRDefault="00117563" w:rsidP="0011756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в г. Душанбе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101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105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110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110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7563" w:rsidRDefault="00117563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</w:tr>
      <w:tr w:rsidR="00117563" w:rsidRPr="001610A4" w:rsidTr="004205BC">
        <w:trPr>
          <w:trHeight w:val="170"/>
          <w:jc w:val="center"/>
        </w:trPr>
        <w:tc>
          <w:tcPr>
            <w:tcW w:w="516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17563" w:rsidRPr="00C36D4B" w:rsidRDefault="00117563" w:rsidP="0011756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 РРП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103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105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110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563" w:rsidRPr="00BA46A9" w:rsidRDefault="00117563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110</w:t>
            </w:r>
          </w:p>
        </w:tc>
        <w:tc>
          <w:tcPr>
            <w:tcW w:w="230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7563" w:rsidRDefault="00117563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</w:tr>
      <w:tr w:rsidR="0076034B" w:rsidRPr="00E70DA2" w:rsidTr="004205BC">
        <w:trPr>
          <w:trHeight w:val="85"/>
          <w:jc w:val="center"/>
        </w:trPr>
        <w:tc>
          <w:tcPr>
            <w:tcW w:w="516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6034B" w:rsidRPr="00C36D4B" w:rsidRDefault="00C36D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C36D4B">
              <w:rPr>
                <w:rFonts w:asciiTheme="majorBidi" w:eastAsia="Times New Roman" w:hAnsiTheme="majorBidi" w:cstheme="majorBidi"/>
              </w:rPr>
              <w:t>9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Доля капитально отремонтированных дошкольных образовательных учреждений (в % от общего кол-ва).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Достижение индикатора зависит от финансирования</w:t>
            </w:r>
          </w:p>
        </w:tc>
      </w:tr>
      <w:tr w:rsidR="0076034B" w:rsidRPr="00E70DA2" w:rsidTr="004205BC">
        <w:trPr>
          <w:trHeight w:val="314"/>
          <w:jc w:val="center"/>
        </w:trPr>
        <w:tc>
          <w:tcPr>
            <w:tcW w:w="51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6034B" w:rsidRPr="00C36D4B" w:rsidRDefault="00C36D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C36D4B">
              <w:rPr>
                <w:rFonts w:asciiTheme="majorBidi" w:eastAsia="Times New Roman" w:hAnsiTheme="majorBidi" w:cstheme="majorBidi"/>
              </w:rPr>
              <w:t>10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Доля дошкольных учреждений (в %), обеспеченных: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3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Достижение индикатора в большой степени зависит от наличия финансирования</w:t>
            </w:r>
          </w:p>
        </w:tc>
      </w:tr>
      <w:tr w:rsidR="0076034B" w:rsidRPr="001610A4" w:rsidTr="004205BC">
        <w:trPr>
          <w:trHeight w:val="300"/>
          <w:jc w:val="center"/>
        </w:trPr>
        <w:tc>
          <w:tcPr>
            <w:tcW w:w="51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117563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  </w:t>
            </w:r>
            <w:r w:rsidRPr="001610A4">
              <w:rPr>
                <w:rFonts w:asciiTheme="majorBidi" w:eastAsia="Times New Roman" w:hAnsiTheme="majorBidi" w:cstheme="majorBidi"/>
              </w:rPr>
              <w:t xml:space="preserve">- </w:t>
            </w:r>
            <w:r w:rsidR="00B01F1A">
              <w:rPr>
                <w:rFonts w:asciiTheme="majorBidi" w:eastAsia="Times New Roman" w:hAnsiTheme="majorBidi" w:cstheme="majorBidi"/>
                <w:lang w:val="ru-RU"/>
              </w:rPr>
              <w:t>электроэнергией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99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3%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99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6%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99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9%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4205BC">
        <w:trPr>
          <w:trHeight w:val="600"/>
          <w:jc w:val="center"/>
        </w:trPr>
        <w:tc>
          <w:tcPr>
            <w:tcW w:w="51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117563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  - адаптированной инфраструктурой и материалами для учащихся с инвалидностью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4205BC">
        <w:trPr>
          <w:trHeight w:val="300"/>
          <w:jc w:val="center"/>
        </w:trPr>
        <w:tc>
          <w:tcPr>
            <w:tcW w:w="51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117563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базовыми источниками питьевой воды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86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5%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90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95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4205BC">
        <w:trPr>
          <w:trHeight w:val="300"/>
          <w:jc w:val="center"/>
        </w:trPr>
        <w:tc>
          <w:tcPr>
            <w:tcW w:w="51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117563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минимально оборудованными туалетами</w:t>
            </w:r>
            <w:r w:rsidR="00117563">
              <w:rPr>
                <w:rFonts w:asciiTheme="majorBidi" w:eastAsia="Times New Roman" w:hAnsiTheme="majorBidi" w:cstheme="majorBidi"/>
                <w:lang w:val="ru-RU"/>
              </w:rPr>
              <w:t xml:space="preserve"> раздельно для обоих полов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84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87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90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95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4205BC">
        <w:trPr>
          <w:trHeight w:val="300"/>
          <w:jc w:val="center"/>
        </w:trPr>
        <w:tc>
          <w:tcPr>
            <w:tcW w:w="51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  - базовыми средствами для мытья рук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E70DA2" w:rsidTr="004205BC">
        <w:trPr>
          <w:trHeight w:val="638"/>
          <w:jc w:val="center"/>
        </w:trPr>
        <w:tc>
          <w:tcPr>
            <w:tcW w:w="145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2.1.2: С</w:t>
            </w:r>
            <w:r w:rsidRPr="001610A4">
              <w:rPr>
                <w:rFonts w:asciiTheme="majorBidi" w:eastAsia="Times New Roman" w:hAnsiTheme="majorBidi" w:cstheme="majorBidi"/>
                <w:b/>
                <w:bCs/>
              </w:rPr>
              <w:t>o</w:t>
            </w: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здана социально безопасная и благоприятная среда</w:t>
            </w:r>
            <w:r w:rsidRPr="001610A4">
              <w:rPr>
                <w:rFonts w:asciiTheme="majorBidi" w:eastAsia="Times New Roman" w:hAnsiTheme="majorBidi" w:cstheme="majorBidi"/>
                <w:sz w:val="16"/>
                <w:szCs w:val="16"/>
              </w:rPr>
              <w:t> </w:t>
            </w: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для увеличения охвата всех детей ранним развитием и дошкольным образованием.</w:t>
            </w:r>
          </w:p>
        </w:tc>
      </w:tr>
      <w:tr w:rsidR="00B01F1A" w:rsidRPr="001610A4" w:rsidTr="004205BC">
        <w:trPr>
          <w:trHeight w:val="600"/>
          <w:jc w:val="center"/>
        </w:trPr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76034B" w:rsidRPr="001610A4" w:rsidTr="004205BC">
        <w:trPr>
          <w:trHeight w:val="1628"/>
          <w:jc w:val="center"/>
        </w:trPr>
        <w:tc>
          <w:tcPr>
            <w:tcW w:w="5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C36D4B" w:rsidRDefault="00C36D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</w:rPr>
              <w:t>11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Наличие </w:t>
            </w:r>
            <w:r w:rsidR="00117563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и применение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обновлённой инклюзивной нормативно-правовой базы в отношении охраны и безопасности детей, стандартов качества и физической инфраструктуры для всех типов дошкольных учреждений</w:t>
            </w:r>
            <w:r w:rsidR="00117563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и всех детей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.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Соответствующая нормативно-правовая база отсутствует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Разработаны нормативно-правовые акты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Учреждения работают согласно новой нормативно-правовой базе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Учреждения работают согласно новой нормативно-правовой базе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76034B" w:rsidRPr="001610A4" w:rsidTr="004205BC">
        <w:trPr>
          <w:trHeight w:val="701"/>
          <w:jc w:val="center"/>
        </w:trPr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C36D4B" w:rsidRDefault="00C36D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</w:rPr>
              <w:t>12</w:t>
            </w:r>
          </w:p>
        </w:tc>
        <w:tc>
          <w:tcPr>
            <w:tcW w:w="4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11756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Наличие </w:t>
            </w:r>
            <w:r w:rsidR="00117563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национальных стандартов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по строительству новых типов дошкольных учреждений.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Используются устаревшие документы</w:t>
            </w:r>
          </w:p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(1987 и 1988 гг.)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11756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Разработаны строительные </w:t>
            </w:r>
            <w:r w:rsidR="00117563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стандарты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для всех видов ДОУ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BA46A9" w:rsidRDefault="0076034B" w:rsidP="0011756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Строительство ведётся но новым </w:t>
            </w:r>
            <w:r w:rsidR="00117563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стандартам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BA46A9" w:rsidRDefault="0076034B" w:rsidP="0011756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Строительство ведётся но новым </w:t>
            </w:r>
            <w:r w:rsidR="00117563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стандартам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</w:tr>
      <w:tr w:rsidR="0076034B" w:rsidRPr="00E70DA2" w:rsidTr="004205BC">
        <w:trPr>
          <w:trHeight w:val="705"/>
          <w:jc w:val="center"/>
        </w:trPr>
        <w:tc>
          <w:tcPr>
            <w:tcW w:w="145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365F91" w:themeFill="accent1" w:themeFillShade="BF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  <w:t>Долгосрочный результат 2.2 (Приоритет политики 2): Обеспечено гарантированное качественное инклюзивное раннее развитие и дошкольное образование для всех детей.</w:t>
            </w:r>
          </w:p>
        </w:tc>
      </w:tr>
      <w:tr w:rsidR="0076034B" w:rsidRPr="00E70DA2" w:rsidTr="004205BC">
        <w:trPr>
          <w:trHeight w:val="719"/>
          <w:jc w:val="center"/>
        </w:trPr>
        <w:tc>
          <w:tcPr>
            <w:tcW w:w="145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2.2.1: Улучшены профессиональные компетенции специалистов системы раннего развития и дошкольного образования всех форм собственности в соответствии с современными требованиями развития и обучения детей младшего возраста.</w:t>
            </w:r>
          </w:p>
        </w:tc>
      </w:tr>
      <w:tr w:rsidR="00B01F1A" w:rsidRPr="001610A4" w:rsidTr="004205BC">
        <w:trPr>
          <w:trHeight w:val="600"/>
          <w:jc w:val="center"/>
        </w:trPr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76034B" w:rsidRPr="00E70DA2" w:rsidTr="004205BC">
        <w:trPr>
          <w:trHeight w:val="683"/>
          <w:jc w:val="center"/>
        </w:trPr>
        <w:tc>
          <w:tcPr>
            <w:tcW w:w="5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C36D4B" w:rsidRDefault="00C36D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C36D4B">
              <w:rPr>
                <w:rFonts w:asciiTheme="majorBidi" w:eastAsia="Times New Roman" w:hAnsiTheme="majorBidi" w:cstheme="majorBidi"/>
              </w:rPr>
              <w:t>13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34B" w:rsidRPr="00BA46A9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Доля специалистов раннего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sz w:val="16"/>
                <w:szCs w:val="16"/>
              </w:rPr>
              <w:t> 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развития и обучения, прошедших курсы повышения квалификации и переподготовки (в %</w:t>
            </w:r>
            <w:r w:rsidR="006A5C1C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от всех учителей</w:t>
            </w:r>
            <w:r w:rsidR="006A5C1C" w:rsidRPr="00BA46A9">
              <w:rPr>
                <w:rFonts w:asciiTheme="majorBidi" w:eastAsia="Times New Roman" w:hAnsiTheme="majorBidi" w:cstheme="majorBidi"/>
                <w:color w:val="000000" w:themeColor="text1"/>
              </w:rPr>
              <w:t>/</w:t>
            </w:r>
            <w:r w:rsidR="006A5C1C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специалистов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).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70,8%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75,0%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80,0%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90,0%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BA46A9" w:rsidRDefault="006A5C1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Воздействует на Индикатор ЦУР 4.с.1</w:t>
            </w:r>
          </w:p>
        </w:tc>
      </w:tr>
      <w:tr w:rsidR="0076034B" w:rsidRPr="00E70DA2" w:rsidTr="004205BC">
        <w:trPr>
          <w:trHeight w:val="170"/>
          <w:jc w:val="center"/>
        </w:trPr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C36D4B" w:rsidRDefault="00C36D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C36D4B">
              <w:rPr>
                <w:rFonts w:asciiTheme="majorBidi" w:eastAsia="Times New Roman" w:hAnsiTheme="majorBidi" w:cstheme="majorBidi"/>
              </w:rPr>
              <w:t>14</w:t>
            </w:r>
          </w:p>
        </w:tc>
        <w:tc>
          <w:tcPr>
            <w:tcW w:w="4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34B" w:rsidRPr="00BA46A9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Доля дошкольных учреждений всех типов и видов собственности, использующих Рамку компетенций специалистов раннего развития и дошкольного образования (в %).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50,0%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70,0%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90,0%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100,0%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Включая частные дошкольные образовательные учреждения</w:t>
            </w:r>
          </w:p>
        </w:tc>
      </w:tr>
      <w:tr w:rsidR="0076034B" w:rsidRPr="00E70DA2" w:rsidTr="004205BC">
        <w:trPr>
          <w:trHeight w:val="440"/>
          <w:jc w:val="center"/>
        </w:trPr>
        <w:tc>
          <w:tcPr>
            <w:tcW w:w="145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2.2.2: Усовершенствованы учебные программы раннего развития и дошкольного образования.</w:t>
            </w:r>
          </w:p>
        </w:tc>
      </w:tr>
      <w:tr w:rsidR="00B01F1A" w:rsidRPr="001610A4" w:rsidTr="004205BC">
        <w:trPr>
          <w:trHeight w:val="600"/>
          <w:jc w:val="center"/>
        </w:trPr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76034B" w:rsidRPr="001610A4" w:rsidTr="004205BC">
        <w:trPr>
          <w:trHeight w:val="701"/>
          <w:jc w:val="center"/>
        </w:trPr>
        <w:tc>
          <w:tcPr>
            <w:tcW w:w="5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C36D4B" w:rsidRDefault="00C36D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C36D4B">
              <w:rPr>
                <w:rFonts w:asciiTheme="majorBidi" w:eastAsia="Times New Roman" w:hAnsiTheme="majorBidi" w:cstheme="majorBidi"/>
              </w:rPr>
              <w:t>15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34B" w:rsidRPr="00BA46A9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Количество альтернативных программ раннего развития и дошкольного образования</w:t>
            </w:r>
            <w:r w:rsidR="006A5C1C"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для всех детей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, утверждённых Коллегией МОН РТ.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BA46A9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</w:tr>
      <w:tr w:rsidR="0076034B" w:rsidRPr="00E70DA2" w:rsidTr="004205BC">
        <w:trPr>
          <w:trHeight w:val="690"/>
          <w:jc w:val="center"/>
        </w:trPr>
        <w:tc>
          <w:tcPr>
            <w:tcW w:w="145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2.2.3: Внедрена эффективная система и институциональный механизм оценки качества развивающих навыков во всех дошкольных образовательных учреждениях.</w:t>
            </w:r>
          </w:p>
        </w:tc>
      </w:tr>
      <w:tr w:rsidR="00B01F1A" w:rsidRPr="001610A4" w:rsidTr="004205BC">
        <w:trPr>
          <w:trHeight w:val="600"/>
          <w:jc w:val="center"/>
        </w:trPr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76034B" w:rsidRPr="001610A4" w:rsidTr="004205BC">
        <w:trPr>
          <w:trHeight w:val="1016"/>
          <w:jc w:val="center"/>
        </w:trPr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42FFB" w:rsidRDefault="00142FF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2FFB">
              <w:rPr>
                <w:rFonts w:asciiTheme="majorBidi" w:eastAsia="Times New Roman" w:hAnsiTheme="majorBidi" w:cstheme="majorBidi"/>
              </w:rPr>
              <w:t>16</w:t>
            </w:r>
          </w:p>
        </w:tc>
        <w:tc>
          <w:tcPr>
            <w:tcW w:w="4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3B69" w:rsidRPr="004205BC" w:rsidRDefault="00253B69" w:rsidP="00253B69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4205BC">
              <w:rPr>
                <w:rFonts w:asciiTheme="majorBidi" w:eastAsia="Times New Roman" w:hAnsiTheme="majorBidi" w:cstheme="majorBidi"/>
                <w:lang w:val="tg-Cyrl-TJ"/>
              </w:rPr>
              <w:t>Наличие и применение инструмента мониторинга и оценки к</w:t>
            </w:r>
            <w:r w:rsidR="004205BC">
              <w:rPr>
                <w:rFonts w:asciiTheme="majorBidi" w:eastAsia="Times New Roman" w:hAnsiTheme="majorBidi" w:cstheme="majorBidi"/>
                <w:lang w:val="tg-Cyrl-TJ"/>
              </w:rPr>
              <w:t>ачества образовательных услуг.</w:t>
            </w:r>
          </w:p>
          <w:p w:rsidR="0076034B" w:rsidRPr="004205BC" w:rsidRDefault="0076034B" w:rsidP="006A5C1C">
            <w:pPr>
              <w:spacing w:after="0" w:line="240" w:lineRule="auto"/>
              <w:rPr>
                <w:rFonts w:asciiTheme="majorBidi" w:eastAsia="Times New Roman" w:hAnsiTheme="majorBidi" w:cstheme="majorBidi"/>
                <w:color w:val="C00000"/>
                <w:lang w:val="ru-RU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4205B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4205BC">
              <w:rPr>
                <w:rFonts w:asciiTheme="majorBidi" w:eastAsia="Times New Roman" w:hAnsiTheme="majorBidi" w:cstheme="majorBidi"/>
                <w:lang w:val="ru-RU"/>
              </w:rPr>
              <w:t>Инструмент отсутствует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4205B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4205BC">
              <w:rPr>
                <w:rFonts w:asciiTheme="majorBidi" w:eastAsia="Times New Roman" w:hAnsiTheme="majorBidi" w:cstheme="majorBidi"/>
              </w:rPr>
              <w:t> </w:t>
            </w:r>
            <w:r w:rsidRPr="004205BC">
              <w:rPr>
                <w:rFonts w:asciiTheme="majorBidi" w:eastAsia="Times New Roman" w:hAnsiTheme="majorBidi" w:cstheme="majorBidi"/>
                <w:lang w:val="ru-RU"/>
              </w:rPr>
              <w:t>Утверждён инструмент мониторинга и оценки качества образовательных услуг ДОУ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4205B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4205BC">
              <w:rPr>
                <w:rFonts w:asciiTheme="majorBidi" w:eastAsia="Times New Roman" w:hAnsiTheme="majorBidi" w:cstheme="majorBidi"/>
                <w:lang w:val="ru-RU"/>
              </w:rPr>
              <w:t>Регулярно проводится мониторинг и оценка качества утверждённому инструменту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4205B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4205BC">
              <w:rPr>
                <w:rFonts w:asciiTheme="majorBidi" w:eastAsia="Times New Roman" w:hAnsiTheme="majorBidi" w:cstheme="majorBidi"/>
                <w:lang w:val="ru-RU"/>
              </w:rPr>
              <w:t>Регулярно проводится мониторинг и оценка качества утверждённому инструменту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4205B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4205B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76034B" w:rsidRPr="00E70DA2" w:rsidTr="004205BC">
        <w:trPr>
          <w:trHeight w:val="85"/>
          <w:jc w:val="center"/>
        </w:trPr>
        <w:tc>
          <w:tcPr>
            <w:tcW w:w="5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42FFB" w:rsidRDefault="00142FF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2FFB">
              <w:rPr>
                <w:rFonts w:asciiTheme="majorBidi" w:eastAsia="Times New Roman" w:hAnsiTheme="majorBidi" w:cstheme="majorBidi"/>
              </w:rPr>
              <w:t>17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Доля подготовленных специалистов МОН РТ (от общего количества работников МОН РТ) и его структурных подразделений по проведению мониторинга и оценки услуг (в %).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42FFB" w:rsidRDefault="0076034B" w:rsidP="006A5C1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42FFB">
              <w:rPr>
                <w:rFonts w:asciiTheme="majorBidi" w:eastAsia="Times New Roman" w:hAnsiTheme="majorBidi" w:cstheme="majorBidi"/>
              </w:rPr>
              <w:t> </w:t>
            </w:r>
            <w:r w:rsidRPr="00142FFB">
              <w:rPr>
                <w:rFonts w:asciiTheme="majorBidi" w:eastAsia="Times New Roman" w:hAnsiTheme="majorBidi" w:cstheme="majorBidi"/>
                <w:lang w:val="ru-RU"/>
              </w:rPr>
              <w:t>0,0%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42FFB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42FFB">
              <w:rPr>
                <w:rFonts w:asciiTheme="majorBidi" w:eastAsia="Times New Roman" w:hAnsiTheme="majorBidi" w:cstheme="majorBidi"/>
                <w:lang w:val="ru-RU"/>
              </w:rPr>
              <w:t>0,0%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42FFB" w:rsidRDefault="006A5C1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42FFB">
              <w:rPr>
                <w:rFonts w:asciiTheme="majorBidi" w:eastAsia="Times New Roman" w:hAnsiTheme="majorBidi" w:cstheme="majorBidi"/>
                <w:lang w:val="ru-RU"/>
              </w:rPr>
              <w:t>2</w:t>
            </w:r>
            <w:r w:rsidR="0076034B" w:rsidRPr="00142FFB">
              <w:rPr>
                <w:rFonts w:asciiTheme="majorBidi" w:eastAsia="Times New Roman" w:hAnsiTheme="majorBidi" w:cstheme="majorBidi"/>
                <w:lang w:val="ru-RU"/>
              </w:rPr>
              <w:t>0,0%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42FFB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42FFB">
              <w:rPr>
                <w:rFonts w:asciiTheme="majorBidi" w:eastAsia="Times New Roman" w:hAnsiTheme="majorBidi" w:cstheme="majorBidi"/>
                <w:lang w:val="ru-RU"/>
              </w:rPr>
              <w:t>100,0%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Достижение индикатора зависит от наличия инструмента МиО</w:t>
            </w:r>
          </w:p>
        </w:tc>
      </w:tr>
    </w:tbl>
    <w:p w:rsidR="0076034B" w:rsidRDefault="0076034B" w:rsidP="0076034B">
      <w:pPr>
        <w:spacing w:after="0" w:line="240" w:lineRule="auto"/>
        <w:rPr>
          <w:lang w:val="ru-RU"/>
        </w:rPr>
      </w:pPr>
    </w:p>
    <w:p w:rsidR="0076034B" w:rsidRDefault="0076034B" w:rsidP="0076034B">
      <w:pPr>
        <w:spacing w:after="0" w:line="240" w:lineRule="auto"/>
        <w:rPr>
          <w:lang w:val="ru-RU"/>
        </w:rPr>
      </w:pPr>
    </w:p>
    <w:p w:rsidR="006A5C1C" w:rsidRDefault="006A5C1C" w:rsidP="0076034B">
      <w:pPr>
        <w:spacing w:after="0" w:line="240" w:lineRule="auto"/>
        <w:rPr>
          <w:lang w:val="ru-RU"/>
        </w:rPr>
      </w:pPr>
    </w:p>
    <w:tbl>
      <w:tblPr>
        <w:tblW w:w="14691" w:type="dxa"/>
        <w:jc w:val="center"/>
        <w:tblLook w:val="04A0"/>
      </w:tblPr>
      <w:tblGrid>
        <w:gridCol w:w="535"/>
        <w:gridCol w:w="3238"/>
        <w:gridCol w:w="2079"/>
        <w:gridCol w:w="1897"/>
        <w:gridCol w:w="2140"/>
        <w:gridCol w:w="2460"/>
        <w:gridCol w:w="2342"/>
      </w:tblGrid>
      <w:tr w:rsidR="0076034B" w:rsidRPr="001610A4" w:rsidTr="004205BC">
        <w:trPr>
          <w:trHeight w:val="465"/>
          <w:jc w:val="center"/>
        </w:trPr>
        <w:tc>
          <w:tcPr>
            <w:tcW w:w="1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bookmarkStart w:id="2" w:name="RANGE!A1:G52"/>
            <w:r w:rsidRPr="001610A4">
              <w:rPr>
                <w:rFonts w:asciiTheme="majorBidi" w:eastAsia="Times New Roman" w:hAnsiTheme="majorBidi" w:cstheme="majorBidi"/>
                <w:b/>
                <w:bCs/>
              </w:rPr>
              <w:t>3. ОБЩЕЕ СРЕДНЕЕ ОБРАЗОВАНИЕ</w:t>
            </w:r>
            <w:bookmarkEnd w:id="2"/>
          </w:p>
        </w:tc>
      </w:tr>
      <w:tr w:rsidR="0076034B" w:rsidRPr="00E70DA2" w:rsidTr="004205BC">
        <w:trPr>
          <w:trHeight w:val="782"/>
          <w:jc w:val="center"/>
        </w:trPr>
        <w:tc>
          <w:tcPr>
            <w:tcW w:w="1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Общая задача: К 2030 г. обеспечить, чтобы все девочки и мальчики завершали получение бесплатного, равноправного и качественного начального и среднего образования, позволяющего добиться востребованных и эффективных результатов обучения (ЦУР 4.1).</w:t>
            </w:r>
          </w:p>
        </w:tc>
      </w:tr>
      <w:tr w:rsidR="0076034B" w:rsidRPr="00E70DA2" w:rsidTr="004205BC">
        <w:trPr>
          <w:trHeight w:val="390"/>
          <w:jc w:val="center"/>
        </w:trPr>
        <w:tc>
          <w:tcPr>
            <w:tcW w:w="1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365F91" w:themeFill="accent1" w:themeFillShade="BF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  <w:t>Долгосрочный результат 3.1 (Приоритет политики 1): Обеспечен равный доступ к общему среднему образованию для всех детей.</w:t>
            </w:r>
          </w:p>
        </w:tc>
      </w:tr>
      <w:tr w:rsidR="00A12CE4" w:rsidRPr="00E70DA2" w:rsidTr="004205BC">
        <w:trPr>
          <w:trHeight w:val="645"/>
          <w:jc w:val="center"/>
        </w:trPr>
        <w:tc>
          <w:tcPr>
            <w:tcW w:w="1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lang w:val="ru-RU"/>
              </w:rPr>
              <w:t>Промежуточный результат 3.1.1: Обеспечен равный доступ к общему среднему образованию путём обеспечения соответствующей и качественной инфраструктуры.</w:t>
            </w:r>
          </w:p>
        </w:tc>
      </w:tr>
      <w:tr w:rsidR="008E268C" w:rsidRPr="001610A4" w:rsidTr="004205BC">
        <w:trPr>
          <w:trHeight w:val="600"/>
          <w:jc w:val="center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Ключевые показатели результативности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20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19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/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20 учебный год (базовый год)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2021-2023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гг.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2024-2026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гг.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2027-2030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гг.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Комментарии</w:t>
            </w:r>
          </w:p>
        </w:tc>
      </w:tr>
      <w:tr w:rsidR="008E268C" w:rsidRPr="001610A4" w:rsidTr="004205BC">
        <w:trPr>
          <w:trHeight w:val="548"/>
          <w:jc w:val="center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4205BC">
              <w:rPr>
                <w:rFonts w:asciiTheme="majorBidi" w:eastAsia="Times New Roman" w:hAnsiTheme="majorBidi" w:cstheme="majorBidi"/>
              </w:rPr>
              <w:t>18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Чистый коэффициент зачисления детей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sz w:val="16"/>
                <w:szCs w:val="16"/>
              </w:rPr>
              <w:t> 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(в %), в том числе: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Индикатор ранее не отслеживался</w:t>
            </w: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1-ый класс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tg-Cyrl-TJ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tg-Cyrl-TJ"/>
              </w:rPr>
              <w:t>96,6%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tg-Cyrl-TJ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tg-Cyrl-TJ"/>
              </w:rPr>
              <w:t>98,0%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tg-Cyrl-TJ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tg-Cyrl-TJ"/>
              </w:rPr>
              <w:t>100,0%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100,0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%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u w:val="single"/>
              </w:rPr>
            </w:pP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- 5-ый класс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104,7%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100,0%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100,0%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100,0%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u w:val="single"/>
              </w:rPr>
            </w:pP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- 10-ый класс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82,5%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85,0%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90,0%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95,0%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u w:val="single"/>
              </w:rPr>
            </w:pP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4205BC">
              <w:rPr>
                <w:rFonts w:asciiTheme="majorBidi" w:eastAsia="Times New Roman" w:hAnsiTheme="majorBidi" w:cstheme="majorBidi"/>
              </w:rPr>
              <w:t>19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Чистый коэффициент приёма (в %), в том числе: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96.6%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97.5%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98.5%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100.0%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Индикатор ранее не отслеживался</w:t>
            </w: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205BC" w:rsidRPr="001610A4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девочки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96.7%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97.5%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98.5%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100.0%</w:t>
            </w:r>
          </w:p>
        </w:tc>
        <w:tc>
          <w:tcPr>
            <w:tcW w:w="234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u w:val="single"/>
              </w:rPr>
            </w:pPr>
          </w:p>
        </w:tc>
      </w:tr>
      <w:tr w:rsidR="008E268C" w:rsidRPr="001610A4" w:rsidTr="004205BC">
        <w:trPr>
          <w:trHeight w:val="188"/>
          <w:jc w:val="center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4205BC">
              <w:rPr>
                <w:rFonts w:asciiTheme="majorBidi" w:eastAsia="Times New Roman" w:hAnsiTheme="majorBidi" w:cstheme="majorBidi"/>
              </w:rPr>
              <w:t>20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Доля перехода учеников, в том числе: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Индикатор ранее не отслеживался</w:t>
            </w:r>
          </w:p>
        </w:tc>
      </w:tr>
      <w:tr w:rsidR="008E268C" w:rsidRPr="001610A4" w:rsidTr="004205BC">
        <w:trPr>
          <w:trHeight w:val="278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с 9-го в 10-ый класс (все)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78,8%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82,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%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85,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%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9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0,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%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с 9-го в 10-ый класс (мальчики)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80,4%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85,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%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88,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%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9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2,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%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с 9-го в 10-ый класс (девочки)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77,1%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8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,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83,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9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0,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%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251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4205BC" w:rsidRDefault="004205BC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21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Среднегодовой ввод ученических мест в общеобразовательных учреждениях.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36,600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80,000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150,000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200,000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Пропорционально динамике прироста населения</w:t>
            </w:r>
          </w:p>
        </w:tc>
      </w:tr>
      <w:tr w:rsidR="008E268C" w:rsidRPr="001610A4" w:rsidTr="004205BC">
        <w:trPr>
          <w:trHeight w:val="521"/>
          <w:jc w:val="center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4205BC" w:rsidRDefault="004205BC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22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Доля общеобразовательных учреждений, обеспеченных базовыми услугами (в %):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Индикатор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ЦУР 4.а.1</w:t>
            </w: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электроэнергией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70,0%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80,0%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95,0%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323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доступом к Интернету для педагогических целей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40,0%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60,0%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80,0%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компьютерами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для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педагогических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целей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50,0%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60,0%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70,0%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адаптированной инфраструктуре (научно-лабораторным оборудованием и материалами)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40,0%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60,0%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80,0%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доступными учебными материалами (напр., учебной литературой и учебниками)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92,0%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95,0%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98,0%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100,0%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1761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адаптированными материалами (для учащихся с ограниченными возможностями, компьютерными программами, аудиовизуальными материалами и т.д.)</w:t>
            </w:r>
          </w:p>
        </w:tc>
        <w:tc>
          <w:tcPr>
            <w:tcW w:w="207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50,0%</w:t>
            </w:r>
          </w:p>
        </w:tc>
        <w:tc>
          <w:tcPr>
            <w:tcW w:w="21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60,0%</w:t>
            </w:r>
          </w:p>
        </w:tc>
        <w:tc>
          <w:tcPr>
            <w:tcW w:w="23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70,0%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305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базовыми источниками питьевой воды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66,2%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70,0%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80,0%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90,0%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600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раздельными минимально оборудованными туалетами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55,0%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70,0%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90,0%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базовыми местами для мытья рук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50,0%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70,0%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100,0%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E70DA2" w:rsidTr="004205BC">
        <w:trPr>
          <w:trHeight w:val="314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4205BC" w:rsidRDefault="004205BC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4205BC">
              <w:rPr>
                <w:rFonts w:asciiTheme="majorBidi" w:eastAsia="Times New Roman" w:hAnsiTheme="majorBidi" w:cstheme="majorBidi"/>
              </w:rPr>
              <w:t>23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Количество трёхсменных общеобразовательных учреждений (всего по государственным учреждениям).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110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50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Практика трёхсменных школ будет постепенно упразднена</w:t>
            </w:r>
          </w:p>
        </w:tc>
      </w:tr>
      <w:tr w:rsidR="008E268C" w:rsidRPr="001610A4" w:rsidTr="004205BC">
        <w:trPr>
          <w:trHeight w:val="49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4205BC" w:rsidRDefault="004205BC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4205BC">
              <w:rPr>
                <w:rFonts w:asciiTheme="majorBidi" w:eastAsia="Times New Roman" w:hAnsiTheme="majorBidi" w:cstheme="majorBidi"/>
              </w:rPr>
              <w:t>24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Доля общеобразовательных учреждений, применяющих цифровые обучающие платформы и решения (в %).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20,0%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30,0%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40,0%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Индикатор ранее не отслеживался</w:t>
            </w:r>
          </w:p>
        </w:tc>
      </w:tr>
      <w:tr w:rsidR="00A12CE4" w:rsidRPr="00E70DA2" w:rsidTr="004205BC">
        <w:trPr>
          <w:trHeight w:val="645"/>
          <w:jc w:val="center"/>
        </w:trPr>
        <w:tc>
          <w:tcPr>
            <w:tcW w:w="1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3.1.2: Обеспечен равный доступ к общему среднему образованию путём создания социально-безопасной и благоприятной среды для обучения.</w:t>
            </w:r>
          </w:p>
        </w:tc>
      </w:tr>
      <w:tr w:rsidR="008E268C" w:rsidRPr="001610A4" w:rsidTr="004205BC">
        <w:trPr>
          <w:trHeight w:val="600"/>
          <w:jc w:val="center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CE4" w:rsidRPr="00B01F1A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CE4" w:rsidRPr="00B01F1A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8E268C" w:rsidRPr="001610A4" w:rsidTr="004205BC">
        <w:trPr>
          <w:trHeight w:val="665"/>
          <w:jc w:val="center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25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Инд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e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кс гендерного паритета (ИГП) учащихся по уровням общего среднего образования, в том числе: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Воздействует на Индикатор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ЦУР 4.5.1</w:t>
            </w:r>
          </w:p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</w:p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Индикатор ранее не отслеживался</w:t>
            </w: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1-4 классы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0,940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0,950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0,965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0,985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5-9 классы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0,936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0,945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0,955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0,980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10-11 классы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0,870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0,890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0,920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0,950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899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4205BC" w:rsidRDefault="004205BC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4205BC">
              <w:rPr>
                <w:rFonts w:asciiTheme="majorBidi" w:eastAsia="Times New Roman" w:hAnsiTheme="majorBidi" w:cstheme="majorBidi"/>
              </w:rPr>
              <w:t>26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Наличие утверждённых нормативных документов, регулирующих доступ к инклюзивному образованию всем детям, в том числе детям из уязвимых групп.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Нормативные документы устарели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Нормативные документы обновлены и утверждены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Нормативные документы утверждены и используются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Нормативные документы утверждены и используются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8E268C" w:rsidRPr="001610A4" w:rsidTr="004205BC">
        <w:trPr>
          <w:trHeight w:val="350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4205BC" w:rsidRDefault="004205BC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4205BC">
              <w:rPr>
                <w:rFonts w:asciiTheme="majorBidi" w:eastAsia="Times New Roman" w:hAnsiTheme="majorBidi" w:cstheme="majorBidi"/>
              </w:rPr>
              <w:t>27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Доля учителей, профессионально обученных в целях обеспечения социально-безопасной и благоприятной среды для обучения (в %).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60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Индикатор ранее не отслеживался</w:t>
            </w:r>
          </w:p>
        </w:tc>
      </w:tr>
      <w:tr w:rsidR="00A12CE4" w:rsidRPr="00E70DA2" w:rsidTr="004205BC">
        <w:trPr>
          <w:trHeight w:val="615"/>
          <w:jc w:val="center"/>
        </w:trPr>
        <w:tc>
          <w:tcPr>
            <w:tcW w:w="1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365F91" w:themeFill="accent1" w:themeFillShade="BF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  <w:t>Долгосрочный результат 3.2 (Приоритет политики 2): Улучшены качество и актуальность начального и среднего общего образования, дающие возможность всем ученикам достичь установленных результатов обучения.</w:t>
            </w:r>
          </w:p>
        </w:tc>
      </w:tr>
      <w:tr w:rsidR="004205BC" w:rsidRPr="00E70DA2" w:rsidTr="004205BC">
        <w:trPr>
          <w:trHeight w:val="467"/>
          <w:jc w:val="center"/>
        </w:trPr>
        <w:tc>
          <w:tcPr>
            <w:tcW w:w="1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4205BC" w:rsidRPr="001610A4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3.2.1: Усилен кадровый потенциал профессиональных работников всех учреждений общего среднего образования.</w:t>
            </w:r>
          </w:p>
        </w:tc>
      </w:tr>
      <w:tr w:rsidR="008E268C" w:rsidRPr="001610A4" w:rsidTr="004205BC">
        <w:trPr>
          <w:trHeight w:val="600"/>
          <w:jc w:val="center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A12CE4" w:rsidRPr="00B01F1A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CE4" w:rsidRPr="00B01F1A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8E268C" w:rsidRPr="00E70DA2" w:rsidTr="004205BC">
        <w:trPr>
          <w:trHeight w:val="431"/>
          <w:jc w:val="center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12CE4" w:rsidRPr="004205BC" w:rsidRDefault="004205BC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4205BC">
              <w:rPr>
                <w:rFonts w:asciiTheme="majorBidi" w:eastAsia="Times New Roman" w:hAnsiTheme="majorBidi" w:cstheme="majorBidi"/>
              </w:rPr>
              <w:t>28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Соотношение учитель-ученик в общем среднем образовании, в том числе в: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16,0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16,5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17,0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18,0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4205BC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4205B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A12CE4" w:rsidRPr="004205BC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1-4 классах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23,3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23,0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22,0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21,0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8E268C" w:rsidRPr="001610A4" w:rsidTr="004205BC">
        <w:trPr>
          <w:trHeight w:val="85"/>
          <w:jc w:val="center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A12CE4" w:rsidRPr="004205BC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5-11 классах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12,7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14,0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15,5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18,0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8E268C" w:rsidRPr="00E70DA2" w:rsidTr="004205BC">
        <w:trPr>
          <w:trHeight w:val="800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4205BC" w:rsidRDefault="004205BC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29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CE4" w:rsidRPr="001610A4" w:rsidRDefault="00A12CE4" w:rsidP="004205BC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Доля учителей общеобразовательных учреждений, прошедших курсы повышения и переподготовки квалификации в (%).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4205BC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4205BC">
              <w:rPr>
                <w:rFonts w:asciiTheme="majorBidi" w:eastAsia="Times New Roman" w:hAnsiTheme="majorBidi" w:cstheme="majorBidi"/>
                <w:lang w:val="ru-RU"/>
              </w:rPr>
              <w:t>20% учителей каждый год обязаны пройти курсы повышния квалификации (в соответствии с законодательством)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4205BC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4205BC">
              <w:rPr>
                <w:rFonts w:asciiTheme="majorBidi" w:eastAsia="Times New Roman" w:hAnsiTheme="majorBidi" w:cstheme="majorBidi"/>
                <w:lang w:val="ru-RU"/>
              </w:rPr>
              <w:t>60,0% (или 20,0% каждый год)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4205BC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4205BC">
              <w:rPr>
                <w:rFonts w:asciiTheme="majorBidi" w:eastAsia="Times New Roman" w:hAnsiTheme="majorBidi" w:cstheme="majorBidi"/>
                <w:lang w:val="ru-RU"/>
              </w:rPr>
              <w:t>60,0% (или 20,0% каждый год)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4205BC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4205BC">
              <w:rPr>
                <w:rFonts w:asciiTheme="majorBidi" w:eastAsia="Times New Roman" w:hAnsiTheme="majorBidi" w:cstheme="majorBidi"/>
                <w:lang w:val="ru-RU"/>
              </w:rPr>
              <w:t>60,0% (или 20,0% каждый год)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4205BC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4205BC">
              <w:rPr>
                <w:rFonts w:asciiTheme="majorBidi" w:eastAsia="Times New Roman" w:hAnsiTheme="majorBidi" w:cstheme="majorBidi"/>
                <w:lang w:val="ru-RU"/>
              </w:rPr>
              <w:t>Воздействует на Индикатор 4.с.1</w:t>
            </w:r>
          </w:p>
        </w:tc>
      </w:tr>
      <w:tr w:rsidR="008E268C" w:rsidRPr="00BA46A9" w:rsidTr="004205BC">
        <w:trPr>
          <w:trHeight w:val="800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2CE4" w:rsidRPr="004205BC" w:rsidRDefault="004205BC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30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Разработаны механизмы и необходимая инфраструктура для дистанционного и смешанного обучения, и цифровые решения доступны для  поддержки педагогических навыков учителей и улучшения результатов обучения учащихся.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Механизмы по дистанционному и смешанному обучению отсутствуют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Механизмы разработаны с учётом потребностей в инфраструктуре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Механизмы и цифровые решения пилотированы, оценены и утверждены для их реализации в национальном масштабе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Механизмы и цифровые решения имеются и реализуются на национальном уровне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--</w:t>
            </w:r>
          </w:p>
        </w:tc>
      </w:tr>
      <w:tr w:rsidR="008E268C" w:rsidRPr="001610A4" w:rsidTr="004205BC">
        <w:trPr>
          <w:trHeight w:val="899"/>
          <w:jc w:val="center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4205BC" w:rsidRDefault="004205BC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31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Доля преподавателей Института повышения и переподготовки квалификации, прошедших курсы повышения и переподготовки квалификации (в %), в том числе: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80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Индикатор ранее не отслеживался</w:t>
            </w:r>
          </w:p>
        </w:tc>
      </w:tr>
      <w:tr w:rsidR="008E268C" w:rsidRPr="001610A4" w:rsidTr="004205BC">
        <w:trPr>
          <w:trHeight w:val="287"/>
          <w:jc w:val="center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B67A9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курсы </w:t>
            </w:r>
            <w:r>
              <w:rPr>
                <w:rFonts w:asciiTheme="majorBidi" w:eastAsia="Times New Roman" w:hAnsiTheme="majorBidi" w:cstheme="majorBidi"/>
                <w:lang w:val="ru-RU"/>
              </w:rPr>
              <w:t>на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ционального значения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70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8E268C" w:rsidRPr="001610A4" w:rsidTr="004205BC">
        <w:trPr>
          <w:trHeight w:val="170"/>
          <w:jc w:val="center"/>
        </w:trPr>
        <w:tc>
          <w:tcPr>
            <w:tcW w:w="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B67A9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курсы международного значения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60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A12CE4" w:rsidRPr="00E70DA2" w:rsidTr="004205BC">
        <w:trPr>
          <w:trHeight w:val="630"/>
          <w:jc w:val="center"/>
        </w:trPr>
        <w:tc>
          <w:tcPr>
            <w:tcW w:w="1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3.2.2: Улучшена учебная программа, основанная на компетентностном подходе, в учреждениях общего среднего образования.</w:t>
            </w:r>
          </w:p>
        </w:tc>
      </w:tr>
      <w:tr w:rsidR="008E268C" w:rsidRPr="001610A4" w:rsidTr="004205BC">
        <w:trPr>
          <w:trHeight w:val="600"/>
          <w:jc w:val="center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A12CE4" w:rsidRPr="00B01F1A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CE4" w:rsidRPr="00B01F1A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8E268C" w:rsidRPr="00E70DA2" w:rsidTr="004205BC">
        <w:trPr>
          <w:trHeight w:val="300"/>
          <w:jc w:val="center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32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Доля детей и молодёжи, достигших, по меньшей мере, минимального уровня чтения и математики (в %), в том числе: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50,0%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75,0%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100,0%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Индикатор ЦУР 4.1.1</w:t>
            </w:r>
          </w:p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</w:p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Воздействует на Индикатор ЦУР 4.6.1</w:t>
            </w:r>
          </w:p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</w:p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Базовые индикаторы и промежуточные индикаторы будут получены из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EGRA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(Оценки навыков чтения в младших классах)</w:t>
            </w: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- 2-ой и 3-ий класс (мальчики)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- 2-ой и 3-ий класс (девочки)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выпускников начальных классов (мальчики)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выпускников начальных классов (девочки)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314"/>
          <w:jc w:val="center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выпускников средних классов (мальчики)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1610A4" w:rsidTr="004205BC">
        <w:trPr>
          <w:trHeight w:val="300"/>
          <w:jc w:val="center"/>
        </w:trPr>
        <w:tc>
          <w:tcPr>
            <w:tcW w:w="53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выпускников средних классов (девочки)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Данных нет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  <w:tc>
          <w:tcPr>
            <w:tcW w:w="234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  <w:tr w:rsidR="008E268C" w:rsidRPr="00E70DA2" w:rsidTr="004205BC">
        <w:trPr>
          <w:trHeight w:val="300"/>
          <w:jc w:val="center"/>
        </w:trPr>
        <w:tc>
          <w:tcPr>
            <w:tcW w:w="53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05BC" w:rsidRPr="004205BC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33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Осуществление постепенного и эффективного перехода на 12-летнее общее среднее образование.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Рассматриваются возможные сценарии перехода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Вопрос и сценарии перехода рассматриваются Правительством РТ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Разработана и утверждена Концепция перехода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Начат процесс полноценного перехода в национальном масштабе</w:t>
            </w:r>
          </w:p>
        </w:tc>
        <w:tc>
          <w:tcPr>
            <w:tcW w:w="234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205BC" w:rsidRPr="00BA46A9" w:rsidRDefault="004205B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</w:p>
        </w:tc>
      </w:tr>
      <w:tr w:rsidR="008E268C" w:rsidRPr="00E70DA2" w:rsidTr="004205BC">
        <w:trPr>
          <w:trHeight w:val="300"/>
          <w:jc w:val="center"/>
        </w:trPr>
        <w:tc>
          <w:tcPr>
            <w:tcW w:w="53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268C" w:rsidRDefault="008E268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34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68C" w:rsidRPr="00B26D47" w:rsidRDefault="008E268C" w:rsidP="008E268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ru-RU"/>
              </w:rPr>
              <w:t>Наличие современного куррикулума (учебного плана), который определяет результаты обучения на компетентностной основе для каждого класса.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68C" w:rsidRPr="00B26D47" w:rsidRDefault="008E268C" w:rsidP="008E268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Куррикулум (учебный план) устарел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68C" w:rsidRPr="008E268C" w:rsidRDefault="008E268C" w:rsidP="008E268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План по модернизации куррикулума (учебного плана) разработан, согласован с партнёрами и утверждён МОН РТ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68C" w:rsidRPr="00330DD1" w:rsidRDefault="008E268C" w:rsidP="008E268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Модернизация куррикулума (учебного плана) успешно завершена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68C" w:rsidRPr="00330DD1" w:rsidRDefault="008E268C" w:rsidP="008E268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Современный куррикулум (учебный план) повсеместно используется всеми общеобразовательными учреждениями</w:t>
            </w:r>
          </w:p>
        </w:tc>
        <w:tc>
          <w:tcPr>
            <w:tcW w:w="234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268C" w:rsidRPr="00BA46A9" w:rsidRDefault="008E268C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</w:tr>
      <w:tr w:rsidR="00A12CE4" w:rsidRPr="00E70DA2" w:rsidTr="004205BC">
        <w:trPr>
          <w:trHeight w:val="660"/>
          <w:jc w:val="center"/>
        </w:trPr>
        <w:tc>
          <w:tcPr>
            <w:tcW w:w="146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3.2.3: Внедрена эффективная система и институциональный механизм оценки качества в учреждениях общего среднего образования, основанные на компетентностном подходе.</w:t>
            </w:r>
          </w:p>
        </w:tc>
      </w:tr>
      <w:tr w:rsidR="008E268C" w:rsidRPr="001610A4" w:rsidTr="004205BC">
        <w:trPr>
          <w:trHeight w:val="600"/>
          <w:jc w:val="center"/>
        </w:trPr>
        <w:tc>
          <w:tcPr>
            <w:tcW w:w="3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A12CE4" w:rsidRPr="00B01F1A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A12CE4" w:rsidRPr="001610A4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12CE4" w:rsidRPr="00B01F1A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8E268C" w:rsidRPr="001610A4" w:rsidTr="004205BC">
        <w:trPr>
          <w:trHeight w:val="350"/>
          <w:jc w:val="center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CE4" w:rsidRPr="004205BC" w:rsidRDefault="008E268C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</w:rPr>
              <w:t>35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Наличие концепции и инструментов формативной, суммативной и стандартизированной оценки обучения.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</w:rPr>
              <w:t> </w:t>
            </w: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Концепция и инструменты оценки отсутствуют или требуют обновления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Разработан и утверждён план действий по обновлению рамки и инструментов оценки знаний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Разработаны и утверждены рамка и инструменты оценки знаний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Рамка и инструменты оценки знаний успешно применяются в общем среднем образовании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2CE4" w:rsidRPr="00BA46A9" w:rsidRDefault="00A12CE4" w:rsidP="00A1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BA46A9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--</w:t>
            </w:r>
          </w:p>
        </w:tc>
      </w:tr>
    </w:tbl>
    <w:p w:rsidR="0076034B" w:rsidRDefault="0076034B" w:rsidP="0076034B">
      <w:pPr>
        <w:spacing w:after="0" w:line="240" w:lineRule="auto"/>
        <w:rPr>
          <w:lang w:val="ru-RU"/>
        </w:rPr>
      </w:pPr>
    </w:p>
    <w:p w:rsidR="00101501" w:rsidRPr="00EA61AC" w:rsidRDefault="00101501" w:rsidP="0076034B">
      <w:pPr>
        <w:spacing w:after="0" w:line="240" w:lineRule="auto"/>
        <w:rPr>
          <w:lang w:val="ru-RU"/>
        </w:rPr>
      </w:pPr>
    </w:p>
    <w:tbl>
      <w:tblPr>
        <w:tblW w:w="14717" w:type="dxa"/>
        <w:jc w:val="center"/>
        <w:tblLook w:val="04A0"/>
      </w:tblPr>
      <w:tblGrid>
        <w:gridCol w:w="528"/>
        <w:gridCol w:w="4372"/>
        <w:gridCol w:w="1955"/>
        <w:gridCol w:w="1838"/>
        <w:gridCol w:w="2128"/>
        <w:gridCol w:w="1658"/>
        <w:gridCol w:w="2238"/>
      </w:tblGrid>
      <w:tr w:rsidR="0076034B" w:rsidRPr="00E70DA2" w:rsidTr="009E1BA2">
        <w:trPr>
          <w:trHeight w:val="465"/>
          <w:jc w:val="center"/>
        </w:trPr>
        <w:tc>
          <w:tcPr>
            <w:tcW w:w="147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bookmarkStart w:id="3" w:name="RANGE!A1:G36"/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4. НАЧАЛЬНОЕ И СРЕДНЕЕ ПРОФЕССИОНАЛЬНОЕ ОБРАЗОВАНИЕ</w:t>
            </w:r>
            <w:bookmarkEnd w:id="3"/>
          </w:p>
        </w:tc>
      </w:tr>
      <w:tr w:rsidR="0076034B" w:rsidRPr="00E70DA2" w:rsidTr="009E1BA2">
        <w:trPr>
          <w:trHeight w:val="615"/>
          <w:jc w:val="center"/>
        </w:trPr>
        <w:tc>
          <w:tcPr>
            <w:tcW w:w="147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Общая цель: К 2030 г. обеспечить равный доступ к начальному и среднему профессиональному образованию, а также подготовке высококвалифицированных кадров, востребованных на внутреннем и внешнем рынке труда.</w:t>
            </w:r>
          </w:p>
        </w:tc>
      </w:tr>
      <w:tr w:rsidR="0076034B" w:rsidRPr="00E70DA2" w:rsidTr="009E1BA2">
        <w:trPr>
          <w:trHeight w:val="615"/>
          <w:jc w:val="center"/>
        </w:trPr>
        <w:tc>
          <w:tcPr>
            <w:tcW w:w="147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365F91" w:themeFill="accent1" w:themeFillShade="BF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  <w:t>Долгосрочный результат 4.1 (Приоритет политики 1): Всем женщинам и мужчинам предоставлен равный доступ к начальному профессиональному образованию и среднему профессиональному образованию.</w:t>
            </w:r>
          </w:p>
        </w:tc>
      </w:tr>
      <w:tr w:rsidR="0076034B" w:rsidRPr="00E70DA2" w:rsidTr="009E1BA2">
        <w:trPr>
          <w:trHeight w:val="660"/>
          <w:jc w:val="center"/>
        </w:trPr>
        <w:tc>
          <w:tcPr>
            <w:tcW w:w="147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4.1.1: Улучшен доступ всех желающих к начальному и среднему профессиональному образованию посредством расширения и модернизации инфраструктуры и создания благоприятной среды.</w:t>
            </w:r>
          </w:p>
        </w:tc>
      </w:tr>
      <w:tr w:rsidR="00B01F1A" w:rsidRPr="001610A4" w:rsidTr="0068148D">
        <w:trPr>
          <w:trHeight w:val="600"/>
          <w:jc w:val="center"/>
        </w:trPr>
        <w:tc>
          <w:tcPr>
            <w:tcW w:w="4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D93C82" w:rsidRPr="001610A4" w:rsidTr="002D37EB">
        <w:trPr>
          <w:trHeight w:val="600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36</w:t>
            </w:r>
          </w:p>
        </w:tc>
        <w:tc>
          <w:tcPr>
            <w:tcW w:w="43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Доля поступивших в образовательные учреждения начального профессионального образования (в %), в том числе: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36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6%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36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</w:t>
            </w:r>
            <w:r>
              <w:rPr>
                <w:rFonts w:asciiTheme="majorBidi" w:eastAsia="Times New Roman" w:hAnsiTheme="majorBidi" w:cstheme="majorBidi"/>
                <w:lang w:val="ru-RU"/>
              </w:rPr>
              <w:t>6,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</w:t>
            </w:r>
            <w:r>
              <w:rPr>
                <w:rFonts w:asciiTheme="majorBidi" w:eastAsia="Times New Roman" w:hAnsiTheme="majorBidi" w:cstheme="majorBidi"/>
                <w:lang w:val="ru-RU"/>
              </w:rPr>
              <w:t>6,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D93C82" w:rsidRPr="001610A4" w:rsidTr="002D37EB">
        <w:trPr>
          <w:trHeight w:val="85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FA2C9D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мужчин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28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1%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27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</w:t>
            </w:r>
            <w:r>
              <w:rPr>
                <w:rFonts w:asciiTheme="majorBidi" w:eastAsia="Times New Roman" w:hAnsiTheme="majorBidi" w:cstheme="majorBidi"/>
                <w:lang w:val="ru-RU"/>
              </w:rPr>
              <w:t>6,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</w:t>
            </w:r>
            <w:r>
              <w:rPr>
                <w:rFonts w:asciiTheme="majorBidi" w:eastAsia="Times New Roman" w:hAnsiTheme="majorBidi" w:cstheme="majorBidi"/>
                <w:lang w:val="ru-RU"/>
              </w:rPr>
              <w:t>5,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D93C82" w:rsidRPr="001610A4" w:rsidTr="002D37EB">
        <w:trPr>
          <w:trHeight w:val="85"/>
          <w:jc w:val="center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FA2C9D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женщин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8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5%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9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</w:t>
            </w:r>
            <w:r>
              <w:rPr>
                <w:rFonts w:asciiTheme="majorBidi" w:eastAsia="Times New Roman" w:hAnsiTheme="majorBidi" w:cstheme="majorBidi"/>
                <w:lang w:val="ru-RU"/>
              </w:rPr>
              <w:t>1,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D93C82" w:rsidRPr="001610A4" w:rsidTr="002D37EB">
        <w:trPr>
          <w:trHeight w:val="530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37</w:t>
            </w:r>
          </w:p>
        </w:tc>
        <w:tc>
          <w:tcPr>
            <w:tcW w:w="4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Доля поступивших в образовательные учреждения среднего профессионального образования (в %), в том числе: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63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4%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64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64,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64,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D93C82" w:rsidRPr="001610A4" w:rsidTr="002D37EB">
        <w:trPr>
          <w:trHeight w:val="116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FA2C9D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мужчин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24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7%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27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29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29,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D93C82" w:rsidRPr="001610A4" w:rsidTr="002D37EB">
        <w:trPr>
          <w:trHeight w:val="107"/>
          <w:jc w:val="center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FA2C9D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женщин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38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7%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37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</w:t>
            </w:r>
            <w:r>
              <w:rPr>
                <w:rFonts w:asciiTheme="majorBidi" w:eastAsia="Times New Roman" w:hAnsiTheme="majorBidi" w:cstheme="majorBidi"/>
                <w:lang w:val="ru-RU"/>
              </w:rPr>
              <w:t>5,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</w:t>
            </w:r>
            <w:r>
              <w:rPr>
                <w:rFonts w:asciiTheme="majorBidi" w:eastAsia="Times New Roman" w:hAnsiTheme="majorBidi" w:cstheme="majorBidi"/>
                <w:lang w:val="ru-RU"/>
              </w:rPr>
              <w:t>5,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D93C82" w:rsidRPr="001610A4" w:rsidTr="002D37EB">
        <w:trPr>
          <w:trHeight w:val="539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38</w:t>
            </w:r>
          </w:p>
        </w:tc>
        <w:tc>
          <w:tcPr>
            <w:tcW w:w="4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Охват системой НПО и СПО выпускников общеобразовательных учреждений (в %).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17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D93C82" w:rsidRPr="001610A4" w:rsidTr="002D37EB">
        <w:trPr>
          <w:trHeight w:val="85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39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Доля обучающихся в учреждениях НПО и СПО в общем количестве студентов профессионального образования (в %).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38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</w:rPr>
              <w:t> </w:t>
            </w:r>
            <w:r w:rsidRPr="00D93C82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D93C82" w:rsidRPr="001610A4" w:rsidTr="002D37EB">
        <w:trPr>
          <w:trHeight w:val="170"/>
          <w:jc w:val="center"/>
        </w:trPr>
        <w:tc>
          <w:tcPr>
            <w:tcW w:w="5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40</w:t>
            </w:r>
          </w:p>
        </w:tc>
        <w:tc>
          <w:tcPr>
            <w:tcW w:w="4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Охват людей с ограниченными возможностями программами НПО и СПО (в %), в том числе: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64%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 xml:space="preserve">Воздействует на Индикатор </w:t>
            </w:r>
            <w:r w:rsidRPr="00D93C82">
              <w:rPr>
                <w:rFonts w:asciiTheme="majorBidi" w:eastAsia="Times New Roman" w:hAnsiTheme="majorBidi" w:cstheme="majorBidi"/>
              </w:rPr>
              <w:t>ЦУР 4.5</w:t>
            </w:r>
            <w:r w:rsidRPr="00D93C82">
              <w:rPr>
                <w:rFonts w:asciiTheme="majorBidi" w:eastAsia="Times New Roman" w:hAnsiTheme="majorBidi" w:cstheme="majorBidi"/>
                <w:lang w:val="ru-RU"/>
              </w:rPr>
              <w:t>.1</w:t>
            </w:r>
          </w:p>
        </w:tc>
      </w:tr>
      <w:tr w:rsidR="00D93C82" w:rsidRPr="001610A4" w:rsidTr="002D37EB">
        <w:trPr>
          <w:trHeight w:val="98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в </w:t>
            </w:r>
            <w:r>
              <w:rPr>
                <w:rFonts w:asciiTheme="majorBidi" w:eastAsia="Times New Roman" w:hAnsiTheme="majorBidi" w:cstheme="majorBidi"/>
                <w:lang w:val="ru-RU"/>
              </w:rPr>
              <w:t>учреждениях НПО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60%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D93C82" w:rsidRPr="001610A4" w:rsidTr="002D37EB">
        <w:trPr>
          <w:trHeight w:val="233"/>
          <w:jc w:val="center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в </w:t>
            </w:r>
            <w:r>
              <w:rPr>
                <w:rFonts w:asciiTheme="majorBidi" w:eastAsia="Times New Roman" w:hAnsiTheme="majorBidi" w:cstheme="majorBidi"/>
                <w:lang w:val="ru-RU"/>
              </w:rPr>
              <w:t>учреждения СПО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04%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9E1BA2">
        <w:trPr>
          <w:trHeight w:val="98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D93C82" w:rsidRDefault="00D93C8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41</w:t>
            </w:r>
          </w:p>
        </w:tc>
        <w:tc>
          <w:tcPr>
            <w:tcW w:w="43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Количество вновь введённых </w:t>
            </w:r>
            <w:r w:rsidRPr="00650C34">
              <w:rPr>
                <w:rFonts w:asciiTheme="majorBidi" w:eastAsia="Times New Roman" w:hAnsiTheme="majorBidi" w:cstheme="majorBidi"/>
                <w:lang w:val="ru-RU"/>
              </w:rPr>
              <w:t>мест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в учреждениях НПО и СПО, в том числе: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Менее 10000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36000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48000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60000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76034B" w:rsidRPr="001610A4" w:rsidTr="009E1BA2">
        <w:trPr>
          <w:trHeight w:val="85"/>
          <w:jc w:val="center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D93C82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E1BA2" w:rsidRDefault="0076034B" w:rsidP="00FA2C9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в </w:t>
            </w:r>
            <w:r w:rsidR="00FA2C9D"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учреждениях НПО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8821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30000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40000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</w:t>
            </w:r>
            <w:r>
              <w:rPr>
                <w:rFonts w:asciiTheme="majorBidi" w:eastAsia="Times New Roman" w:hAnsiTheme="majorBidi" w:cstheme="majorBidi"/>
                <w:lang w:val="ru-RU"/>
              </w:rPr>
              <w:t>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000</w:t>
            </w:r>
          </w:p>
        </w:tc>
        <w:tc>
          <w:tcPr>
            <w:tcW w:w="22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9E1BA2">
        <w:trPr>
          <w:trHeight w:val="197"/>
          <w:jc w:val="center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D93C82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E1BA2" w:rsidRDefault="0076034B" w:rsidP="00FA2C9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в </w:t>
            </w:r>
            <w:r w:rsidR="00FA2C9D"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учреждениях СПО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6000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8000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10000</w:t>
            </w:r>
          </w:p>
        </w:tc>
        <w:tc>
          <w:tcPr>
            <w:tcW w:w="22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9E1BA2">
        <w:trPr>
          <w:trHeight w:val="85"/>
          <w:jc w:val="center"/>
        </w:trPr>
        <w:tc>
          <w:tcPr>
            <w:tcW w:w="5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D93C82" w:rsidRDefault="00D93C8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42</w:t>
            </w:r>
          </w:p>
        </w:tc>
        <w:tc>
          <w:tcPr>
            <w:tcW w:w="43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E1BA2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Доля модернизированных образовательных учреждений, здания которых приспособлены для людей с ограниченными возможностями (в %), в том числе: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2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FA2C9D" w:rsidRPr="001610A4" w:rsidTr="009E1BA2">
        <w:trPr>
          <w:trHeight w:val="85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9E1BA2" w:rsidRDefault="00FA2C9D" w:rsidP="0063060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 учреждениях НПО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60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</w:p>
        </w:tc>
        <w:tc>
          <w:tcPr>
            <w:tcW w:w="22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FA2C9D" w:rsidRPr="001610A4" w:rsidTr="009E1BA2">
        <w:trPr>
          <w:trHeight w:val="85"/>
          <w:jc w:val="center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9E1BA2" w:rsidRDefault="00FA2C9D" w:rsidP="0063060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 учреждениях СПО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</w:p>
        </w:tc>
        <w:tc>
          <w:tcPr>
            <w:tcW w:w="22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68148D">
        <w:trPr>
          <w:trHeight w:val="260"/>
          <w:jc w:val="center"/>
        </w:trPr>
        <w:tc>
          <w:tcPr>
            <w:tcW w:w="5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D93C82" w:rsidRDefault="00D93C8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43</w:t>
            </w:r>
          </w:p>
        </w:tc>
        <w:tc>
          <w:tcPr>
            <w:tcW w:w="43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E1BA2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Доля женщин, поступивших на вновь введённые образовательные программы НПО и СПО (в %), в том числе: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2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650C3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50C34">
              <w:rPr>
                <w:rFonts w:asciiTheme="majorBidi" w:eastAsia="Times New Roman" w:hAnsiTheme="majorBidi" w:cstheme="majorBidi"/>
                <w:lang w:val="ru-RU"/>
              </w:rPr>
              <w:t>Индикатор ранее не отслеживался</w:t>
            </w:r>
          </w:p>
        </w:tc>
      </w:tr>
      <w:tr w:rsidR="00FA2C9D" w:rsidRPr="001610A4" w:rsidTr="009E1BA2">
        <w:trPr>
          <w:trHeight w:val="260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9D" w:rsidRPr="00D93C82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9E1BA2" w:rsidRDefault="00FA2C9D" w:rsidP="0063060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 учреждениях НПО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FA2C9D" w:rsidRPr="001610A4" w:rsidTr="009E1BA2">
        <w:trPr>
          <w:trHeight w:val="170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9D" w:rsidRPr="00D93C82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9E1BA2" w:rsidRDefault="00FA2C9D" w:rsidP="0063060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 учреждениях СПО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9E1BA2">
        <w:trPr>
          <w:trHeight w:val="161"/>
          <w:jc w:val="center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D93C82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E1BA2" w:rsidRDefault="0076034B" w:rsidP="00FA2C9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  - </w:t>
            </w:r>
            <w:r w:rsidR="00FA2C9D"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в </w:t>
            </w: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ресурсных центр</w:t>
            </w:r>
            <w:r w:rsidR="00FA2C9D"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ах</w:t>
            </w: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 xml:space="preserve"> для взрослых.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9E1BA2">
        <w:trPr>
          <w:trHeight w:val="782"/>
          <w:jc w:val="center"/>
        </w:trPr>
        <w:tc>
          <w:tcPr>
            <w:tcW w:w="5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D93C82" w:rsidRDefault="00D93C8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44</w:t>
            </w:r>
          </w:p>
        </w:tc>
        <w:tc>
          <w:tcPr>
            <w:tcW w:w="43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E1BA2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Доля образовательных учреждений НПО и СПО, использующих информационно-коммуникационные технологии в образовательном процессе (в %), в том числе: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68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73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80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D93C82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86,0%</w:t>
            </w:r>
          </w:p>
        </w:tc>
        <w:tc>
          <w:tcPr>
            <w:tcW w:w="22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FA2C9D" w:rsidRPr="001610A4" w:rsidTr="009E1BA2">
        <w:trPr>
          <w:trHeight w:val="224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9E1BA2" w:rsidRDefault="00FA2C9D" w:rsidP="0063060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  - </w:t>
            </w: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 учреждениях НПО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47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D93C82" w:rsidRDefault="00FA2C9D" w:rsidP="00FA2C9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55,0%</w:t>
            </w:r>
          </w:p>
        </w:tc>
        <w:tc>
          <w:tcPr>
            <w:tcW w:w="223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C9D" w:rsidRPr="001610A4" w:rsidRDefault="00FA2C9D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FA2C9D" w:rsidRPr="001610A4" w:rsidTr="009E1BA2">
        <w:trPr>
          <w:trHeight w:val="134"/>
          <w:jc w:val="center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FA2C9D" w:rsidRDefault="00FA2C9D" w:rsidP="00630608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в </w:t>
            </w:r>
            <w:r>
              <w:rPr>
                <w:rFonts w:asciiTheme="majorBidi" w:eastAsia="Times New Roman" w:hAnsiTheme="majorBidi" w:cstheme="majorBidi"/>
                <w:lang w:val="ru-RU"/>
              </w:rPr>
              <w:t>учреждениях СПО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23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26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1610A4" w:rsidRDefault="00FA2C9D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</w:t>
            </w:r>
            <w:r>
              <w:rPr>
                <w:rFonts w:asciiTheme="majorBidi" w:eastAsia="Times New Roman" w:hAnsiTheme="majorBidi" w:cstheme="majorBidi"/>
                <w:lang w:val="ru-RU"/>
              </w:rPr>
              <w:t>0,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C9D" w:rsidRPr="00D93C82" w:rsidRDefault="00FA2C9D" w:rsidP="00FA2C9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35,0%</w:t>
            </w:r>
          </w:p>
        </w:tc>
        <w:tc>
          <w:tcPr>
            <w:tcW w:w="22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C9D" w:rsidRPr="001610A4" w:rsidRDefault="00FA2C9D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E70DA2" w:rsidTr="009E1BA2">
        <w:trPr>
          <w:trHeight w:val="630"/>
          <w:jc w:val="center"/>
        </w:trPr>
        <w:tc>
          <w:tcPr>
            <w:tcW w:w="147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365F91" w:themeFill="accent1" w:themeFillShade="BF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  <w:t>Долгосрочный результат 4.2 (Приоритет политики 2): Улучшено качество подготовки выпускников начальных профессионально-технических учреждений и средних профессиональных учреждений, соответствующее требованиям рынка труда.</w:t>
            </w:r>
          </w:p>
        </w:tc>
      </w:tr>
      <w:tr w:rsidR="0076034B" w:rsidRPr="00E70DA2" w:rsidTr="009E1BA2">
        <w:trPr>
          <w:trHeight w:val="615"/>
          <w:jc w:val="center"/>
        </w:trPr>
        <w:tc>
          <w:tcPr>
            <w:tcW w:w="147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4.2.1: Повышен кадровый потенциал работников в начальном и среднем профессиональном образовании.</w:t>
            </w:r>
          </w:p>
        </w:tc>
      </w:tr>
      <w:tr w:rsidR="00B01F1A" w:rsidRPr="001610A4" w:rsidTr="009E1BA2">
        <w:trPr>
          <w:trHeight w:val="600"/>
          <w:jc w:val="center"/>
        </w:trPr>
        <w:tc>
          <w:tcPr>
            <w:tcW w:w="4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76034B" w:rsidRPr="00E70DA2" w:rsidTr="009E1BA2">
        <w:trPr>
          <w:trHeight w:val="8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D93C82" w:rsidRDefault="00D93C8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45</w:t>
            </w:r>
          </w:p>
        </w:tc>
        <w:tc>
          <w:tcPr>
            <w:tcW w:w="43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Общее количество преподавателей и мастеров в учреждениях НПО и СПО (в разбивке по уровню образования), в том числе: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8387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9495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</w:t>
            </w:r>
            <w:r>
              <w:rPr>
                <w:rFonts w:asciiTheme="majorBidi" w:eastAsia="Times New Roman" w:hAnsiTheme="majorBidi" w:cstheme="majorBidi"/>
                <w:lang w:val="ru-RU"/>
              </w:rPr>
              <w:t>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755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12189</w:t>
            </w:r>
          </w:p>
        </w:tc>
        <w:tc>
          <w:tcPr>
            <w:tcW w:w="22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D93C82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Воздействует на Индикатор ЦУР 4.с.1</w:t>
            </w:r>
          </w:p>
        </w:tc>
      </w:tr>
      <w:tr w:rsidR="0076034B" w:rsidRPr="001610A4" w:rsidTr="009E1BA2">
        <w:trPr>
          <w:trHeight w:val="314"/>
          <w:jc w:val="center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D93C82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FA2C9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  </w:t>
            </w:r>
            <w:r w:rsidRPr="001610A4">
              <w:rPr>
                <w:rFonts w:asciiTheme="majorBidi" w:eastAsia="Times New Roman" w:hAnsiTheme="majorBidi" w:cstheme="majorBidi"/>
              </w:rPr>
              <w:t xml:space="preserve">- в </w:t>
            </w:r>
            <w:r w:rsidR="00FA2C9D">
              <w:rPr>
                <w:rFonts w:asciiTheme="majorBidi" w:eastAsia="Times New Roman" w:hAnsiTheme="majorBidi" w:cstheme="majorBidi"/>
                <w:lang w:val="ru-RU"/>
              </w:rPr>
              <w:t>учреждениях</w:t>
            </w:r>
            <w:r w:rsidRPr="001610A4">
              <w:rPr>
                <w:rFonts w:asciiTheme="majorBidi" w:eastAsia="Times New Roman" w:hAnsiTheme="majorBidi" w:cstheme="majorBidi"/>
              </w:rPr>
              <w:t xml:space="preserve">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НПО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2508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2734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2980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248</w:t>
            </w: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D93C82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1610A4" w:rsidTr="009E1BA2">
        <w:trPr>
          <w:trHeight w:val="85"/>
          <w:jc w:val="center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D93C82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A2C9D" w:rsidRDefault="0076034B" w:rsidP="00FA2C9D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 xml:space="preserve">   - в </w:t>
            </w:r>
            <w:r w:rsidR="00FA2C9D">
              <w:rPr>
                <w:rFonts w:asciiTheme="majorBidi" w:eastAsia="Times New Roman" w:hAnsiTheme="majorBidi" w:cstheme="majorBidi"/>
                <w:lang w:val="ru-RU"/>
              </w:rPr>
              <w:t>учреждениях</w:t>
            </w:r>
            <w:r w:rsidRPr="001610A4">
              <w:rPr>
                <w:rFonts w:asciiTheme="majorBidi" w:eastAsia="Times New Roman" w:hAnsiTheme="majorBidi" w:cstheme="majorBidi"/>
              </w:rPr>
              <w:t xml:space="preserve">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СПО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5879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6761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7775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1610A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8941</w:t>
            </w: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D93C82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630608" w:rsidRPr="001610A4" w:rsidTr="009E1BA2">
        <w:trPr>
          <w:trHeight w:val="1142"/>
          <w:jc w:val="center"/>
        </w:trPr>
        <w:tc>
          <w:tcPr>
            <w:tcW w:w="5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08" w:rsidRPr="00D93C82" w:rsidRDefault="00D93C8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46</w:t>
            </w:r>
          </w:p>
        </w:tc>
        <w:tc>
          <w:tcPr>
            <w:tcW w:w="43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Доля преподавателей и мастеров, прошедших курсы повышения квалификации по формированию компетенций у выпускников НПО и СПО (в %; в том числе новым методам обучения/оценивания студентов), в том числе: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2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08" w:rsidRPr="00D93C82" w:rsidRDefault="00630608" w:rsidP="006306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Воздействует на Индикатор ЦУР 4.с.1</w:t>
            </w:r>
          </w:p>
        </w:tc>
      </w:tr>
      <w:tr w:rsidR="00630608" w:rsidRPr="001610A4" w:rsidTr="009E1BA2">
        <w:trPr>
          <w:trHeight w:val="170"/>
          <w:jc w:val="center"/>
        </w:trPr>
        <w:tc>
          <w:tcPr>
            <w:tcW w:w="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lang w:val="ru-RU"/>
              </w:rPr>
              <w:t>- преподавателей и мастеров НПО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60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630608" w:rsidRPr="001610A4" w:rsidTr="009E1BA2">
        <w:trPr>
          <w:trHeight w:val="206"/>
          <w:jc w:val="center"/>
        </w:trPr>
        <w:tc>
          <w:tcPr>
            <w:tcW w:w="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lang w:val="ru-RU"/>
              </w:rPr>
              <w:t>- преподавателей и мастеров СПО</w:t>
            </w:r>
          </w:p>
        </w:tc>
        <w:tc>
          <w:tcPr>
            <w:tcW w:w="195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3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60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630608" w:rsidRPr="00E70DA2" w:rsidTr="009E1BA2">
        <w:trPr>
          <w:trHeight w:val="645"/>
          <w:jc w:val="center"/>
        </w:trPr>
        <w:tc>
          <w:tcPr>
            <w:tcW w:w="147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4.2.2: Усилена деятельность учреждений начального и среднего профессионального образования в соответствии с потребностями рынка труда.</w:t>
            </w:r>
          </w:p>
        </w:tc>
      </w:tr>
      <w:tr w:rsidR="00630608" w:rsidRPr="001610A4" w:rsidTr="009E1BA2">
        <w:trPr>
          <w:trHeight w:val="600"/>
          <w:jc w:val="center"/>
        </w:trPr>
        <w:tc>
          <w:tcPr>
            <w:tcW w:w="4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30608" w:rsidRPr="00B01F1A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30608" w:rsidRPr="00B01F1A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D93C82" w:rsidRPr="001610A4" w:rsidTr="002D37EB">
        <w:trPr>
          <w:trHeight w:val="620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47</w:t>
            </w:r>
          </w:p>
        </w:tc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Доля выпускников образовательных учреждений НПО и СПО, трудоустроенных по специальности (в %), в том числе: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</w:t>
            </w:r>
            <w:r>
              <w:rPr>
                <w:rFonts w:asciiTheme="majorBidi" w:eastAsia="Times New Roman" w:hAnsiTheme="majorBidi" w:cstheme="majorBidi"/>
                <w:lang w:val="ru-RU"/>
              </w:rPr>
              <w:t>5,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65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80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D93C82" w:rsidRPr="001610A4" w:rsidTr="002D37EB">
        <w:trPr>
          <w:trHeight w:val="350"/>
          <w:jc w:val="center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 xml:space="preserve">   - выпускников НПО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1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28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35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50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D93C82" w:rsidRPr="001610A4" w:rsidTr="002D37EB">
        <w:trPr>
          <w:trHeight w:val="161"/>
          <w:jc w:val="center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 xml:space="preserve">   - выпускников СПО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4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65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75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90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D93C82" w:rsidRPr="001610A4" w:rsidTr="002D37EB">
        <w:trPr>
          <w:trHeight w:val="620"/>
          <w:jc w:val="center"/>
        </w:trPr>
        <w:tc>
          <w:tcPr>
            <w:tcW w:w="5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48</w:t>
            </w:r>
          </w:p>
        </w:tc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Доля учащихся профессионально-технических учреждений, проходящих учебную практику на производстве в общем количестве студентов (в %), в том числе: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ru-RU"/>
              </w:rPr>
            </w:pPr>
            <w:r w:rsidRPr="001610A4">
              <w:rPr>
                <w:rFonts w:asciiTheme="majorBidi" w:hAnsiTheme="majorBidi" w:cstheme="majorBidi"/>
                <w:lang w:val="ru-RU"/>
              </w:rPr>
              <w:t>--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ru-RU"/>
              </w:rPr>
            </w:pPr>
            <w:r w:rsidRPr="001610A4">
              <w:rPr>
                <w:rFonts w:asciiTheme="majorBidi" w:hAnsiTheme="majorBidi" w:cstheme="majorBidi"/>
                <w:lang w:val="ru-RU"/>
              </w:rPr>
              <w:t>--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ru-RU"/>
              </w:rPr>
            </w:pPr>
            <w:r w:rsidRPr="001610A4">
              <w:rPr>
                <w:rFonts w:asciiTheme="majorBidi" w:hAnsiTheme="majorBidi" w:cstheme="majorBidi"/>
                <w:lang w:val="ru-RU"/>
              </w:rPr>
              <w:t>--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ru-RU"/>
              </w:rPr>
            </w:pPr>
            <w:r w:rsidRPr="001610A4">
              <w:rPr>
                <w:rFonts w:asciiTheme="majorBidi" w:hAnsiTheme="majorBidi" w:cstheme="majorBidi"/>
                <w:lang w:val="ru-RU"/>
              </w:rPr>
              <w:t>--</w:t>
            </w:r>
          </w:p>
        </w:tc>
        <w:tc>
          <w:tcPr>
            <w:tcW w:w="22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D93C82" w:rsidRPr="001610A4" w:rsidTr="002D37EB">
        <w:trPr>
          <w:trHeight w:val="85"/>
          <w:jc w:val="center"/>
        </w:trPr>
        <w:tc>
          <w:tcPr>
            <w:tcW w:w="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  - учащихся НПО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100,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100,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100,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10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D93C82" w:rsidRPr="001610A4" w:rsidTr="002D37EB">
        <w:trPr>
          <w:trHeight w:val="46"/>
          <w:jc w:val="center"/>
        </w:trPr>
        <w:tc>
          <w:tcPr>
            <w:tcW w:w="5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  - учащихся СПО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100,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100,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100,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C82" w:rsidRPr="001610A4" w:rsidRDefault="00D93C82" w:rsidP="002D37EB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C82" w:rsidRPr="00D93C82" w:rsidRDefault="00D93C82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630608" w:rsidRPr="001610A4" w:rsidTr="009E1BA2">
        <w:trPr>
          <w:trHeight w:val="62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08" w:rsidRPr="00D93C82" w:rsidRDefault="00D93C8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49</w:t>
            </w:r>
          </w:p>
        </w:tc>
        <w:tc>
          <w:tcPr>
            <w:tcW w:w="4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6C660C" w:rsidRDefault="00630608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Доля образовательных учреждений НПО и СПО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, применяющи</w:t>
            </w:r>
            <w:r>
              <w:rPr>
                <w:rFonts w:asciiTheme="majorBidi" w:eastAsia="Times New Roman" w:hAnsiTheme="majorBidi" w:cstheme="majorBidi"/>
                <w:lang w:val="ru-RU"/>
              </w:rPr>
              <w:t>х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 xml:space="preserve"> внутренние системы обеспечения качества и использующи</w:t>
            </w:r>
            <w:r>
              <w:rPr>
                <w:rFonts w:asciiTheme="majorBidi" w:eastAsia="Times New Roman" w:hAnsiTheme="majorBidi" w:cstheme="majorBidi"/>
                <w:lang w:val="ru-RU"/>
              </w:rPr>
              <w:t>х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 xml:space="preserve"> механизмы, установленные для выявления изменяющихся требований на разных уровнях (в % от общего количества 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образовательных учреждений НПО и СПО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).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40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60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100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08" w:rsidRPr="00D93C82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630608" w:rsidRPr="001610A4" w:rsidTr="009E1BA2">
        <w:trPr>
          <w:trHeight w:val="260"/>
          <w:jc w:val="center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08" w:rsidRPr="00D93C82" w:rsidRDefault="00D93C8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D93C82">
              <w:rPr>
                <w:rFonts w:asciiTheme="majorBidi" w:eastAsia="Times New Roman" w:hAnsiTheme="majorBidi" w:cstheme="majorBidi"/>
                <w:lang w:val="ru-RU"/>
              </w:rPr>
              <w:t>50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Наличие согласованной и утверждённой Национальной квалификационной рамки (НКР).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НКР отсутствует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НКР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 разработана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НКР согласована и утверждена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НКР применяется в </w:t>
            </w:r>
            <w:r>
              <w:rPr>
                <w:rFonts w:asciiTheme="majorBidi" w:eastAsia="Times New Roman" w:hAnsiTheme="majorBidi" w:cstheme="majorBidi"/>
                <w:lang w:val="ru-RU"/>
              </w:rPr>
              <w:t>НПО и СПО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08" w:rsidRPr="001610A4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</w:tbl>
    <w:p w:rsidR="0068148D" w:rsidRDefault="0068148D" w:rsidP="0076034B">
      <w:pPr>
        <w:spacing w:after="0" w:line="240" w:lineRule="auto"/>
        <w:rPr>
          <w:lang w:val="ru-RU"/>
        </w:rPr>
      </w:pPr>
    </w:p>
    <w:p w:rsidR="0076034B" w:rsidRPr="00EA61AC" w:rsidRDefault="0076034B" w:rsidP="0076034B">
      <w:pPr>
        <w:spacing w:after="0" w:line="240" w:lineRule="auto"/>
        <w:rPr>
          <w:lang w:val="ru-RU"/>
        </w:rPr>
      </w:pPr>
    </w:p>
    <w:tbl>
      <w:tblPr>
        <w:tblW w:w="14725" w:type="dxa"/>
        <w:jc w:val="center"/>
        <w:tblLook w:val="04A0"/>
      </w:tblPr>
      <w:tblGrid>
        <w:gridCol w:w="521"/>
        <w:gridCol w:w="4630"/>
        <w:gridCol w:w="1878"/>
        <w:gridCol w:w="1694"/>
        <w:gridCol w:w="1967"/>
        <w:gridCol w:w="1708"/>
        <w:gridCol w:w="2327"/>
      </w:tblGrid>
      <w:tr w:rsidR="0076034B" w:rsidRPr="006C660C" w:rsidTr="009E1BA2">
        <w:trPr>
          <w:trHeight w:val="450"/>
          <w:jc w:val="center"/>
        </w:trPr>
        <w:tc>
          <w:tcPr>
            <w:tcW w:w="147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</w:rPr>
              <w:t>5. ВЫСШЕЕ ПРОФЕССИОНАЛЬНОЕ ОБРАЗОВАНИЕ</w:t>
            </w:r>
          </w:p>
        </w:tc>
      </w:tr>
      <w:tr w:rsidR="0076034B" w:rsidRPr="00E70DA2" w:rsidTr="009E1BA2">
        <w:trPr>
          <w:trHeight w:val="645"/>
          <w:jc w:val="center"/>
        </w:trPr>
        <w:tc>
          <w:tcPr>
            <w:tcW w:w="147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Общая цель: К 2030 г. обеспечить для всех женщин и мужчин равный доступ к недорогому и качественному высшему профессиональному образованию.</w:t>
            </w:r>
          </w:p>
        </w:tc>
      </w:tr>
      <w:tr w:rsidR="0076034B" w:rsidRPr="00E70DA2" w:rsidTr="009E1BA2">
        <w:trPr>
          <w:trHeight w:val="349"/>
          <w:jc w:val="center"/>
        </w:trPr>
        <w:tc>
          <w:tcPr>
            <w:tcW w:w="147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365F91" w:themeFill="accent1" w:themeFillShade="BF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  <w:t>Долгосрочный результат 5.1 (Приоритет политики 1): Улучшен равный доступ к высшему профессиональному образованию для всех.</w:t>
            </w:r>
          </w:p>
        </w:tc>
      </w:tr>
      <w:tr w:rsidR="00577262" w:rsidRPr="006C660C" w:rsidTr="009E1BA2">
        <w:trPr>
          <w:trHeight w:val="589"/>
          <w:jc w:val="center"/>
        </w:trPr>
        <w:tc>
          <w:tcPr>
            <w:tcW w:w="5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76034B" w:rsidRPr="00E70DA2" w:rsidTr="009E1BA2">
        <w:trPr>
          <w:trHeight w:val="709"/>
          <w:jc w:val="center"/>
        </w:trPr>
        <w:tc>
          <w:tcPr>
            <w:tcW w:w="147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5.1.1: Увеличен доступ к высшему профессиональному образованию за счёт расширения и модернизации инфраструктуры высших учебных заведений (ВУЗов) и открытия восстребованных специальностей.</w:t>
            </w:r>
          </w:p>
        </w:tc>
      </w:tr>
      <w:tr w:rsidR="00577262" w:rsidRPr="006C660C" w:rsidTr="009E1BA2">
        <w:trPr>
          <w:trHeight w:val="600"/>
          <w:jc w:val="center"/>
        </w:trPr>
        <w:tc>
          <w:tcPr>
            <w:tcW w:w="5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ED3B83" w:rsidRPr="006C660C" w:rsidTr="002D37EB">
        <w:trPr>
          <w:trHeight w:val="431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B83" w:rsidRPr="00984580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51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9E1BA2" w:rsidRDefault="00ED3B83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Чистый коэффициент охвата высшим образованием (всего; в %).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16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7%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25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35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ED3B83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ED3B83">
              <w:rPr>
                <w:rFonts w:asciiTheme="majorBidi" w:eastAsia="Times New Roman" w:hAnsiTheme="majorBidi" w:cstheme="majorBidi"/>
                <w:lang w:val="ru-RU"/>
              </w:rPr>
              <w:t>Индикатор ранее не отслеживался</w:t>
            </w:r>
          </w:p>
        </w:tc>
      </w:tr>
      <w:tr w:rsidR="00ED3B83" w:rsidRPr="006C660C" w:rsidTr="002D37EB">
        <w:trPr>
          <w:trHeight w:val="611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B83" w:rsidRPr="00984580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52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9E1BA2" w:rsidRDefault="00ED3B83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Участие в высшем профессиональном образовании (в % от общего количества студентов, обучающихся в государственных учреждениях профессионального образования).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</w:rPr>
              <w:t>65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</w:rPr>
              <w:t>4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%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</w:rPr>
              <w:t>60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6C660C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</w:rPr>
              <w:t>55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6C660C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</w:rPr>
              <w:t>50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30608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ED3B83" w:rsidRPr="00E70DA2" w:rsidTr="002D37EB">
        <w:trPr>
          <w:trHeight w:val="575"/>
          <w:jc w:val="center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3" w:rsidRPr="00984580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53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Доля лиц с высшим профессиональным образованием среди занятого населения (в %), в том числе: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</w:rPr>
              <w:t>30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6C660C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</w:rPr>
              <w:t>45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6C660C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60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6C660C">
              <w:rPr>
                <w:rFonts w:asciiTheme="majorBidi" w:eastAsia="Times New Roman" w:hAnsiTheme="majorBidi" w:cstheme="majorBidi"/>
              </w:rPr>
              <w:t>0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%</w:t>
            </w:r>
          </w:p>
        </w:tc>
        <w:tc>
          <w:tcPr>
            <w:tcW w:w="2327" w:type="dxa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30608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Индикатор определяется путём репрезентативного исследования</w:t>
            </w:r>
          </w:p>
        </w:tc>
      </w:tr>
      <w:tr w:rsidR="00ED3B83" w:rsidRPr="006C660C" w:rsidTr="002D37EB">
        <w:trPr>
          <w:trHeight w:val="206"/>
          <w:jc w:val="center"/>
        </w:trPr>
        <w:tc>
          <w:tcPr>
            <w:tcW w:w="5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B83" w:rsidRPr="00984580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30608" w:rsidRDefault="00ED3B83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 xml:space="preserve">   </w:t>
            </w:r>
            <w:r w:rsidRPr="006C660C">
              <w:rPr>
                <w:rFonts w:asciiTheme="majorBidi" w:eastAsia="Times New Roman" w:hAnsiTheme="majorBidi" w:cstheme="majorBidi"/>
              </w:rPr>
              <w:t xml:space="preserve">- 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женщин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6C660C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</w:rPr>
              <w:t>35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6C660C">
              <w:rPr>
                <w:rFonts w:asciiTheme="majorBidi" w:eastAsia="Times New Roman" w:hAnsiTheme="majorBidi" w:cstheme="majorBidi"/>
              </w:rPr>
              <w:t>0%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50</w:t>
            </w:r>
            <w:r>
              <w:rPr>
                <w:rFonts w:asciiTheme="majorBidi" w:eastAsia="Times New Roman" w:hAnsiTheme="majorBidi" w:cstheme="majorBidi"/>
              </w:rPr>
              <w:t>,</w:t>
            </w:r>
            <w:r w:rsidRPr="006C660C">
              <w:rPr>
                <w:rFonts w:asciiTheme="majorBidi" w:eastAsia="Times New Roman" w:hAnsiTheme="majorBidi" w:cstheme="majorBidi"/>
              </w:rPr>
              <w:t>0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%</w:t>
            </w:r>
          </w:p>
        </w:tc>
        <w:tc>
          <w:tcPr>
            <w:tcW w:w="23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B83" w:rsidRPr="006C660C" w:rsidRDefault="00ED3B83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577262" w:rsidRPr="00E70DA2" w:rsidTr="009E1BA2">
        <w:trPr>
          <w:trHeight w:val="278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6034B" w:rsidRPr="00984580" w:rsidRDefault="00984580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54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Количество новых мест в высших учебных заведениях (ВУЗов) и филиалах.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</w:rPr>
              <w:t> 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4824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5692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6717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7926</w:t>
            </w:r>
          </w:p>
        </w:tc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Ожидаемый рост соответствует темпам роста приёма новых студентов в размере около 6%</w:t>
            </w:r>
            <w:r w:rsidRPr="006C660C">
              <w:rPr>
                <w:rFonts w:asciiTheme="majorBidi" w:eastAsia="Times New Roman" w:hAnsiTheme="majorBidi" w:cstheme="majorBidi"/>
              </w:rPr>
              <w:t> 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в год (в последние 5 лет)</w:t>
            </w:r>
          </w:p>
        </w:tc>
      </w:tr>
      <w:tr w:rsidR="00577262" w:rsidRPr="006C660C" w:rsidTr="009E1BA2">
        <w:trPr>
          <w:trHeight w:val="692"/>
          <w:jc w:val="center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34B" w:rsidRPr="00984580" w:rsidRDefault="00984580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55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Количество ВУЗов, которые произвели реконструкцию учебных зданий для увеличения приёма студентов.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25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45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65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100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577262" w:rsidRPr="006C660C" w:rsidTr="009E1BA2">
        <w:trPr>
          <w:trHeight w:val="413"/>
          <w:jc w:val="center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984580" w:rsidRDefault="00984580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56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Доля студентов, поступивших на новые специальности в высшем образовании (в %).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15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25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30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577262" w:rsidRPr="006C660C" w:rsidTr="009E1BA2">
        <w:trPr>
          <w:trHeight w:val="300"/>
          <w:jc w:val="center"/>
        </w:trPr>
        <w:tc>
          <w:tcPr>
            <w:tcW w:w="5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6034B" w:rsidRPr="00984580" w:rsidRDefault="00984580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57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630608" w:rsidP="00630608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Доля ВУЗов, обеспеченных</w:t>
            </w:r>
            <w:r w:rsidR="0076034B" w:rsidRPr="00984580">
              <w:rPr>
                <w:rFonts w:asciiTheme="majorBidi" w:eastAsia="Times New Roman" w:hAnsiTheme="majorBidi" w:cstheme="majorBidi"/>
                <w:lang w:val="ru-RU"/>
              </w:rPr>
              <w:t xml:space="preserve"> (в %)</w:t>
            </w:r>
            <w:r w:rsidR="0076034B" w:rsidRPr="00984580">
              <w:rPr>
                <w:rFonts w:asciiTheme="majorBidi" w:eastAsia="Times New Roman" w:hAnsiTheme="majorBidi" w:cstheme="majorBidi"/>
              </w:rPr>
              <w:t>: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3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577262" w:rsidRPr="006C660C" w:rsidTr="009E1BA2">
        <w:trPr>
          <w:trHeight w:val="300"/>
          <w:jc w:val="center"/>
        </w:trPr>
        <w:tc>
          <w:tcPr>
            <w:tcW w:w="5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630608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 xml:space="preserve">   - услугами Интернета для </w:t>
            </w:r>
            <w:r w:rsidR="00630608" w:rsidRPr="00984580">
              <w:rPr>
                <w:rFonts w:asciiTheme="majorBidi" w:eastAsia="Times New Roman" w:hAnsiTheme="majorBidi" w:cstheme="majorBidi"/>
                <w:lang w:val="ru-RU"/>
              </w:rPr>
              <w:t xml:space="preserve">педагогических </w:t>
            </w:r>
            <w:r w:rsidRPr="00984580">
              <w:rPr>
                <w:rFonts w:asciiTheme="majorBidi" w:eastAsia="Times New Roman" w:hAnsiTheme="majorBidi" w:cstheme="majorBidi"/>
                <w:lang w:val="ru-RU"/>
              </w:rPr>
              <w:t>целей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Менее 80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90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100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100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577262" w:rsidRPr="006C660C" w:rsidTr="009E1BA2">
        <w:trPr>
          <w:trHeight w:val="404"/>
          <w:jc w:val="center"/>
        </w:trPr>
        <w:tc>
          <w:tcPr>
            <w:tcW w:w="5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 xml:space="preserve">   - учебными программами, адаптированными для </w:t>
            </w:r>
            <w:r w:rsidR="00630608" w:rsidRPr="00984580">
              <w:rPr>
                <w:rFonts w:asciiTheme="majorBidi" w:eastAsia="Times New Roman" w:hAnsiTheme="majorBidi" w:cstheme="majorBidi"/>
                <w:lang w:val="ru-RU"/>
              </w:rPr>
              <w:t>смешанного</w:t>
            </w:r>
            <w:r w:rsidR="00630608" w:rsidRPr="00984580">
              <w:rPr>
                <w:rFonts w:asciiTheme="majorBidi" w:eastAsia="Times New Roman" w:hAnsiTheme="majorBidi" w:cstheme="majorBidi"/>
              </w:rPr>
              <w:t>/</w:t>
            </w:r>
            <w:r w:rsidR="00630608" w:rsidRPr="00984580">
              <w:rPr>
                <w:rFonts w:asciiTheme="majorBidi" w:eastAsia="Times New Roman" w:hAnsiTheme="majorBidi" w:cstheme="majorBidi"/>
                <w:lang w:val="ru-RU"/>
              </w:rPr>
              <w:t>дистанционного обучения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Менее 50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60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75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85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577262" w:rsidRPr="006C660C" w:rsidTr="009E1BA2">
        <w:trPr>
          <w:trHeight w:val="692"/>
          <w:jc w:val="center"/>
        </w:trPr>
        <w:tc>
          <w:tcPr>
            <w:tcW w:w="5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630608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 xml:space="preserve">   - адаптированной инфраструктурой и материалами для лиц с ограниченными возможностями</w:t>
            </w:r>
            <w:r w:rsidR="00630608" w:rsidRPr="00984580">
              <w:rPr>
                <w:rFonts w:asciiTheme="majorBidi" w:eastAsia="Times New Roman" w:hAnsiTheme="majorBidi" w:cstheme="majorBidi"/>
                <w:lang w:val="ru-RU"/>
              </w:rPr>
              <w:t xml:space="preserve"> и специальными потребностями</w:t>
            </w:r>
          </w:p>
        </w:tc>
        <w:tc>
          <w:tcPr>
            <w:tcW w:w="18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Менее 30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35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60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80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E70DA2" w:rsidTr="009E1BA2">
        <w:trPr>
          <w:trHeight w:val="582"/>
          <w:jc w:val="center"/>
        </w:trPr>
        <w:tc>
          <w:tcPr>
            <w:tcW w:w="147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5.1.2: Создана благоприятная среда для улучшения доступа к высшему профессиональному образованию.</w:t>
            </w:r>
          </w:p>
        </w:tc>
      </w:tr>
      <w:tr w:rsidR="00577262" w:rsidRPr="006C660C" w:rsidTr="009E1BA2">
        <w:trPr>
          <w:trHeight w:val="600"/>
          <w:jc w:val="center"/>
        </w:trPr>
        <w:tc>
          <w:tcPr>
            <w:tcW w:w="5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577262" w:rsidRPr="006C660C" w:rsidTr="009E1BA2">
        <w:trPr>
          <w:trHeight w:val="809"/>
          <w:jc w:val="center"/>
        </w:trPr>
        <w:tc>
          <w:tcPr>
            <w:tcW w:w="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984580" w:rsidRDefault="00984580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58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Доля студентов из уязвимых групп населения, охваченных высшим профессиональным образованием (в %), в том числе: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Менее 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8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10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577262" w:rsidRPr="006C660C" w:rsidTr="009E1BA2">
        <w:trPr>
          <w:trHeight w:val="85"/>
          <w:jc w:val="center"/>
        </w:trPr>
        <w:tc>
          <w:tcPr>
            <w:tcW w:w="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30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30608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</w:rPr>
              <w:t xml:space="preserve">   - 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обучающихся по стипендиям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Менее 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8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10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577262" w:rsidRPr="006C660C" w:rsidTr="009E1BA2">
        <w:trPr>
          <w:trHeight w:val="85"/>
          <w:jc w:val="center"/>
        </w:trPr>
        <w:tc>
          <w:tcPr>
            <w:tcW w:w="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30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</w:rPr>
              <w:t xml:space="preserve">   - </w:t>
            </w:r>
            <w:r w:rsidR="00630608">
              <w:rPr>
                <w:rFonts w:asciiTheme="majorBidi" w:eastAsia="Times New Roman" w:hAnsiTheme="majorBidi" w:cstheme="majorBidi"/>
                <w:lang w:val="ru-RU"/>
              </w:rPr>
              <w:t>обучающихся по квотам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Менее 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8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10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577262" w:rsidRPr="006C660C" w:rsidTr="009E1BA2">
        <w:trPr>
          <w:trHeight w:val="300"/>
          <w:jc w:val="center"/>
        </w:trPr>
        <w:tc>
          <w:tcPr>
            <w:tcW w:w="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30608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</w:rPr>
              <w:t xml:space="preserve">   - 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мужчин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Менее 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</w:rPr>
              <w:t> 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8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10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577262" w:rsidRPr="006C660C" w:rsidTr="009E1BA2">
        <w:trPr>
          <w:trHeight w:val="85"/>
          <w:jc w:val="center"/>
        </w:trPr>
        <w:tc>
          <w:tcPr>
            <w:tcW w:w="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630608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</w:rPr>
              <w:t xml:space="preserve">   - </w:t>
            </w:r>
            <w:r w:rsidR="00630608">
              <w:rPr>
                <w:rFonts w:asciiTheme="majorBidi" w:eastAsia="Times New Roman" w:hAnsiTheme="majorBidi" w:cstheme="majorBidi"/>
                <w:lang w:val="ru-RU"/>
              </w:rPr>
              <w:t>женщин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Менее 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</w:rPr>
              <w:t> 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8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10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577262" w:rsidRPr="006C660C" w:rsidTr="009E1BA2">
        <w:trPr>
          <w:trHeight w:val="800"/>
          <w:jc w:val="center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984580" w:rsidRDefault="00984580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59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Доля ВУЗов, соответствующих стандартам обучения людей с ограниченными возможностями (%).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</w:rPr>
              <w:t> 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ВУЗы не соответствуют стандартам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25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60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100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577262" w:rsidRPr="006C660C" w:rsidTr="009E1BA2">
        <w:trPr>
          <w:trHeight w:val="600"/>
          <w:jc w:val="center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984580" w:rsidRDefault="00984580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60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Доля девушек-студентов в технологических, инженерных и математических программах (в % от общего количества девушек-студентов).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15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30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Индикатор ранее не отслеживался</w:t>
            </w:r>
          </w:p>
        </w:tc>
      </w:tr>
      <w:tr w:rsidR="0076034B" w:rsidRPr="00E70DA2" w:rsidTr="009E1BA2">
        <w:trPr>
          <w:trHeight w:val="600"/>
          <w:jc w:val="center"/>
        </w:trPr>
        <w:tc>
          <w:tcPr>
            <w:tcW w:w="147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365F91" w:themeFill="accent1" w:themeFillShade="BF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  <w:t>Долгосрочный результат 5.2 (Приоритет политики 2): Улучшено качество высшего профессионального образования, выпускники которого отвечают требованиям рынка труда.</w:t>
            </w:r>
          </w:p>
        </w:tc>
      </w:tr>
      <w:tr w:rsidR="0076034B" w:rsidRPr="00E70DA2" w:rsidTr="009E1BA2">
        <w:trPr>
          <w:trHeight w:val="660"/>
          <w:jc w:val="center"/>
        </w:trPr>
        <w:tc>
          <w:tcPr>
            <w:tcW w:w="147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5.2.1: Учебные программы и профессорско-преподавательский состав высших учебных заведений (ВУЗов) соответствует международным стандартам.</w:t>
            </w:r>
          </w:p>
        </w:tc>
      </w:tr>
      <w:tr w:rsidR="00577262" w:rsidRPr="006C660C" w:rsidTr="009E1BA2">
        <w:trPr>
          <w:trHeight w:val="600"/>
          <w:jc w:val="center"/>
        </w:trPr>
        <w:tc>
          <w:tcPr>
            <w:tcW w:w="5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577262" w:rsidRPr="006C660C" w:rsidTr="009E1BA2">
        <w:trPr>
          <w:trHeight w:val="332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984580" w:rsidRDefault="00984580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61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Доля преподавателей, прошедших курсы и подготовленных для инклюзивного обучения.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Менее 20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25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50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75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63060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Воздействует на Индикатор ЦУР 4.с.1</w:t>
            </w:r>
          </w:p>
        </w:tc>
      </w:tr>
      <w:tr w:rsidR="00577262" w:rsidRPr="006C660C" w:rsidTr="009E1BA2">
        <w:trPr>
          <w:trHeight w:val="332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984580" w:rsidRDefault="00984580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62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Наличие дуальной системы образования.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Дуальная система отсутствует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Подготовлена нормативная база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Внедрение дуальной системы утверждено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Дуальная система образования в ВПО внедрена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577262" w:rsidRPr="006C660C" w:rsidTr="009E1BA2">
        <w:trPr>
          <w:trHeight w:val="251"/>
          <w:jc w:val="center"/>
        </w:trPr>
        <w:tc>
          <w:tcPr>
            <w:tcW w:w="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6C660C" w:rsidRDefault="00984580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63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Доля участвующих в программах академической мобильности, в том числе: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32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577262" w:rsidRPr="006C660C" w:rsidTr="009E1BA2">
        <w:trPr>
          <w:trHeight w:val="332"/>
          <w:jc w:val="center"/>
        </w:trPr>
        <w:tc>
          <w:tcPr>
            <w:tcW w:w="5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3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84580">
              <w:rPr>
                <w:rFonts w:asciiTheme="majorBidi" w:eastAsia="Times New Roman" w:hAnsiTheme="majorBidi" w:cstheme="majorBidi"/>
              </w:rPr>
              <w:t xml:space="preserve">   - </w:t>
            </w:r>
            <w:r w:rsidRPr="00984580">
              <w:rPr>
                <w:rFonts w:asciiTheme="majorBidi" w:eastAsia="Times New Roman" w:hAnsiTheme="majorBidi" w:cstheme="majorBidi"/>
                <w:lang w:val="ru-RU"/>
              </w:rPr>
              <w:t>студент</w:t>
            </w:r>
            <w:r w:rsidR="00A257E8">
              <w:rPr>
                <w:rFonts w:asciiTheme="majorBidi" w:eastAsia="Times New Roman" w:hAnsiTheme="majorBidi" w:cstheme="majorBidi"/>
                <w:lang w:val="ru-RU"/>
              </w:rPr>
              <w:t>ов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10,0%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20,0%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30,0%</w:t>
            </w:r>
          </w:p>
        </w:tc>
        <w:tc>
          <w:tcPr>
            <w:tcW w:w="23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577262" w:rsidRPr="006C660C" w:rsidTr="009E1BA2">
        <w:trPr>
          <w:trHeight w:val="332"/>
          <w:jc w:val="center"/>
        </w:trPr>
        <w:tc>
          <w:tcPr>
            <w:tcW w:w="5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84580">
              <w:rPr>
                <w:rFonts w:asciiTheme="majorBidi" w:eastAsia="Times New Roman" w:hAnsiTheme="majorBidi" w:cstheme="majorBidi"/>
              </w:rPr>
              <w:t xml:space="preserve">   - </w:t>
            </w:r>
            <w:r w:rsidRPr="00984580">
              <w:rPr>
                <w:rFonts w:asciiTheme="majorBidi" w:eastAsia="Times New Roman" w:hAnsiTheme="majorBidi" w:cstheme="majorBidi"/>
                <w:lang w:val="ru-RU"/>
              </w:rPr>
              <w:t>профессо</w:t>
            </w:r>
            <w:r w:rsidR="00A257E8">
              <w:rPr>
                <w:rFonts w:asciiTheme="majorBidi" w:eastAsia="Times New Roman" w:hAnsiTheme="majorBidi" w:cstheme="majorBidi"/>
                <w:lang w:val="ru-RU"/>
              </w:rPr>
              <w:t>рско-преподавательского состава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5,0%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10,0%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84580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20,0%</w:t>
            </w:r>
          </w:p>
        </w:tc>
        <w:tc>
          <w:tcPr>
            <w:tcW w:w="23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E70DA2" w:rsidTr="009E1BA2">
        <w:trPr>
          <w:trHeight w:val="660"/>
          <w:jc w:val="center"/>
        </w:trPr>
        <w:tc>
          <w:tcPr>
            <w:tcW w:w="147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5.2.2: Внедрена эффективная система и институциональный механизм обучения и оценки качества в учреждениях высшего профессионального образования, основанные на потребностях рынка труда.</w:t>
            </w:r>
          </w:p>
        </w:tc>
      </w:tr>
      <w:tr w:rsidR="00577262" w:rsidRPr="006C660C" w:rsidTr="009E1BA2">
        <w:trPr>
          <w:trHeight w:val="600"/>
          <w:jc w:val="center"/>
        </w:trPr>
        <w:tc>
          <w:tcPr>
            <w:tcW w:w="5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984580" w:rsidRPr="006C660C" w:rsidTr="002D37EB">
        <w:trPr>
          <w:trHeight w:val="600"/>
          <w:jc w:val="center"/>
        </w:trPr>
        <w:tc>
          <w:tcPr>
            <w:tcW w:w="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84580" w:rsidRPr="00A257E8" w:rsidRDefault="00A257E8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64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984580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Доля студентов и выпускников показывающих уровень знаний выше среднего (в %), в том числе: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Менее 65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70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80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90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984580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>Индикатор ранее не отслеживался</w:t>
            </w:r>
          </w:p>
        </w:tc>
      </w:tr>
      <w:tr w:rsidR="00984580" w:rsidRPr="006C660C" w:rsidTr="002D37EB">
        <w:trPr>
          <w:trHeight w:val="300"/>
          <w:jc w:val="center"/>
        </w:trPr>
        <w:tc>
          <w:tcPr>
            <w:tcW w:w="52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84580" w:rsidRPr="00984580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984580" w:rsidRDefault="00A257E8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   - по итогам экзаменов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Менее 65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70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80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90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984580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84580" w:rsidRPr="006C660C" w:rsidTr="002D37EB">
        <w:trPr>
          <w:trHeight w:val="600"/>
          <w:jc w:val="center"/>
        </w:trPr>
        <w:tc>
          <w:tcPr>
            <w:tcW w:w="52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84580" w:rsidRPr="00984580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84580">
              <w:rPr>
                <w:rFonts w:asciiTheme="majorBidi" w:eastAsia="Times New Roman" w:hAnsiTheme="majorBidi" w:cstheme="majorBidi"/>
                <w:lang w:val="ru-RU"/>
              </w:rPr>
              <w:t xml:space="preserve">   - по итогам внутриву</w:t>
            </w:r>
            <w:r w:rsidR="00A257E8">
              <w:rPr>
                <w:rFonts w:asciiTheme="majorBidi" w:eastAsia="Times New Roman" w:hAnsiTheme="majorBidi" w:cstheme="majorBidi"/>
                <w:lang w:val="ru-RU"/>
              </w:rPr>
              <w:t>зовских предметных тестирований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Менее 65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70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80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90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984580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577262" w:rsidRPr="0083432A" w:rsidTr="009E1BA2">
        <w:trPr>
          <w:trHeight w:val="170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A257E8" w:rsidRDefault="00A257E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A257E8">
              <w:rPr>
                <w:rFonts w:asciiTheme="majorBidi" w:eastAsia="Times New Roman" w:hAnsiTheme="majorBidi" w:cstheme="majorBidi"/>
              </w:rPr>
              <w:t>65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Разработана Национальная квалификационная рамка (НКР).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НКР отсутсвует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577262" w:rsidP="0057726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НКР разработана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76034B" w:rsidP="0057726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 xml:space="preserve">НКР </w:t>
            </w:r>
            <w:r w:rsidR="00577262" w:rsidRPr="00A257E8">
              <w:rPr>
                <w:rFonts w:asciiTheme="majorBidi" w:eastAsia="Times New Roman" w:hAnsiTheme="majorBidi" w:cstheme="majorBidi"/>
                <w:lang w:val="ru-RU"/>
              </w:rPr>
              <w:t>согласована и утверждена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76034B" w:rsidP="0057726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НКР</w:t>
            </w:r>
            <w:r w:rsidR="00577262" w:rsidRPr="00A257E8">
              <w:rPr>
                <w:rFonts w:asciiTheme="majorBidi" w:eastAsia="Times New Roman" w:hAnsiTheme="majorBidi" w:cstheme="majorBidi"/>
                <w:lang w:val="ru-RU"/>
              </w:rPr>
              <w:t xml:space="preserve"> полноценно</w:t>
            </w:r>
            <w:r w:rsidRPr="00A257E8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 w:rsidR="00577262" w:rsidRPr="00A257E8">
              <w:rPr>
                <w:rFonts w:asciiTheme="majorBidi" w:eastAsia="Times New Roman" w:hAnsiTheme="majorBidi" w:cstheme="majorBidi"/>
                <w:lang w:val="ru-RU"/>
              </w:rPr>
              <w:t>реализуется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577262" w:rsidRPr="0083432A" w:rsidTr="009E1BA2">
        <w:trPr>
          <w:trHeight w:val="170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262" w:rsidRPr="00A257E8" w:rsidRDefault="00A257E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A257E8">
              <w:rPr>
                <w:rFonts w:asciiTheme="majorBidi" w:eastAsia="Times New Roman" w:hAnsiTheme="majorBidi" w:cstheme="majorBidi"/>
              </w:rPr>
              <w:t>66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262" w:rsidRPr="00A257E8" w:rsidRDefault="00577262" w:rsidP="001B52C1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Наличие общегосударственной системы оценки качества высшего образования, основанной на результатах обучениях и компетенциях.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262" w:rsidRPr="00A257E8" w:rsidRDefault="00577262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</w:rPr>
              <w:t> </w:t>
            </w:r>
            <w:r w:rsidRPr="00A257E8">
              <w:rPr>
                <w:rFonts w:asciiTheme="majorBidi" w:eastAsia="Times New Roman" w:hAnsiTheme="majorBidi" w:cstheme="majorBidi"/>
                <w:lang w:val="ru-RU"/>
              </w:rPr>
              <w:t>Система оценки качества отсутствует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262" w:rsidRPr="00A257E8" w:rsidRDefault="00577262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</w:rPr>
              <w:t> </w:t>
            </w:r>
            <w:r w:rsidRPr="00A257E8">
              <w:rPr>
                <w:rFonts w:asciiTheme="majorBidi" w:eastAsia="Times New Roman" w:hAnsiTheme="majorBidi" w:cstheme="majorBidi"/>
                <w:lang w:val="ru-RU"/>
              </w:rPr>
              <w:t>Разработана нормативная база и проведён обзор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262" w:rsidRPr="00A257E8" w:rsidRDefault="00577262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Система оценки качества разработана и утверждена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262" w:rsidRPr="00A257E8" w:rsidRDefault="00577262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Система оценки качества успешно используется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262" w:rsidRPr="00A257E8" w:rsidRDefault="00577262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984580" w:rsidRPr="006C660C" w:rsidTr="002D37EB">
        <w:trPr>
          <w:trHeight w:val="300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580" w:rsidRPr="00A257E8" w:rsidRDefault="00A257E8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A257E8">
              <w:rPr>
                <w:rFonts w:asciiTheme="majorBidi" w:eastAsia="Times New Roman" w:hAnsiTheme="majorBidi" w:cstheme="majorBidi"/>
              </w:rPr>
              <w:t>67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Доля высших учебных заведений (ВУЗов) с расширенной степенью автономии (в %).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A257E8">
              <w:rPr>
                <w:rFonts w:asciiTheme="majorBidi" w:eastAsia="Times New Roman" w:hAnsiTheme="majorBidi" w:cstheme="majorBidi"/>
              </w:rPr>
              <w:t>20,0%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A257E8">
              <w:rPr>
                <w:rFonts w:asciiTheme="majorBidi" w:eastAsia="Times New Roman" w:hAnsiTheme="majorBidi" w:cstheme="majorBidi"/>
              </w:rPr>
              <w:t>50,0%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A257E8">
              <w:rPr>
                <w:rFonts w:asciiTheme="majorBidi" w:eastAsia="Times New Roman" w:hAnsiTheme="majorBidi" w:cstheme="majorBidi"/>
              </w:rPr>
              <w:t>100,0%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Индикатор ранее не отслеживался</w:t>
            </w:r>
          </w:p>
        </w:tc>
      </w:tr>
      <w:tr w:rsidR="00984580" w:rsidRPr="006C660C" w:rsidTr="002D37EB">
        <w:trPr>
          <w:trHeight w:val="300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580" w:rsidRPr="00A257E8" w:rsidRDefault="00A257E8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A257E8">
              <w:rPr>
                <w:rFonts w:asciiTheme="majorBidi" w:eastAsia="Times New Roman" w:hAnsiTheme="majorBidi" w:cstheme="majorBidi"/>
              </w:rPr>
              <w:t>68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Наличие независимого аккредитационного агентства в высшем профессиональном образовании.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Агентство не существует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Разработана и утверждена "дорожная карта" по созданию агентства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Создано независимое аккредитац. агентство в высшем проф. образовании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Агентство успешно функционирует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76034B" w:rsidRPr="00E70DA2" w:rsidTr="009E1BA2">
        <w:trPr>
          <w:trHeight w:val="660"/>
          <w:jc w:val="center"/>
        </w:trPr>
        <w:tc>
          <w:tcPr>
            <w:tcW w:w="147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5.2.3: Усилено взаимодействие учреждений высшего профессионального образования с частным сектором, партнёрами по развитию и гражданским обществом.</w:t>
            </w:r>
          </w:p>
        </w:tc>
      </w:tr>
      <w:tr w:rsidR="00577262" w:rsidRPr="006C660C" w:rsidTr="009E1BA2">
        <w:trPr>
          <w:trHeight w:val="600"/>
          <w:jc w:val="center"/>
        </w:trPr>
        <w:tc>
          <w:tcPr>
            <w:tcW w:w="5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577262" w:rsidRPr="006C660C" w:rsidTr="009E1BA2">
        <w:trPr>
          <w:trHeight w:val="332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A257E8" w:rsidRDefault="00A257E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69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577262" w:rsidP="00577262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 xml:space="preserve">Участники рынка труда (т.е. работодатели) </w:t>
            </w:r>
            <w:r w:rsidR="0076034B" w:rsidRPr="00A257E8">
              <w:rPr>
                <w:rFonts w:asciiTheme="majorBidi" w:eastAsia="Times New Roman" w:hAnsiTheme="majorBidi" w:cstheme="majorBidi"/>
                <w:lang w:val="ru-RU"/>
              </w:rPr>
              <w:t>более тесно вовлечен</w:t>
            </w:r>
            <w:r w:rsidRPr="00A257E8">
              <w:rPr>
                <w:rFonts w:asciiTheme="majorBidi" w:eastAsia="Times New Roman" w:hAnsiTheme="majorBidi" w:cstheme="majorBidi"/>
                <w:lang w:val="ru-RU"/>
              </w:rPr>
              <w:t>ы</w:t>
            </w:r>
            <w:r w:rsidR="0076034B" w:rsidRPr="00A257E8">
              <w:rPr>
                <w:rFonts w:asciiTheme="majorBidi" w:eastAsia="Times New Roman" w:hAnsiTheme="majorBidi" w:cstheme="majorBidi"/>
                <w:lang w:val="ru-RU"/>
              </w:rPr>
              <w:t xml:space="preserve"> в формирование государственных образовательных стандартов по специальностям и в учебный процесс.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577262" w:rsidP="0057726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М</w:t>
            </w:r>
            <w:r w:rsidR="0076034B" w:rsidRPr="00A257E8">
              <w:rPr>
                <w:rFonts w:asciiTheme="majorBidi" w:eastAsia="Times New Roman" w:hAnsiTheme="majorBidi" w:cstheme="majorBidi"/>
                <w:lang w:val="ru-RU"/>
              </w:rPr>
              <w:t xml:space="preserve">еханизм </w:t>
            </w:r>
            <w:r w:rsidRPr="00A257E8">
              <w:rPr>
                <w:rFonts w:asciiTheme="majorBidi" w:eastAsia="Times New Roman" w:hAnsiTheme="majorBidi" w:cstheme="majorBidi"/>
                <w:lang w:val="ru-RU"/>
              </w:rPr>
              <w:t xml:space="preserve">взаимодействия с работодателями </w:t>
            </w:r>
            <w:r w:rsidR="0076034B" w:rsidRPr="00A257E8">
              <w:rPr>
                <w:rFonts w:asciiTheme="majorBidi" w:eastAsia="Times New Roman" w:hAnsiTheme="majorBidi" w:cstheme="majorBidi"/>
                <w:lang w:val="ru-RU"/>
              </w:rPr>
              <w:t xml:space="preserve">на </w:t>
            </w:r>
            <w:r w:rsidRPr="00A257E8">
              <w:rPr>
                <w:rFonts w:asciiTheme="majorBidi" w:eastAsia="Times New Roman" w:hAnsiTheme="majorBidi" w:cstheme="majorBidi"/>
                <w:lang w:val="ru-RU"/>
              </w:rPr>
              <w:t>национальном</w:t>
            </w:r>
            <w:r w:rsidR="0076034B" w:rsidRPr="00A257E8">
              <w:rPr>
                <w:rFonts w:asciiTheme="majorBidi" w:eastAsia="Times New Roman" w:hAnsiTheme="majorBidi" w:cstheme="majorBidi"/>
                <w:lang w:val="ru-RU"/>
              </w:rPr>
              <w:t xml:space="preserve"> уровне отсутствует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577262" w:rsidP="0057726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Механизм р</w:t>
            </w:r>
            <w:r w:rsidR="0076034B" w:rsidRPr="00A257E8">
              <w:rPr>
                <w:rFonts w:asciiTheme="majorBidi" w:eastAsia="Times New Roman" w:hAnsiTheme="majorBidi" w:cstheme="majorBidi"/>
                <w:lang w:val="ru-RU"/>
              </w:rPr>
              <w:t>азработ</w:t>
            </w:r>
            <w:r w:rsidRPr="00A257E8">
              <w:rPr>
                <w:rFonts w:asciiTheme="majorBidi" w:eastAsia="Times New Roman" w:hAnsiTheme="majorBidi" w:cstheme="majorBidi"/>
                <w:lang w:val="ru-RU"/>
              </w:rPr>
              <w:t>ан</w:t>
            </w:r>
            <w:r w:rsidR="0076034B" w:rsidRPr="00A257E8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 w:rsidRPr="00A257E8">
              <w:rPr>
                <w:rFonts w:asciiTheme="majorBidi" w:eastAsia="Times New Roman" w:hAnsiTheme="majorBidi" w:cstheme="majorBidi"/>
                <w:lang w:val="ru-RU"/>
              </w:rPr>
              <w:t>и обсуждён с целью взаимодействия с работодателями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577262" w:rsidP="0057726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Механизм у</w:t>
            </w:r>
            <w:r w:rsidR="0076034B" w:rsidRPr="00A257E8">
              <w:rPr>
                <w:rFonts w:asciiTheme="majorBidi" w:eastAsia="Times New Roman" w:hAnsiTheme="majorBidi" w:cstheme="majorBidi"/>
                <w:lang w:val="ru-RU"/>
              </w:rPr>
              <w:t>твержд</w:t>
            </w:r>
            <w:r w:rsidRPr="00A257E8">
              <w:rPr>
                <w:rFonts w:asciiTheme="majorBidi" w:eastAsia="Times New Roman" w:hAnsiTheme="majorBidi" w:cstheme="majorBidi"/>
                <w:lang w:val="ru-RU"/>
              </w:rPr>
              <w:t>ё</w:t>
            </w:r>
            <w:r w:rsidR="0076034B" w:rsidRPr="00A257E8">
              <w:rPr>
                <w:rFonts w:asciiTheme="majorBidi" w:eastAsia="Times New Roman" w:hAnsiTheme="majorBidi" w:cstheme="majorBidi"/>
                <w:lang w:val="ru-RU"/>
              </w:rPr>
              <w:t>н и примен</w:t>
            </w:r>
            <w:r w:rsidRPr="00A257E8">
              <w:rPr>
                <w:rFonts w:asciiTheme="majorBidi" w:eastAsia="Times New Roman" w:hAnsiTheme="majorBidi" w:cstheme="majorBidi"/>
                <w:lang w:val="ru-RU"/>
              </w:rPr>
              <w:t>яется</w:t>
            </w:r>
            <w:r w:rsidR="0076034B" w:rsidRPr="00A257E8">
              <w:rPr>
                <w:rFonts w:asciiTheme="majorBidi" w:eastAsia="Times New Roman" w:hAnsiTheme="majorBidi" w:cstheme="majorBidi"/>
                <w:lang w:val="ru-RU"/>
              </w:rPr>
              <w:t xml:space="preserve"> ВУЗ</w:t>
            </w:r>
            <w:r w:rsidRPr="00A257E8">
              <w:rPr>
                <w:rFonts w:asciiTheme="majorBidi" w:eastAsia="Times New Roman" w:hAnsiTheme="majorBidi" w:cstheme="majorBidi"/>
                <w:lang w:val="ru-RU"/>
              </w:rPr>
              <w:t>ами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984580" w:rsidRPr="006C660C" w:rsidTr="002D37EB">
        <w:trPr>
          <w:trHeight w:val="476"/>
          <w:jc w:val="center"/>
        </w:trPr>
        <w:tc>
          <w:tcPr>
            <w:tcW w:w="52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580" w:rsidRPr="00A257E8" w:rsidRDefault="00A257E8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70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Доля выпускников высших учебных заведений (ВУЗов), трудоустроенных в течение последних 12 месяцев, в том числе: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Менее 40,0%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45,0%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55,0%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65,0%</w:t>
            </w:r>
          </w:p>
        </w:tc>
        <w:tc>
          <w:tcPr>
            <w:tcW w:w="232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Индикатор ранее не отслеживался</w:t>
            </w:r>
          </w:p>
        </w:tc>
      </w:tr>
      <w:tr w:rsidR="00984580" w:rsidRPr="006C660C" w:rsidTr="002D37EB">
        <w:trPr>
          <w:trHeight w:val="85"/>
          <w:jc w:val="center"/>
        </w:trPr>
        <w:tc>
          <w:tcPr>
            <w:tcW w:w="521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3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984580">
              <w:rPr>
                <w:rFonts w:asciiTheme="majorBidi" w:eastAsia="Times New Roman" w:hAnsiTheme="majorBidi" w:cstheme="majorBidi"/>
              </w:rPr>
              <w:t xml:space="preserve">   - </w:t>
            </w:r>
            <w:r w:rsidR="00A257E8">
              <w:rPr>
                <w:rFonts w:asciiTheme="majorBidi" w:eastAsia="Times New Roman" w:hAnsiTheme="majorBidi" w:cstheme="majorBidi"/>
                <w:lang w:val="ru-RU"/>
              </w:rPr>
              <w:t>обучавшихся на бюджетной основе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45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55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65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984580" w:rsidRPr="006C660C" w:rsidTr="002D37EB">
        <w:trPr>
          <w:trHeight w:val="125"/>
          <w:jc w:val="center"/>
        </w:trPr>
        <w:tc>
          <w:tcPr>
            <w:tcW w:w="5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</w:rPr>
              <w:t xml:space="preserve">   - 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о</w:t>
            </w:r>
            <w:r w:rsidR="00A257E8">
              <w:rPr>
                <w:rFonts w:asciiTheme="majorBidi" w:eastAsia="Times New Roman" w:hAnsiTheme="majorBidi" w:cstheme="majorBidi"/>
                <w:lang w:val="ru-RU"/>
              </w:rPr>
              <w:t>бучавшихся на договорной основе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45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55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65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0%</w:t>
            </w:r>
          </w:p>
        </w:tc>
        <w:tc>
          <w:tcPr>
            <w:tcW w:w="23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76034B" w:rsidRPr="00E70DA2" w:rsidTr="009E1BA2">
        <w:trPr>
          <w:trHeight w:val="503"/>
          <w:jc w:val="center"/>
        </w:trPr>
        <w:tc>
          <w:tcPr>
            <w:tcW w:w="147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5.2.4: Усилена научно-исследовательская работа и разработки, а также платформы для стимулирования инноваций.</w:t>
            </w:r>
          </w:p>
        </w:tc>
      </w:tr>
      <w:tr w:rsidR="00577262" w:rsidRPr="006C660C" w:rsidTr="009E1BA2">
        <w:trPr>
          <w:trHeight w:val="600"/>
          <w:jc w:val="center"/>
        </w:trPr>
        <w:tc>
          <w:tcPr>
            <w:tcW w:w="5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984580" w:rsidRPr="006C660C" w:rsidTr="002D37EB">
        <w:trPr>
          <w:trHeight w:val="300"/>
          <w:jc w:val="center"/>
        </w:trPr>
        <w:tc>
          <w:tcPr>
            <w:tcW w:w="5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84580" w:rsidRPr="00A257E8" w:rsidRDefault="00A257E8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A257E8">
              <w:rPr>
                <w:rFonts w:asciiTheme="majorBidi" w:eastAsia="Times New Roman" w:hAnsiTheme="majorBidi" w:cstheme="majorBidi"/>
              </w:rPr>
              <w:t>71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Доля</w:t>
            </w:r>
            <w:r w:rsidRPr="006C660C">
              <w:rPr>
                <w:rFonts w:asciiTheme="majorBidi" w:eastAsia="Times New Roman" w:hAnsiTheme="majorBidi" w:cstheme="majorBidi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>студентов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-выпускников</w:t>
            </w:r>
            <w:r w:rsidRPr="006C660C">
              <w:rPr>
                <w:rFonts w:asciiTheme="majorBidi" w:eastAsia="Times New Roman" w:hAnsiTheme="majorBidi" w:cstheme="majorBidi"/>
              </w:rPr>
              <w:t xml:space="preserve">, </w:t>
            </w:r>
            <w:r>
              <w:rPr>
                <w:rFonts w:asciiTheme="majorBidi" w:eastAsia="Times New Roman" w:hAnsiTheme="majorBidi" w:cstheme="majorBidi"/>
                <w:lang w:val="ru-RU"/>
              </w:rPr>
              <w:t>перешедших</w:t>
            </w:r>
            <w:r w:rsidRPr="006C660C">
              <w:rPr>
                <w:rFonts w:asciiTheme="majorBidi" w:eastAsia="Times New Roman" w:hAnsiTheme="majorBidi" w:cstheme="majorBidi"/>
              </w:rPr>
              <w:t>: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3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ED3B83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ED3B83">
              <w:rPr>
                <w:rFonts w:asciiTheme="majorBidi" w:eastAsia="Times New Roman" w:hAnsiTheme="majorBidi" w:cstheme="majorBidi"/>
                <w:lang w:val="ru-RU"/>
              </w:rPr>
              <w:t>Индикатор ранее не отслеживался</w:t>
            </w:r>
          </w:p>
        </w:tc>
      </w:tr>
      <w:tr w:rsidR="00984580" w:rsidRPr="006C660C" w:rsidTr="002D37EB">
        <w:trPr>
          <w:trHeight w:val="300"/>
          <w:jc w:val="center"/>
        </w:trPr>
        <w:tc>
          <w:tcPr>
            <w:tcW w:w="5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30608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</w:rPr>
              <w:t xml:space="preserve">   - </w:t>
            </w:r>
            <w:r>
              <w:rPr>
                <w:rFonts w:asciiTheme="majorBidi" w:eastAsia="Times New Roman" w:hAnsiTheme="majorBidi" w:cstheme="majorBidi"/>
                <w:lang w:val="ru-RU"/>
              </w:rPr>
              <w:t>из бакалавриата</w:t>
            </w:r>
            <w:r w:rsidRPr="006C660C">
              <w:rPr>
                <w:rFonts w:asciiTheme="majorBidi" w:eastAsia="Times New Roman" w:hAnsiTheme="majorBidi" w:cstheme="majorBidi"/>
              </w:rPr>
              <w:t xml:space="preserve"> в </w:t>
            </w:r>
            <w:r>
              <w:rPr>
                <w:rFonts w:asciiTheme="majorBidi" w:eastAsia="Times New Roman" w:hAnsiTheme="majorBidi" w:cstheme="majorBidi"/>
                <w:lang w:val="ru-RU"/>
              </w:rPr>
              <w:t>магистратуру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3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984580" w:rsidRPr="006C660C" w:rsidTr="002D37EB">
        <w:trPr>
          <w:trHeight w:val="300"/>
          <w:jc w:val="center"/>
        </w:trPr>
        <w:tc>
          <w:tcPr>
            <w:tcW w:w="5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84580" w:rsidRPr="00A257E8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30608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</w:rPr>
              <w:t xml:space="preserve">   - </w:t>
            </w:r>
            <w:r>
              <w:rPr>
                <w:rFonts w:asciiTheme="majorBidi" w:eastAsia="Times New Roman" w:hAnsiTheme="majorBidi" w:cstheme="majorBidi"/>
                <w:lang w:val="ru-RU"/>
              </w:rPr>
              <w:t>из магистратуры</w:t>
            </w:r>
            <w:r w:rsidRPr="006C660C">
              <w:rPr>
                <w:rFonts w:asciiTheme="majorBidi" w:eastAsia="Times New Roman" w:hAnsiTheme="majorBidi" w:cstheme="majorBidi"/>
              </w:rPr>
              <w:t xml:space="preserve"> в </w:t>
            </w:r>
            <w:r>
              <w:rPr>
                <w:rFonts w:asciiTheme="majorBidi" w:eastAsia="Times New Roman" w:hAnsiTheme="majorBidi" w:cstheme="majorBidi"/>
                <w:lang w:val="ru-RU"/>
              </w:rPr>
              <w:t>докторантуру (</w:t>
            </w:r>
            <w:r>
              <w:rPr>
                <w:rFonts w:asciiTheme="majorBidi" w:eastAsia="Times New Roman" w:hAnsiTheme="majorBidi" w:cstheme="majorBidi"/>
              </w:rPr>
              <w:t>PhD)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3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80" w:rsidRPr="006C660C" w:rsidRDefault="00984580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577262" w:rsidRPr="006C660C" w:rsidTr="009E1BA2">
        <w:trPr>
          <w:trHeight w:val="332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A257E8" w:rsidRDefault="00A257E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A257E8">
              <w:rPr>
                <w:rFonts w:asciiTheme="majorBidi" w:eastAsia="Times New Roman" w:hAnsiTheme="majorBidi" w:cstheme="majorBidi"/>
              </w:rPr>
              <w:t>72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Количество учебных и научных лабораторий, оснащённых современным оборудованием для проведения научных исследований и разработок.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</w:rPr>
              <w:t>--</w:t>
            </w:r>
          </w:p>
        </w:tc>
      </w:tr>
      <w:tr w:rsidR="00577262" w:rsidRPr="006C660C" w:rsidTr="009E1BA2">
        <w:trPr>
          <w:trHeight w:val="332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A257E8" w:rsidRDefault="00A257E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A257E8">
              <w:rPr>
                <w:rFonts w:asciiTheme="majorBidi" w:eastAsia="Times New Roman" w:hAnsiTheme="majorBidi" w:cstheme="majorBidi"/>
              </w:rPr>
              <w:t>73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Доля сотрудников лабораторий, обученных работе на современном научном оборудовании (в %).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6C660C">
              <w:rPr>
                <w:rFonts w:asciiTheme="majorBidi" w:eastAsia="Times New Roman" w:hAnsiTheme="majorBidi" w:cstheme="majorBidi"/>
              </w:rPr>
              <w:t>--</w:t>
            </w:r>
          </w:p>
        </w:tc>
      </w:tr>
      <w:tr w:rsidR="00577262" w:rsidRPr="006C660C" w:rsidTr="009E1BA2">
        <w:trPr>
          <w:trHeight w:val="332"/>
          <w:jc w:val="center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A257E8" w:rsidRDefault="00A257E8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74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Количество новых диссертационных советов при ВАК Республики Таджикистан и ВАК Российской Федерации.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Данных нет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A257E8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A257E8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A257E8">
              <w:rPr>
                <w:rFonts w:asciiTheme="majorBidi" w:eastAsia="Times New Roman" w:hAnsiTheme="majorBidi" w:cstheme="majorBidi"/>
              </w:rPr>
              <w:t>--</w:t>
            </w:r>
          </w:p>
        </w:tc>
      </w:tr>
    </w:tbl>
    <w:p w:rsidR="0076034B" w:rsidRPr="00EA61AC" w:rsidRDefault="0076034B" w:rsidP="0076034B">
      <w:pPr>
        <w:spacing w:after="0" w:line="240" w:lineRule="auto"/>
        <w:rPr>
          <w:lang w:val="ru-RU"/>
        </w:rPr>
      </w:pPr>
    </w:p>
    <w:p w:rsidR="0076034B" w:rsidRPr="00EA61AC" w:rsidRDefault="0076034B" w:rsidP="0076034B">
      <w:pPr>
        <w:spacing w:after="0" w:line="240" w:lineRule="auto"/>
        <w:rPr>
          <w:lang w:val="ru-RU"/>
        </w:rPr>
      </w:pPr>
    </w:p>
    <w:tbl>
      <w:tblPr>
        <w:tblW w:w="14850" w:type="dxa"/>
        <w:jc w:val="center"/>
        <w:tblLook w:val="04A0"/>
      </w:tblPr>
      <w:tblGrid>
        <w:gridCol w:w="541"/>
        <w:gridCol w:w="4677"/>
        <w:gridCol w:w="1877"/>
        <w:gridCol w:w="1832"/>
        <w:gridCol w:w="1976"/>
        <w:gridCol w:w="2105"/>
        <w:gridCol w:w="1842"/>
      </w:tblGrid>
      <w:tr w:rsidR="0076034B" w:rsidRPr="00E70DA2" w:rsidTr="000B793D">
        <w:trPr>
          <w:trHeight w:val="435"/>
          <w:jc w:val="center"/>
        </w:trPr>
        <w:tc>
          <w:tcPr>
            <w:tcW w:w="14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bookmarkStart w:id="4" w:name="RANGE!A1:G42"/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6. УПРАВЛЕНИЕ И ФИНАНСИРОВАНИЕ СФЕРЫ ОБРАЗОВАНИЯ И НАУКИ</w:t>
            </w:r>
            <w:bookmarkEnd w:id="4"/>
          </w:p>
        </w:tc>
      </w:tr>
      <w:tr w:rsidR="0076034B" w:rsidRPr="00E70DA2" w:rsidTr="000B793D">
        <w:trPr>
          <w:trHeight w:val="510"/>
          <w:jc w:val="center"/>
        </w:trPr>
        <w:tc>
          <w:tcPr>
            <w:tcW w:w="14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Общая цель: К 2030 г. управление и финансирование системы образования будет устойчивым, эффективным и прозрачным.</w:t>
            </w:r>
          </w:p>
        </w:tc>
      </w:tr>
      <w:tr w:rsidR="0076034B" w:rsidRPr="00E70DA2" w:rsidTr="000B793D">
        <w:trPr>
          <w:trHeight w:val="450"/>
          <w:jc w:val="center"/>
        </w:trPr>
        <w:tc>
          <w:tcPr>
            <w:tcW w:w="14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lang w:val="ru-RU"/>
              </w:rPr>
              <w:t>Долгосрочный результат 6.1 (Приоритет политики 1): Усилена эффективность системы управления сектором образования.</w:t>
            </w:r>
          </w:p>
        </w:tc>
      </w:tr>
      <w:tr w:rsidR="0076034B" w:rsidRPr="00E70DA2" w:rsidTr="000B793D">
        <w:trPr>
          <w:trHeight w:val="690"/>
          <w:jc w:val="center"/>
        </w:trPr>
        <w:tc>
          <w:tcPr>
            <w:tcW w:w="14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6.1.1: Подушевое (нормативное) финансирование является основным механизмом распределения бюджетных средств, выделяемых для сектора образования.</w:t>
            </w:r>
          </w:p>
        </w:tc>
      </w:tr>
      <w:tr w:rsidR="002B5F92" w:rsidRPr="00EA61AC" w:rsidTr="000B793D">
        <w:trPr>
          <w:trHeight w:val="600"/>
          <w:jc w:val="center"/>
        </w:trPr>
        <w:tc>
          <w:tcPr>
            <w:tcW w:w="5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2B5F92" w:rsidRPr="00E70DA2" w:rsidTr="000B793D">
        <w:trPr>
          <w:trHeight w:val="467"/>
          <w:jc w:val="center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F800B4" w:rsidRDefault="00F800B4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75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34B" w:rsidRPr="00F800B4" w:rsidRDefault="00F471FC" w:rsidP="00F471FC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Средний норматив финансирования </w:t>
            </w:r>
            <w:r w:rsidR="0076034B" w:rsidRPr="00F800B4">
              <w:rPr>
                <w:rFonts w:asciiTheme="majorBidi" w:eastAsia="Times New Roman" w:hAnsiTheme="majorBidi" w:cstheme="majorBidi"/>
                <w:lang w:val="ru-RU"/>
              </w:rPr>
              <w:t>на одного воспитанника, ученика или студента (в сомони), в том числе: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Соответствует темпам роста 6% в 2021-2023 гг., 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6% в 2024-2026 гг. и 5</w:t>
            </w:r>
            <w:r>
              <w:rPr>
                <w:rFonts w:asciiTheme="majorBidi" w:eastAsia="Times New Roman" w:hAnsiTheme="majorBidi" w:cstheme="majorBidi"/>
                <w:lang w:val="ru-RU"/>
              </w:rPr>
              <w:t>,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4% в 2027-2030 гг.</w:t>
            </w:r>
          </w:p>
        </w:tc>
      </w:tr>
      <w:tr w:rsidR="002B5F92" w:rsidRPr="00EA61AC" w:rsidTr="000B793D">
        <w:trPr>
          <w:trHeight w:val="89"/>
          <w:jc w:val="center"/>
        </w:trPr>
        <w:tc>
          <w:tcPr>
            <w:tcW w:w="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34B" w:rsidRPr="00F800B4" w:rsidRDefault="0076034B" w:rsidP="00F471F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  </w:t>
            </w:r>
            <w:r w:rsidRPr="00F800B4">
              <w:rPr>
                <w:rFonts w:asciiTheme="majorBidi" w:eastAsia="Times New Roman" w:hAnsiTheme="majorBidi" w:cstheme="majorBidi"/>
              </w:rPr>
              <w:t xml:space="preserve">- в </w:t>
            </w:r>
            <w:r w:rsidR="00F471FC" w:rsidRPr="00F800B4">
              <w:rPr>
                <w:rFonts w:asciiTheme="majorBidi" w:eastAsia="Times New Roman" w:hAnsiTheme="majorBidi" w:cstheme="majorBidi"/>
                <w:lang w:val="ru-RU"/>
              </w:rPr>
              <w:t>дошкольном образовании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2541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2694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2846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2998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2B5F92" w:rsidRPr="00EA61AC" w:rsidTr="000B793D">
        <w:trPr>
          <w:trHeight w:val="85"/>
          <w:jc w:val="center"/>
        </w:trPr>
        <w:tc>
          <w:tcPr>
            <w:tcW w:w="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34B" w:rsidRPr="00F800B4" w:rsidRDefault="0076034B" w:rsidP="00F471F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 xml:space="preserve">   - в </w:t>
            </w:r>
            <w:r w:rsidR="00F471FC" w:rsidRPr="00F800B4">
              <w:rPr>
                <w:rFonts w:asciiTheme="majorBidi" w:eastAsia="Times New Roman" w:hAnsiTheme="majorBidi" w:cstheme="majorBidi"/>
                <w:lang w:val="ru-RU"/>
              </w:rPr>
              <w:t>общем среднем образовании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1206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1279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1351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1423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2B5F92" w:rsidRPr="00EA61AC" w:rsidTr="000B793D">
        <w:trPr>
          <w:trHeight w:val="251"/>
          <w:jc w:val="center"/>
        </w:trPr>
        <w:tc>
          <w:tcPr>
            <w:tcW w:w="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F471F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 xml:space="preserve">   - 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в начальном профессиональном образовании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2978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3157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3335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3514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2B5F92" w:rsidRPr="00EA61AC" w:rsidTr="000B793D">
        <w:trPr>
          <w:trHeight w:val="251"/>
          <w:jc w:val="center"/>
        </w:trPr>
        <w:tc>
          <w:tcPr>
            <w:tcW w:w="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F471FC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  - в среднем профессиональном образовании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2057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2180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2303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2427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2B5F92" w:rsidRPr="00EA61AC" w:rsidTr="000B793D">
        <w:trPr>
          <w:trHeight w:val="197"/>
          <w:jc w:val="center"/>
        </w:trPr>
        <w:tc>
          <w:tcPr>
            <w:tcW w:w="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034B" w:rsidRPr="00F800B4" w:rsidRDefault="0076034B" w:rsidP="00F471F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 xml:space="preserve">   - в </w:t>
            </w:r>
            <w:r w:rsidR="00F471FC" w:rsidRPr="00F800B4">
              <w:rPr>
                <w:rFonts w:asciiTheme="majorBidi" w:eastAsia="Times New Roman" w:hAnsiTheme="majorBidi" w:cstheme="majorBidi"/>
                <w:lang w:val="ru-RU"/>
              </w:rPr>
              <w:t>высшем профессиональном образовании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3478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3687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3895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4104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F471FC" w:rsidRPr="00EA61AC" w:rsidTr="000B793D">
        <w:trPr>
          <w:trHeight w:val="116"/>
          <w:jc w:val="center"/>
        </w:trPr>
        <w:tc>
          <w:tcPr>
            <w:tcW w:w="5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800B4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76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1FC" w:rsidRPr="00F800B4" w:rsidRDefault="00F471FC" w:rsidP="00F471FC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Средний норматив на типы общеобразовательных учреждений (в сомони), в том числе: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6C660C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F471FC" w:rsidRPr="00EA61AC" w:rsidTr="000B793D">
        <w:trPr>
          <w:trHeight w:val="116"/>
          <w:jc w:val="center"/>
        </w:trPr>
        <w:tc>
          <w:tcPr>
            <w:tcW w:w="5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6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1FC" w:rsidRPr="00F800B4" w:rsidRDefault="00F471FC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  - в дошкольном образовании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153606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162822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172038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181255</w:t>
            </w:r>
          </w:p>
        </w:tc>
        <w:tc>
          <w:tcPr>
            <w:tcW w:w="18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6C660C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</w:tr>
      <w:tr w:rsidR="00F471FC" w:rsidRPr="00EA61AC" w:rsidTr="00543931">
        <w:trPr>
          <w:trHeight w:val="116"/>
          <w:jc w:val="center"/>
        </w:trPr>
        <w:tc>
          <w:tcPr>
            <w:tcW w:w="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71FC" w:rsidRPr="00F800B4" w:rsidRDefault="00F471FC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  - в общем среднем образовании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91025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96486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101948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107409</w:t>
            </w:r>
          </w:p>
        </w:tc>
        <w:tc>
          <w:tcPr>
            <w:tcW w:w="18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6C660C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</w:tr>
      <w:tr w:rsidR="00F471FC" w:rsidRPr="00EA61AC" w:rsidTr="00543931">
        <w:trPr>
          <w:trHeight w:val="692"/>
          <w:jc w:val="center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800B4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77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F471FC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Внедрение нормативно-подушевого финансирования в других уровнях образования, в том числе: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6C660C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  <w:p w:rsidR="00F471FC" w:rsidRPr="006C660C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</w:tr>
      <w:tr w:rsidR="00F471FC" w:rsidRPr="00EA61AC" w:rsidTr="00543931">
        <w:trPr>
          <w:trHeight w:val="692"/>
          <w:jc w:val="center"/>
        </w:trPr>
        <w:tc>
          <w:tcPr>
            <w:tcW w:w="5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67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F471FC">
            <w:pPr>
              <w:spacing w:after="0" w:line="240" w:lineRule="auto"/>
              <w:ind w:left="296" w:hanging="296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  - в начальном и среднем профессиональном образовании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471FC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Отсутствует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471FC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Проведён анализ ситуации и возможности внедрения НПФ в НПО и СПО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471FC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Разработаны нормативно-правовые документы и начато пилотирование формулы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471FC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НПФ полноценно внедрено во всех НПО и СПО</w:t>
            </w:r>
          </w:p>
        </w:tc>
        <w:tc>
          <w:tcPr>
            <w:tcW w:w="18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6C660C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</w:tr>
      <w:tr w:rsidR="00F471FC" w:rsidRPr="00EA61AC" w:rsidTr="00543931">
        <w:trPr>
          <w:trHeight w:val="386"/>
          <w:jc w:val="center"/>
        </w:trPr>
        <w:tc>
          <w:tcPr>
            <w:tcW w:w="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6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F471FC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  - в высшем профессиональном образовании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Отсутствует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Проведён анализ ситуации и возможности внедрения НПФ в ВПО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Разработаны нормативно-правовые документы и начато пилотирование формулы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НПФ полноценно внедрено во всех ВПО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6C660C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</w:tr>
      <w:tr w:rsidR="0076034B" w:rsidRPr="00E70DA2" w:rsidTr="000B793D">
        <w:trPr>
          <w:trHeight w:val="449"/>
          <w:jc w:val="center"/>
        </w:trPr>
        <w:tc>
          <w:tcPr>
            <w:tcW w:w="14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6.1.2: На всех уровнях сектора образования широко используется система многоканального финансирования.</w:t>
            </w:r>
          </w:p>
        </w:tc>
      </w:tr>
      <w:tr w:rsidR="002B5F92" w:rsidRPr="00EA61AC" w:rsidTr="000B793D">
        <w:trPr>
          <w:trHeight w:val="600"/>
          <w:jc w:val="center"/>
        </w:trPr>
        <w:tc>
          <w:tcPr>
            <w:tcW w:w="5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F800B4" w:rsidRPr="00EA61AC" w:rsidTr="002D37EB">
        <w:trPr>
          <w:trHeight w:val="926"/>
          <w:jc w:val="center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78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Расходы государственного бюджета на сектор образования, включая Программу государственных инвестиций и специальные средства, в том числе: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Воздействует на Индикатор ЦУР 9.5.1</w:t>
            </w:r>
          </w:p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Указаны среднегодовые показатели (или усреднённые значения за 3 года)</w:t>
            </w:r>
          </w:p>
        </w:tc>
      </w:tr>
      <w:tr w:rsidR="00F800B4" w:rsidRPr="00EA61AC" w:rsidTr="002D37EB">
        <w:trPr>
          <w:trHeight w:val="95"/>
          <w:jc w:val="center"/>
        </w:trPr>
        <w:tc>
          <w:tcPr>
            <w:tcW w:w="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6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  - в % от ВВП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5.4%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6.0% </w:t>
            </w:r>
            <w:r w:rsidRPr="00F800B4">
              <w:rPr>
                <w:rFonts w:asciiTheme="majorBidi" w:eastAsia="Times New Roman" w:hAnsiTheme="majorBidi" w:cstheme="majorBidi"/>
              </w:rPr>
              <w:t>per year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6.5% </w:t>
            </w:r>
            <w:r w:rsidRPr="00F800B4">
              <w:rPr>
                <w:rFonts w:asciiTheme="majorBidi" w:eastAsia="Times New Roman" w:hAnsiTheme="majorBidi" w:cstheme="majorBidi"/>
              </w:rPr>
              <w:t>per year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7.0% </w:t>
            </w:r>
            <w:r w:rsidRPr="00F800B4">
              <w:rPr>
                <w:rFonts w:asciiTheme="majorBidi" w:eastAsia="Times New Roman" w:hAnsiTheme="majorBidi" w:cstheme="majorBidi"/>
              </w:rPr>
              <w:t>per year</w:t>
            </w:r>
          </w:p>
        </w:tc>
        <w:tc>
          <w:tcPr>
            <w:tcW w:w="18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</w:tr>
      <w:tr w:rsidR="00F800B4" w:rsidRPr="00EA61AC" w:rsidTr="002D37EB">
        <w:trPr>
          <w:trHeight w:val="95"/>
          <w:jc w:val="center"/>
        </w:trPr>
        <w:tc>
          <w:tcPr>
            <w:tcW w:w="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6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  - в % от расходов государственного бюджета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1</w:t>
            </w:r>
            <w:r w:rsidRPr="00F800B4">
              <w:rPr>
                <w:rFonts w:asciiTheme="majorBidi" w:eastAsia="Times New Roman" w:hAnsiTheme="majorBidi" w:cstheme="majorBidi"/>
              </w:rPr>
              <w:t>5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.</w:t>
            </w:r>
            <w:r w:rsidRPr="00F800B4">
              <w:rPr>
                <w:rFonts w:asciiTheme="majorBidi" w:eastAsia="Times New Roman" w:hAnsiTheme="majorBidi" w:cstheme="majorBidi"/>
              </w:rPr>
              <w:t>3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%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18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.0%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21.0%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</w:t>
            </w:r>
            <w:r w:rsidRPr="00F800B4">
              <w:rPr>
                <w:rFonts w:asciiTheme="majorBidi" w:eastAsia="Times New Roman" w:hAnsiTheme="majorBidi" w:cstheme="majorBidi"/>
              </w:rPr>
              <w:t>4.0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%</w:t>
            </w:r>
          </w:p>
        </w:tc>
        <w:tc>
          <w:tcPr>
            <w:tcW w:w="18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</w:tr>
      <w:tr w:rsidR="00F800B4" w:rsidRPr="00EA61AC" w:rsidTr="002D37EB">
        <w:trPr>
          <w:trHeight w:val="95"/>
          <w:jc w:val="center"/>
        </w:trPr>
        <w:tc>
          <w:tcPr>
            <w:tcW w:w="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6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ind w:left="249" w:hanging="249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  - расходы на науку</w:t>
            </w:r>
            <w:r w:rsidRPr="00F800B4">
              <w:rPr>
                <w:rFonts w:asciiTheme="majorBidi" w:eastAsia="Times New Roman" w:hAnsiTheme="majorBidi" w:cstheme="majorBidi"/>
              </w:rPr>
              <w:t>/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НИОКР</w:t>
            </w:r>
            <w:r w:rsidRPr="00F800B4">
              <w:rPr>
                <w:rFonts w:asciiTheme="majorBidi" w:eastAsia="Times New Roman" w:hAnsiTheme="majorBidi" w:cstheme="majorBidi"/>
              </w:rPr>
              <w:t xml:space="preserve"> 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в % от общих расходов госбюджета на сектор образования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 w:rsidRPr="00F800B4">
              <w:rPr>
                <w:rFonts w:asciiTheme="majorBidi" w:eastAsia="Times New Roman" w:hAnsiTheme="majorBidi" w:cstheme="majorBidi"/>
              </w:rPr>
              <w:t>.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2</w:t>
            </w:r>
            <w:r w:rsidRPr="00F800B4">
              <w:rPr>
                <w:rFonts w:asciiTheme="majorBidi" w:eastAsia="Times New Roman" w:hAnsiTheme="majorBidi" w:cstheme="majorBidi"/>
              </w:rPr>
              <w:t>3%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At least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1.0%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At least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1.2%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At least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1.5%</w:t>
            </w:r>
          </w:p>
        </w:tc>
        <w:tc>
          <w:tcPr>
            <w:tcW w:w="18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</w:tr>
      <w:tr w:rsidR="00F800B4" w:rsidRPr="00EA61AC" w:rsidTr="002D37EB">
        <w:trPr>
          <w:trHeight w:val="95"/>
          <w:jc w:val="center"/>
        </w:trPr>
        <w:tc>
          <w:tcPr>
            <w:tcW w:w="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6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ind w:left="296" w:hanging="296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  - исполнение бюджета по сравнению с планом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97.0%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98.0%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99.0%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100.0%</w:t>
            </w:r>
          </w:p>
        </w:tc>
        <w:tc>
          <w:tcPr>
            <w:tcW w:w="18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</w:tr>
      <w:tr w:rsidR="00F800B4" w:rsidRPr="00E70DA2" w:rsidTr="002D37EB">
        <w:trPr>
          <w:trHeight w:val="233"/>
          <w:jc w:val="center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79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Расходы на одного воспитанника, учащегося, студента по отношению к ВВП на душу населения (в %), в том числе: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33,9%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36,0%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38,0%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40,0%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Расчёты произведены с учётом ожидаемого роста ВВП на душу населения</w:t>
            </w:r>
          </w:p>
        </w:tc>
      </w:tr>
      <w:tr w:rsidR="00F800B4" w:rsidRPr="00EA61AC" w:rsidTr="002D37EB">
        <w:trPr>
          <w:trHeight w:val="260"/>
          <w:jc w:val="center"/>
        </w:trPr>
        <w:tc>
          <w:tcPr>
            <w:tcW w:w="5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  </w:t>
            </w:r>
            <w:r w:rsidRPr="00F800B4">
              <w:rPr>
                <w:rFonts w:asciiTheme="majorBidi" w:eastAsia="Times New Roman" w:hAnsiTheme="majorBidi" w:cstheme="majorBidi"/>
              </w:rPr>
              <w:t xml:space="preserve">- 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дошкольное образование</w:t>
            </w:r>
            <w:r w:rsidRPr="00F800B4">
              <w:rPr>
                <w:rFonts w:asciiTheme="majorBidi" w:eastAsia="Times New Roman" w:hAnsiTheme="majorBidi" w:cstheme="majorBidi"/>
              </w:rPr>
              <w:t xml:space="preserve"> (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включая ЦРР)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20,5%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22,0%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24,0%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26,0%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F800B4" w:rsidRPr="00EA61AC" w:rsidTr="002D37EB">
        <w:trPr>
          <w:trHeight w:val="260"/>
          <w:jc w:val="center"/>
        </w:trPr>
        <w:tc>
          <w:tcPr>
            <w:tcW w:w="5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 xml:space="preserve">   - 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общее среднее образование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16,2%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18,0%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20,0%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22,0%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F800B4" w:rsidRPr="00EA61AC" w:rsidTr="002D37EB">
        <w:trPr>
          <w:trHeight w:val="260"/>
          <w:jc w:val="center"/>
        </w:trPr>
        <w:tc>
          <w:tcPr>
            <w:tcW w:w="5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 xml:space="preserve">   - 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начальное профессиональное образование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36,6%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38,0%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40,0%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42,0%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F800B4" w:rsidRPr="00EA61AC" w:rsidTr="002D37EB">
        <w:trPr>
          <w:trHeight w:val="260"/>
          <w:jc w:val="center"/>
        </w:trPr>
        <w:tc>
          <w:tcPr>
            <w:tcW w:w="5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  - среднее профессиональное образование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25,3%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27,0%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29,0%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31,0%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F800B4" w:rsidRPr="00EA61AC" w:rsidTr="002D37EB">
        <w:trPr>
          <w:trHeight w:val="260"/>
          <w:jc w:val="center"/>
        </w:trPr>
        <w:tc>
          <w:tcPr>
            <w:tcW w:w="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</w:rPr>
              <w:t xml:space="preserve">   -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высшее профессиональное образование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42,8%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44,0%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46,0%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48,0%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F800B4" w:rsidRPr="00EA61AC" w:rsidTr="002D37EB">
        <w:trPr>
          <w:trHeight w:val="800"/>
          <w:jc w:val="center"/>
        </w:trPr>
        <w:tc>
          <w:tcPr>
            <w:tcW w:w="5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80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Темп роста расходов государственных расходов на сектор образования (в % по отношению к базовому 2020 году), в том числе: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Совокупные значения на период 2021-2030 гг.</w:t>
            </w:r>
          </w:p>
        </w:tc>
      </w:tr>
      <w:tr w:rsidR="00F800B4" w:rsidRPr="00EA61AC" w:rsidTr="002D37EB">
        <w:trPr>
          <w:trHeight w:val="85"/>
          <w:jc w:val="center"/>
        </w:trPr>
        <w:tc>
          <w:tcPr>
            <w:tcW w:w="5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 xml:space="preserve">   - 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номинальные темпы роста</w:t>
            </w:r>
            <w:r w:rsidRPr="00F800B4">
              <w:rPr>
                <w:rFonts w:asciiTheme="majorBidi" w:eastAsia="Times New Roman" w:hAnsiTheme="majorBidi" w:cstheme="majorBidi"/>
              </w:rPr>
              <w:t>;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37,0%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90,0%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150,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 w:rsidRPr="00F800B4">
              <w:rPr>
                <w:rFonts w:asciiTheme="majorBidi" w:eastAsia="Times New Roman" w:hAnsiTheme="majorBidi" w:cstheme="majorBidi"/>
              </w:rPr>
              <w:t>%</w:t>
            </w:r>
          </w:p>
        </w:tc>
        <w:tc>
          <w:tcPr>
            <w:tcW w:w="18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F800B4" w:rsidRPr="00EA61AC" w:rsidTr="002D37EB">
        <w:trPr>
          <w:trHeight w:val="85"/>
          <w:jc w:val="center"/>
        </w:trPr>
        <w:tc>
          <w:tcPr>
            <w:tcW w:w="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  - реальные темпы роста (с учётом инфляции).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--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10,0%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24,0%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45,0%</w:t>
            </w:r>
          </w:p>
        </w:tc>
        <w:tc>
          <w:tcPr>
            <w:tcW w:w="18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B4" w:rsidRPr="00F800B4" w:rsidRDefault="00F800B4" w:rsidP="002D37E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2B5F92" w:rsidRPr="00EA61AC" w:rsidTr="000B793D">
        <w:trPr>
          <w:trHeight w:val="323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81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F471FC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Внебюджетн</w:t>
            </w:r>
            <w:r w:rsidR="00F471FC" w:rsidRPr="00F800B4">
              <w:rPr>
                <w:rFonts w:asciiTheme="majorBidi" w:eastAsia="Times New Roman" w:hAnsiTheme="majorBidi" w:cstheme="majorBidi"/>
                <w:lang w:val="ru-RU"/>
              </w:rPr>
              <w:t>ое финансирование</w:t>
            </w:r>
            <w:r w:rsidR="00F471FC" w:rsidRPr="00F800B4">
              <w:rPr>
                <w:rFonts w:asciiTheme="majorBidi" w:eastAsia="Times New Roman" w:hAnsiTheme="majorBidi" w:cstheme="majorBidi"/>
              </w:rPr>
              <w:t>/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средства сектора образования (в % от совокупных расходов </w:t>
            </w:r>
            <w:r w:rsidR="00F471FC" w:rsidRPr="00F800B4">
              <w:rPr>
                <w:rFonts w:asciiTheme="majorBidi" w:eastAsia="Times New Roman" w:hAnsiTheme="majorBidi" w:cstheme="majorBidi"/>
                <w:lang w:val="ru-RU"/>
              </w:rPr>
              <w:t xml:space="preserve">государственного бюджета на 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сектор образования).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17</w:t>
            </w:r>
            <w:r w:rsidRPr="00F800B4">
              <w:rPr>
                <w:rFonts w:asciiTheme="majorBidi" w:eastAsia="Times New Roman" w:hAnsiTheme="majorBidi" w:cstheme="majorBidi"/>
              </w:rPr>
              <w:t>,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9</w:t>
            </w:r>
            <w:r w:rsidRPr="00F800B4">
              <w:rPr>
                <w:rFonts w:asciiTheme="majorBidi" w:eastAsia="Times New Roman" w:hAnsiTheme="majorBidi" w:cstheme="majorBidi"/>
              </w:rPr>
              <w:t>%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21</w:t>
            </w:r>
            <w:r w:rsidRPr="00F800B4">
              <w:rPr>
                <w:rFonts w:asciiTheme="majorBidi" w:eastAsia="Times New Roman" w:hAnsiTheme="majorBidi" w:cstheme="majorBidi"/>
              </w:rPr>
              <w:t>,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 w:rsidRPr="00F800B4">
              <w:rPr>
                <w:rFonts w:asciiTheme="majorBidi" w:eastAsia="Times New Roman" w:hAnsiTheme="majorBidi" w:cstheme="majorBidi"/>
              </w:rPr>
              <w:t>%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24</w:t>
            </w:r>
            <w:r w:rsidRPr="00F800B4">
              <w:rPr>
                <w:rFonts w:asciiTheme="majorBidi" w:eastAsia="Times New Roman" w:hAnsiTheme="majorBidi" w:cstheme="majorBidi"/>
              </w:rPr>
              <w:t>,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 w:rsidRPr="00F800B4">
              <w:rPr>
                <w:rFonts w:asciiTheme="majorBidi" w:eastAsia="Times New Roman" w:hAnsiTheme="majorBidi" w:cstheme="majorBidi"/>
              </w:rPr>
              <w:t>%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27</w:t>
            </w:r>
            <w:r w:rsidRPr="00F800B4">
              <w:rPr>
                <w:rFonts w:asciiTheme="majorBidi" w:eastAsia="Times New Roman" w:hAnsiTheme="majorBidi" w:cstheme="majorBidi"/>
              </w:rPr>
              <w:t>,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0</w:t>
            </w:r>
            <w:r w:rsidRPr="00F800B4">
              <w:rPr>
                <w:rFonts w:asciiTheme="majorBidi" w:eastAsia="Times New Roman" w:hAnsiTheme="majorBidi" w:cstheme="majorBidi"/>
              </w:rPr>
              <w:t>%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Индикатор ранее не отслеживался</w:t>
            </w:r>
          </w:p>
        </w:tc>
      </w:tr>
      <w:tr w:rsidR="002B5F92" w:rsidRPr="00EA61AC" w:rsidTr="000B793D">
        <w:trPr>
          <w:trHeight w:val="656"/>
          <w:jc w:val="center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F800B4" w:rsidRDefault="00F800B4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82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Наличие механизма финансирования альтернативных форм дошкольного образования.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Механизм отсутствует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Разработаны новые механизмы финансирования альтернативных форм дошкольного образования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Завершено пилотирование новых механизмов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Полноценно внедрены альтернативные формы финансирования дошкольного образования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2B5F92" w:rsidRPr="00EA61AC" w:rsidTr="000B793D">
        <w:trPr>
          <w:trHeight w:val="647"/>
          <w:jc w:val="center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034B" w:rsidRPr="00F800B4" w:rsidRDefault="00F800B4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83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Внедрение новых фискальных механизмов стимулирования инвестиций в сектор образования.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Новые фискальные механизмы не внедрены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Изучен мировой опыт и возможности внедрения новых фискальных механизмов стимулирования инвестиций в образование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Завершено пилотирование новых фискальных механизмов (налоговых льгот, студенческих кредитов, ваучеров и т.п.)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Внедрены новые фискальные механизмы и усовершенствованы нормативно-правовые акты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76034B" w:rsidRPr="00E70DA2" w:rsidTr="000B793D">
        <w:trPr>
          <w:trHeight w:val="431"/>
          <w:jc w:val="center"/>
        </w:trPr>
        <w:tc>
          <w:tcPr>
            <w:tcW w:w="14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6.1.3: Разработаны и внедрены новые формы партнёрства государственного и частного секторов в секторе образования.</w:t>
            </w:r>
          </w:p>
        </w:tc>
      </w:tr>
      <w:tr w:rsidR="002B5F92" w:rsidRPr="00EA61AC" w:rsidTr="000B793D">
        <w:trPr>
          <w:trHeight w:val="672"/>
          <w:jc w:val="center"/>
        </w:trPr>
        <w:tc>
          <w:tcPr>
            <w:tcW w:w="5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2B5F92" w:rsidRPr="00EA61AC" w:rsidTr="000B793D">
        <w:trPr>
          <w:trHeight w:val="800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F800B4" w:rsidRDefault="00F800B4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84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Количество инвестиционных проектов, заключённых на принципах государственного и частного партнёрства (ГЧП) в секторе образования.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Проекты на принципах ГЧП</w:t>
            </w:r>
            <w:r w:rsidRPr="006C660C">
              <w:rPr>
                <w:rFonts w:asciiTheme="majorBidi" w:eastAsia="Times New Roman" w:hAnsiTheme="majorBidi" w:cstheme="majorBidi"/>
              </w:rPr>
              <w:t> </w:t>
            </w:r>
            <w:r w:rsidRPr="006C660C">
              <w:rPr>
                <w:rFonts w:asciiTheme="majorBidi" w:eastAsia="Times New Roman" w:hAnsiTheme="majorBidi" w:cstheme="majorBidi"/>
                <w:lang w:val="ru-RU"/>
              </w:rPr>
              <w:t>практически отсутствуют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Проведён ситуационный анализ и разработаны новые формы финансирования (в том числе, на принципах ГЧП) в секторе образования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Разработаны нормативно-правовые документы по новым формам финансирования (в том числе, на принципах ГЧП) в секторе образования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Увеличено в 2 раза количество инвестиционных проектов, заключённых на принципах ГЧП в секторе образования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76034B" w:rsidRPr="00E70DA2" w:rsidTr="000B793D">
        <w:trPr>
          <w:trHeight w:val="530"/>
          <w:jc w:val="center"/>
        </w:trPr>
        <w:tc>
          <w:tcPr>
            <w:tcW w:w="14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6.1.4: Внедрены и/или модернизированы информационные системы управления в секторе образования.</w:t>
            </w:r>
          </w:p>
        </w:tc>
      </w:tr>
      <w:tr w:rsidR="002B5F92" w:rsidRPr="00EA61AC" w:rsidTr="000B793D">
        <w:trPr>
          <w:trHeight w:val="600"/>
          <w:jc w:val="center"/>
        </w:trPr>
        <w:tc>
          <w:tcPr>
            <w:tcW w:w="5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2B5F92" w:rsidRPr="00EA61AC" w:rsidTr="000B793D">
        <w:trPr>
          <w:trHeight w:val="926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F800B4" w:rsidRDefault="00F800B4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85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E1BA2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Внедрение информационной системы управления финансов (ИСУФ) по образовательным учреждениям всех видов собственности в Республике Таджикистан.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E1BA2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ИСУФ по образовательным учреждениям отсутствует (или не интегрирована)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9E1BA2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Разработаны программы и завершено пилотирование ИСУФ для сектора образования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9E1BA2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Завершено пилотирование и внедрение ИСУФ на районных и областных уровнях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9E1BA2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Полноценное внедрение ИСУФ на всех уровнях органов государственной власти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2B5F92" w:rsidRPr="00EA61AC" w:rsidTr="000B793D">
        <w:trPr>
          <w:trHeight w:val="638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F800B4" w:rsidRDefault="00F800B4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86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E1BA2" w:rsidRDefault="00F471FC" w:rsidP="00F471F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ИСУО была обновлена (напр., для включения различных онлайн функций) и расширена в соответствии с необходимостью учёта индикаторов в рамках НСРО</w:t>
            </w:r>
            <w:r w:rsidRPr="009E1BA2">
              <w:rPr>
                <w:rFonts w:asciiTheme="majorBidi" w:eastAsia="Times New Roman" w:hAnsiTheme="majorBidi" w:cstheme="majorBidi"/>
                <w:color w:val="000000" w:themeColor="text1"/>
              </w:rPr>
              <w:t>/</w:t>
            </w: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НСР и ЦУР.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E1BA2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ИСУО является функционально ограниченной и не была обновлена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E1BA2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ИСУО была расширена и дорожная карта по её обновлению разработана и согласована с партнёрами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E1BA2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ИСУО была расширена и дорожная карта по её обновлению полностью реализована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9E1BA2" w:rsidRDefault="00F471FC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</w:pPr>
            <w:r w:rsidRPr="009E1BA2">
              <w:rPr>
                <w:rFonts w:asciiTheme="majorBidi" w:eastAsia="Times New Roman" w:hAnsiTheme="majorBidi" w:cstheme="majorBidi"/>
                <w:color w:val="000000" w:themeColor="text1"/>
                <w:lang w:val="ru-RU"/>
              </w:rPr>
              <w:t>ИСУО полностью функциональна с учётом обновления и расширения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76034B" w:rsidRPr="00E70DA2" w:rsidTr="000B793D">
        <w:trPr>
          <w:trHeight w:val="645"/>
          <w:jc w:val="center"/>
        </w:trPr>
        <w:tc>
          <w:tcPr>
            <w:tcW w:w="14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6.1.5: В системе управления сектора образования и национальной системы оценки качества образования (на всех уровнях образования) широко используются цифровые технологии.</w:t>
            </w:r>
          </w:p>
        </w:tc>
      </w:tr>
      <w:tr w:rsidR="002B5F92" w:rsidRPr="00EA61AC" w:rsidTr="000B793D">
        <w:trPr>
          <w:trHeight w:val="600"/>
          <w:jc w:val="center"/>
        </w:trPr>
        <w:tc>
          <w:tcPr>
            <w:tcW w:w="5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2B5F92" w:rsidRPr="00EA61AC" w:rsidTr="000B793D">
        <w:trPr>
          <w:trHeight w:val="665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F800B4" w:rsidRDefault="00F800B4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87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Наличие новых нормативно-правовых документов о государственно-общественном управлении образовательных учреждений.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Принципы</w:t>
            </w:r>
          </w:p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государственно-общественного управления не сформулированы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Разработаны нормативно-правовые документы о государственно-общественном управлении образовательных учреждений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Внедрены элементы общественного управления во всех образовательных учреждениях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Государственно-общественное управление используется в отдельных образовательных учреждениях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F471FC" w:rsidRPr="00EA61AC" w:rsidTr="000B793D">
        <w:trPr>
          <w:trHeight w:val="665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1FC" w:rsidRPr="00F800B4" w:rsidRDefault="00F800B4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88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2B5F92" w:rsidP="002B5F92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Все подведомственные учреждения МОН РТ на республиканском и местном уровнях имеют необходимые цифровые технологии и систему в целях цифрового обучения, обмена данными и эффективного управления сектора образования.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2B5F9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Необходимое оборудование и система взаимодействия отсутствуют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2B5F92" w:rsidP="002B5F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Осуществлена оценка потребностей и предоставлено необходимое оборудование для поддержки управления сектором и цифрового обучения и 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2B5F92" w:rsidP="002B5F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Разработана национальная дорожная карта по цифровому обучению и управлению сектором образования, и разработаны необходимые инструкции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2B5F9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Потенциал национальной системы сектора образования обновлён и усилен в целях достижения долгосрочной устойчивости цифрового обучения и управления сектором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71FC" w:rsidRPr="00F800B4" w:rsidRDefault="002B5F9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2B5F92" w:rsidRPr="00EA61AC" w:rsidTr="000B793D">
        <w:trPr>
          <w:trHeight w:val="665"/>
          <w:jc w:val="center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F92" w:rsidRPr="00F800B4" w:rsidRDefault="00F800B4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89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B36D65" w:rsidRDefault="002B5F92" w:rsidP="002B5F92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B36D65">
              <w:rPr>
                <w:rFonts w:asciiTheme="majorBidi" w:eastAsia="Times New Roman" w:hAnsiTheme="majorBidi" w:cstheme="majorBidi"/>
                <w:lang w:val="ru-RU"/>
              </w:rPr>
              <w:t>Доля районов и учебных заведений (на всех уровнях образования), подключённых к Интернету и цифровым технологиям, способствующим улучшения качества обучения, в том числе: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B36D65" w:rsidRDefault="002B5F9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B36D65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B36D65" w:rsidRDefault="002B5F92" w:rsidP="002B5F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B36D65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B36D65" w:rsidRDefault="002B5F92" w:rsidP="002B5F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B36D65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B36D65" w:rsidRDefault="002B5F9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B36D65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B36D65" w:rsidRDefault="002B5F9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B36D65">
              <w:rPr>
                <w:rFonts w:asciiTheme="majorBidi" w:eastAsia="Times New Roman" w:hAnsiTheme="majorBidi" w:cstheme="majorBidi"/>
                <w:lang w:val="ru-RU"/>
              </w:rPr>
              <w:t>--</w:t>
            </w:r>
          </w:p>
        </w:tc>
      </w:tr>
      <w:tr w:rsidR="002B5F92" w:rsidRPr="00EA61AC" w:rsidTr="000B793D">
        <w:trPr>
          <w:trHeight w:val="85"/>
          <w:jc w:val="center"/>
        </w:trPr>
        <w:tc>
          <w:tcPr>
            <w:tcW w:w="5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F92" w:rsidRPr="00F800B4" w:rsidRDefault="002B5F9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677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F800B4" w:rsidRDefault="002B5F92" w:rsidP="002B5F92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</w:rPr>
              <w:t xml:space="preserve">   - 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районы на территории страны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F800B4" w:rsidRDefault="002B5F92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n/a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F800B4" w:rsidRDefault="00B36D65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--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F800B4" w:rsidRDefault="00B36D65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--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F800B4" w:rsidRDefault="00B36D65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--</w:t>
            </w:r>
          </w:p>
        </w:tc>
        <w:tc>
          <w:tcPr>
            <w:tcW w:w="18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2B5F92" w:rsidRDefault="002B5F9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C00000"/>
                <w:lang w:val="ru-RU"/>
              </w:rPr>
            </w:pPr>
          </w:p>
        </w:tc>
      </w:tr>
      <w:tr w:rsidR="002B5F92" w:rsidRPr="00EA61AC" w:rsidTr="000B793D">
        <w:trPr>
          <w:trHeight w:val="85"/>
          <w:jc w:val="center"/>
        </w:trPr>
        <w:tc>
          <w:tcPr>
            <w:tcW w:w="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F92" w:rsidRPr="00F800B4" w:rsidRDefault="002B5F9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</w:p>
        </w:tc>
        <w:tc>
          <w:tcPr>
            <w:tcW w:w="46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F800B4" w:rsidRDefault="002B5F92" w:rsidP="002B5F92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   - учебные заведения (на всех уровнях)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F800B4" w:rsidRDefault="002B5F92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n/a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F800B4" w:rsidRDefault="00B36D65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--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F800B4" w:rsidRDefault="00B36D65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--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F800B4" w:rsidRDefault="00B36D65" w:rsidP="001B52C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--</w:t>
            </w:r>
          </w:p>
        </w:tc>
        <w:tc>
          <w:tcPr>
            <w:tcW w:w="18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F92" w:rsidRPr="002B5F92" w:rsidRDefault="002B5F9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C00000"/>
                <w:lang w:val="ru-RU"/>
              </w:rPr>
            </w:pPr>
          </w:p>
        </w:tc>
      </w:tr>
      <w:tr w:rsidR="0076034B" w:rsidRPr="00E70DA2" w:rsidTr="000B793D">
        <w:trPr>
          <w:trHeight w:val="645"/>
          <w:jc w:val="center"/>
        </w:trPr>
        <w:tc>
          <w:tcPr>
            <w:tcW w:w="14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8CCE4" w:themeFill="accent1" w:themeFillTint="66"/>
            <w:vAlign w:val="center"/>
            <w:hideMark/>
          </w:tcPr>
          <w:p w:rsidR="0076034B" w:rsidRPr="006C660C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lang w:val="ru-RU"/>
              </w:rPr>
            </w:pPr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Промежуточный результат 6.1.6: Риски стихийных бедствий и климатические риски</w:t>
            </w:r>
            <w:r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>, а также вопросы экологии,</w:t>
            </w:r>
            <w:r w:rsidRPr="006C660C">
              <w:rPr>
                <w:rFonts w:asciiTheme="majorBidi" w:eastAsia="Times New Roman" w:hAnsiTheme="majorBidi" w:cstheme="majorBidi"/>
                <w:b/>
                <w:bCs/>
                <w:lang w:val="ru-RU"/>
              </w:rPr>
              <w:t xml:space="preserve"> интегрированы в учебные заведения для уменьшения уязвимости и подверженности этим рискам, а также для усиления преодоления и адаптации к устойчивому развитию.</w:t>
            </w:r>
          </w:p>
        </w:tc>
      </w:tr>
      <w:tr w:rsidR="002B5F92" w:rsidRPr="00EA61AC" w:rsidTr="000B793D">
        <w:trPr>
          <w:trHeight w:val="95"/>
          <w:jc w:val="center"/>
        </w:trPr>
        <w:tc>
          <w:tcPr>
            <w:tcW w:w="5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Ключевые показатели результативности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</w:t>
            </w:r>
            <w:r>
              <w:rPr>
                <w:rFonts w:asciiTheme="majorBidi" w:eastAsia="Times New Roman" w:hAnsiTheme="majorBidi" w:cstheme="majorBidi"/>
                <w:lang w:val="ru-RU"/>
              </w:rPr>
              <w:t>19</w:t>
            </w:r>
            <w:r>
              <w:rPr>
                <w:rFonts w:asciiTheme="majorBidi" w:eastAsia="Times New Roman" w:hAnsiTheme="majorBidi" w:cstheme="majorBidi"/>
              </w:rPr>
              <w:t>/</w:t>
            </w:r>
            <w:r>
              <w:rPr>
                <w:rFonts w:asciiTheme="majorBidi" w:eastAsia="Times New Roman" w:hAnsiTheme="majorBidi" w:cstheme="majorBidi"/>
                <w:lang w:val="ru-RU"/>
              </w:rPr>
              <w:t>20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lang w:val="ru-RU"/>
              </w:rPr>
              <w:t xml:space="preserve">учебный 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г</w:t>
            </w:r>
            <w:r>
              <w:rPr>
                <w:rFonts w:asciiTheme="majorBidi" w:eastAsia="Times New Roman" w:hAnsiTheme="majorBidi" w:cstheme="majorBidi"/>
                <w:lang w:val="ru-RU"/>
              </w:rPr>
              <w:t>од (базовый год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>)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2021-2023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2024-2026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1F1A" w:rsidRPr="001610A4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1610A4">
              <w:rPr>
                <w:rFonts w:asciiTheme="majorBidi" w:eastAsia="Times New Roman" w:hAnsiTheme="majorBidi" w:cstheme="majorBidi"/>
              </w:rPr>
              <w:t>2027-2030</w:t>
            </w:r>
            <w:r w:rsidRPr="001610A4">
              <w:rPr>
                <w:rFonts w:asciiTheme="majorBidi" w:eastAsia="Times New Roman" w:hAnsiTheme="majorBidi" w:cstheme="majorBidi"/>
                <w:lang w:val="ru-RU"/>
              </w:rPr>
              <w:t xml:space="preserve"> гг.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1F1A" w:rsidRPr="00B01F1A" w:rsidRDefault="00B01F1A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>
              <w:rPr>
                <w:rFonts w:asciiTheme="majorBidi" w:eastAsia="Times New Roman" w:hAnsiTheme="majorBidi" w:cstheme="majorBidi"/>
                <w:lang w:val="ru-RU"/>
              </w:rPr>
              <w:t>Комментарии</w:t>
            </w:r>
          </w:p>
        </w:tc>
      </w:tr>
      <w:tr w:rsidR="002B5F92" w:rsidRPr="00EA61AC" w:rsidTr="000B793D">
        <w:trPr>
          <w:trHeight w:val="95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F800B4" w:rsidRDefault="00F800B4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90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Развиты и укреплены институты, координационные механизмы и сети, а также национальный потенциал для повышения устойчивости к опасностям и угрозам для сектора образования (на республиканском и местном уровнях).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Прослеживается слабая устойчивость учебных заведений к рискам бедствий и прочим опасностям и угрозам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9E1BA2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Создан Комитет по управлению рисками стихийных бедствий на уровне местных властей (с участием представителей учебных заведений, учеников и местных жителей)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Разработаны координационные механизмы и сети для повышения устойчивости к опасностям и угрозам для сектора образования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Повышена устойчивость учебных заведений к опасностям и угрозам для сектора образования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8077EF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Индикатор ранее не отслеживался</w:t>
            </w:r>
          </w:p>
        </w:tc>
      </w:tr>
      <w:tr w:rsidR="002B5F92" w:rsidRPr="00EA61AC" w:rsidTr="000B793D">
        <w:trPr>
          <w:trHeight w:val="288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F800B4" w:rsidRDefault="00F800B4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800B4">
              <w:rPr>
                <w:rFonts w:asciiTheme="majorBidi" w:eastAsia="Times New Roman" w:hAnsiTheme="majorBidi" w:cstheme="majorBidi"/>
              </w:rPr>
              <w:t>91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В реализацию программ учебных заведений - т.е. учебные и обучающие материалы для учащихся и учителей - внедрены подходы по снижению риска бедствий (по аварийной готовности, реагирования и восстановления).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Учебные заведения не внедряют подходы по снижению риска бедствий и прочим опасностям и угрозам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Подходы по снижению риска бедствий внедрены в учебных программах дошкольного и общего среднего образования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Подходы по снижению риска бедствий внедрены в учебных программах НПО и СПО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Подходы по снижению риска бедствий</w:t>
            </w:r>
            <w:r w:rsidR="009E1BA2" w:rsidRPr="00F800B4">
              <w:rPr>
                <w:rFonts w:asciiTheme="majorBidi" w:eastAsia="Times New Roman" w:hAnsiTheme="majorBidi" w:cstheme="majorBidi"/>
                <w:lang w:val="ru-RU"/>
              </w:rPr>
              <w:t xml:space="preserve"> 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внедрено в учебных программах ВПО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8077EF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Индикатор ранее не отслеживался</w:t>
            </w:r>
          </w:p>
        </w:tc>
      </w:tr>
      <w:tr w:rsidR="002B5F92" w:rsidRPr="00EA61AC" w:rsidTr="000B793D">
        <w:trPr>
          <w:trHeight w:val="279"/>
          <w:jc w:val="center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34B" w:rsidRPr="00F800B4" w:rsidRDefault="00F800B4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92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Обеспечен/Повышен доступ образовательных учреждений и государственных органов управления образования к фактическим данным, связанным с опасностями (таким как, например, данным системы раннего предупреждения и информация о рисках стихийных бедствий)</w:t>
            </w:r>
            <w:r w:rsidR="00075E0D" w:rsidRPr="00F800B4">
              <w:rPr>
                <w:rFonts w:asciiTheme="majorBidi" w:eastAsia="Times New Roman" w:hAnsiTheme="majorBidi" w:cstheme="majorBidi"/>
                <w:lang w:val="ru-RU"/>
              </w:rPr>
              <w:t>, включая доступ к экологическому образованию для детей</w:t>
            </w:r>
            <w:r w:rsidR="00075E0D" w:rsidRPr="00F800B4">
              <w:rPr>
                <w:rFonts w:asciiTheme="majorBidi" w:eastAsia="Times New Roman" w:hAnsiTheme="majorBidi" w:cstheme="majorBidi"/>
              </w:rPr>
              <w:t>/</w:t>
            </w:r>
            <w:r w:rsidR="00075E0D" w:rsidRPr="00F800B4">
              <w:rPr>
                <w:rFonts w:asciiTheme="majorBidi" w:eastAsia="Times New Roman" w:hAnsiTheme="majorBidi" w:cstheme="majorBidi"/>
                <w:lang w:val="ru-RU"/>
              </w:rPr>
              <w:t xml:space="preserve"> учащихя в учебных заведениях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.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Доступ к данным</w:t>
            </w:r>
            <w:r w:rsidR="00075E0D" w:rsidRPr="00F800B4">
              <w:rPr>
                <w:rFonts w:asciiTheme="majorBidi" w:eastAsia="Times New Roman" w:hAnsiTheme="majorBidi" w:cstheme="majorBidi"/>
                <w:lang w:val="ru-RU"/>
              </w:rPr>
              <w:t xml:space="preserve"> и экологическому образованию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, связанным с опасностями, ограничен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 xml:space="preserve">Повышен потенциал всех учебных заведений </w:t>
            </w:r>
            <w:r w:rsidR="00075E0D" w:rsidRPr="00F800B4">
              <w:rPr>
                <w:rFonts w:asciiTheme="majorBidi" w:eastAsia="Times New Roman" w:hAnsiTheme="majorBidi" w:cstheme="majorBidi"/>
                <w:lang w:val="ru-RU"/>
              </w:rPr>
              <w:t>и знания детей</w:t>
            </w:r>
            <w:r w:rsidR="00075E0D" w:rsidRPr="00F800B4">
              <w:rPr>
                <w:rFonts w:asciiTheme="majorBidi" w:eastAsia="Times New Roman" w:hAnsiTheme="majorBidi" w:cstheme="majorBidi"/>
              </w:rPr>
              <w:t>/</w:t>
            </w:r>
            <w:r w:rsidR="00075E0D" w:rsidRPr="00F800B4">
              <w:rPr>
                <w:rFonts w:asciiTheme="majorBidi" w:eastAsia="Times New Roman" w:hAnsiTheme="majorBidi" w:cstheme="majorBidi"/>
                <w:lang w:val="ru-RU"/>
              </w:rPr>
              <w:t xml:space="preserve"> учащихся 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по использованию данных, связанные с рисками бедствий и прочими опасностями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Улучшена система взаимосвязи между учебными заведениями и Министерством чрезвычайных ситуаций РТ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34B" w:rsidRPr="00F800B4" w:rsidRDefault="0076034B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Все учебные заведения имеют доступ к фактическим данным</w:t>
            </w:r>
            <w:r w:rsidR="00075E0D" w:rsidRPr="00F800B4">
              <w:rPr>
                <w:rFonts w:asciiTheme="majorBidi" w:eastAsia="Times New Roman" w:hAnsiTheme="majorBidi" w:cstheme="majorBidi"/>
                <w:lang w:val="ru-RU"/>
              </w:rPr>
              <w:t xml:space="preserve"> и экологическому образованию</w:t>
            </w:r>
            <w:r w:rsidRPr="00F800B4">
              <w:rPr>
                <w:rFonts w:asciiTheme="majorBidi" w:eastAsia="Times New Roman" w:hAnsiTheme="majorBidi" w:cstheme="majorBidi"/>
                <w:lang w:val="ru-RU"/>
              </w:rPr>
              <w:t>, связанным с опасностями (таким как, например, данным системы раннего предупреждения, информация о рисках стихийных бедствий и т.п.).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34B" w:rsidRPr="00F800B4" w:rsidRDefault="008077EF" w:rsidP="00B01F1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ru-RU"/>
              </w:rPr>
            </w:pPr>
            <w:r w:rsidRPr="00F800B4">
              <w:rPr>
                <w:rFonts w:asciiTheme="majorBidi" w:eastAsia="Times New Roman" w:hAnsiTheme="majorBidi" w:cstheme="majorBidi"/>
                <w:lang w:val="ru-RU"/>
              </w:rPr>
              <w:t>Индикатор ранее не отслеживался</w:t>
            </w:r>
          </w:p>
        </w:tc>
      </w:tr>
    </w:tbl>
    <w:p w:rsidR="00344B4B" w:rsidRDefault="00344B4B"/>
    <w:sectPr w:rsidR="00344B4B" w:rsidSect="007603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FB8C04" w15:done="0"/>
  <w15:commentEx w15:paraId="0F6F19A5" w15:paraIdParent="78FB8C04" w15:done="0"/>
  <w15:commentEx w15:paraId="65376146" w15:done="0"/>
  <w15:commentEx w15:paraId="02E6F0D0" w15:done="0"/>
  <w15:commentEx w15:paraId="189BA2F5" w15:done="0"/>
  <w15:commentEx w15:paraId="25C753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FB8C04" w16cid:durableId="2333F431"/>
  <w16cid:commentId w16cid:paraId="0F6F19A5" w16cid:durableId="2334194E"/>
  <w16cid:commentId w16cid:paraId="65376146" w16cid:durableId="2333F62A"/>
  <w16cid:commentId w16cid:paraId="02E6F0D0" w16cid:durableId="23341A3A"/>
  <w16cid:commentId w16cid:paraId="189BA2F5" w16cid:durableId="2334000A"/>
  <w16cid:commentId w16cid:paraId="25C75364" w16cid:durableId="233405AD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7A8"/>
    <w:multiLevelType w:val="hybridMultilevel"/>
    <w:tmpl w:val="7AF6CEFE"/>
    <w:lvl w:ilvl="0" w:tplc="CAFCE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9072E"/>
    <w:multiLevelType w:val="hybridMultilevel"/>
    <w:tmpl w:val="509868B4"/>
    <w:lvl w:ilvl="0" w:tplc="CAFCE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26E0D"/>
    <w:multiLevelType w:val="hybridMultilevel"/>
    <w:tmpl w:val="584A85C4"/>
    <w:lvl w:ilvl="0" w:tplc="CAFCE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E5694"/>
    <w:multiLevelType w:val="hybridMultilevel"/>
    <w:tmpl w:val="4E163104"/>
    <w:lvl w:ilvl="0" w:tplc="CAFCE120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327E392D"/>
    <w:multiLevelType w:val="hybridMultilevel"/>
    <w:tmpl w:val="F2927A80"/>
    <w:lvl w:ilvl="0" w:tplc="1FB8167A">
      <w:start w:val="1"/>
      <w:numFmt w:val="decimal"/>
      <w:lvlText w:val="%1)"/>
      <w:lvlJc w:val="left"/>
      <w:pPr>
        <w:ind w:left="927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4003382"/>
    <w:multiLevelType w:val="hybridMultilevel"/>
    <w:tmpl w:val="8F3EE236"/>
    <w:lvl w:ilvl="0" w:tplc="CAFCE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61DA2"/>
    <w:multiLevelType w:val="hybridMultilevel"/>
    <w:tmpl w:val="33662D0E"/>
    <w:lvl w:ilvl="0" w:tplc="CAFCE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16957"/>
    <w:multiLevelType w:val="hybridMultilevel"/>
    <w:tmpl w:val="FD4E6376"/>
    <w:lvl w:ilvl="0" w:tplc="CAFCE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hnoz Valijonbekova">
    <w15:presenceInfo w15:providerId="AD" w15:userId="S::svalijonbekova@unicef.org::8df74f5c-6ff2-46b6-91ed-7bcb2c47f59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savePreviewPicture/>
  <w:compat/>
  <w:rsids>
    <w:rsidRoot w:val="0076034B"/>
    <w:rsid w:val="00075E0D"/>
    <w:rsid w:val="000B793D"/>
    <w:rsid w:val="00101501"/>
    <w:rsid w:val="00117563"/>
    <w:rsid w:val="00142FFB"/>
    <w:rsid w:val="0019761D"/>
    <w:rsid w:val="001B52C1"/>
    <w:rsid w:val="001B7463"/>
    <w:rsid w:val="00253B69"/>
    <w:rsid w:val="002B5F92"/>
    <w:rsid w:val="002D37EB"/>
    <w:rsid w:val="00344B4B"/>
    <w:rsid w:val="00393964"/>
    <w:rsid w:val="004205BC"/>
    <w:rsid w:val="004326C6"/>
    <w:rsid w:val="0049585F"/>
    <w:rsid w:val="004B3CFB"/>
    <w:rsid w:val="00543931"/>
    <w:rsid w:val="00577262"/>
    <w:rsid w:val="00630608"/>
    <w:rsid w:val="0068148D"/>
    <w:rsid w:val="00696843"/>
    <w:rsid w:val="006A5C1C"/>
    <w:rsid w:val="006D0664"/>
    <w:rsid w:val="00726CB4"/>
    <w:rsid w:val="0076034B"/>
    <w:rsid w:val="007D0BC1"/>
    <w:rsid w:val="007D70BC"/>
    <w:rsid w:val="008077EF"/>
    <w:rsid w:val="008E268C"/>
    <w:rsid w:val="009818F8"/>
    <w:rsid w:val="00982E13"/>
    <w:rsid w:val="00984580"/>
    <w:rsid w:val="009C4090"/>
    <w:rsid w:val="009E1BA2"/>
    <w:rsid w:val="00A12CE4"/>
    <w:rsid w:val="00A257E8"/>
    <w:rsid w:val="00A712C8"/>
    <w:rsid w:val="00AE1E50"/>
    <w:rsid w:val="00B01F1A"/>
    <w:rsid w:val="00B36D65"/>
    <w:rsid w:val="00B67A99"/>
    <w:rsid w:val="00B70E26"/>
    <w:rsid w:val="00B87F91"/>
    <w:rsid w:val="00BA46A9"/>
    <w:rsid w:val="00BE5B2A"/>
    <w:rsid w:val="00C36D4B"/>
    <w:rsid w:val="00C756A9"/>
    <w:rsid w:val="00C93260"/>
    <w:rsid w:val="00D10DD7"/>
    <w:rsid w:val="00D36A87"/>
    <w:rsid w:val="00D93C82"/>
    <w:rsid w:val="00DA5212"/>
    <w:rsid w:val="00DD49A9"/>
    <w:rsid w:val="00E70DA2"/>
    <w:rsid w:val="00ED3B83"/>
    <w:rsid w:val="00F471FC"/>
    <w:rsid w:val="00F800B4"/>
    <w:rsid w:val="00FA2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34B"/>
  </w:style>
  <w:style w:type="paragraph" w:styleId="Heading1">
    <w:name w:val="heading 1"/>
    <w:basedOn w:val="Normal"/>
    <w:next w:val="Normal"/>
    <w:link w:val="Heading1Char"/>
    <w:uiPriority w:val="9"/>
    <w:qFormat/>
    <w:rsid w:val="00760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3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3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6034B"/>
    <w:pPr>
      <w:keepNext/>
      <w:spacing w:after="0" w:line="280" w:lineRule="atLeast"/>
      <w:outlineLvl w:val="3"/>
    </w:pPr>
    <w:rPr>
      <w:rFonts w:ascii="Times New Roman" w:eastAsia="Times New Roman" w:hAnsi="Times New Roman" w:cs="Times New Roman"/>
      <w:bCs/>
      <w:i/>
      <w:color w:val="0A55A3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3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3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76034B"/>
    <w:rPr>
      <w:rFonts w:ascii="Times New Roman" w:eastAsia="Times New Roman" w:hAnsi="Times New Roman" w:cs="Times New Roman"/>
      <w:bCs/>
      <w:i/>
      <w:color w:val="0A55A3"/>
      <w:szCs w:val="28"/>
      <w:lang w:val="en-GB"/>
    </w:rPr>
  </w:style>
  <w:style w:type="table" w:styleId="TableGrid">
    <w:name w:val="Table Grid"/>
    <w:basedOn w:val="TableNormal"/>
    <w:uiPriority w:val="59"/>
    <w:rsid w:val="00760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0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34B"/>
  </w:style>
  <w:style w:type="paragraph" w:styleId="Footer">
    <w:name w:val="footer"/>
    <w:basedOn w:val="Normal"/>
    <w:link w:val="FooterChar"/>
    <w:uiPriority w:val="99"/>
    <w:unhideWhenUsed/>
    <w:rsid w:val="00760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34B"/>
  </w:style>
  <w:style w:type="paragraph" w:styleId="ListParagraph">
    <w:name w:val="List Paragraph"/>
    <w:aliases w:val="EOD Bullets,Colorful List - Accent 11,Bullets,Evidence on Demand bullet points,CEIL PEAKS bullet points,Scriptoria bullet points,Dot pt,No Spacing1,List Paragraph Char Char Char,Indicator Text,List Paragraph1,Numbered Para 1,Bullet Points"/>
    <w:basedOn w:val="Normal"/>
    <w:link w:val="ListParagraphChar"/>
    <w:uiPriority w:val="34"/>
    <w:qFormat/>
    <w:rsid w:val="00760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4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603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03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03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034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603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03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034B"/>
    <w:rPr>
      <w:vertAlign w:val="superscript"/>
    </w:rPr>
  </w:style>
  <w:style w:type="paragraph" w:customStyle="1" w:styleId="Char">
    <w:name w:val="Char"/>
    <w:basedOn w:val="Normal"/>
    <w:rsid w:val="0076034B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character" w:customStyle="1" w:styleId="ListParagraphChar">
    <w:name w:val="List Paragraph Char"/>
    <w:aliases w:val="EOD Bullets Char,Colorful List - Accent 11 Char,Bullets Char,Evidence on Demand bullet points Char,CEIL PEAKS bullet points Char,Scriptoria bullet points Char,Dot pt Char,No Spacing1 Char,List Paragraph Char Char Char Char"/>
    <w:basedOn w:val="DefaultParagraphFont"/>
    <w:link w:val="ListParagraph"/>
    <w:uiPriority w:val="34"/>
    <w:qFormat/>
    <w:rsid w:val="0076034B"/>
  </w:style>
  <w:style w:type="paragraph" w:styleId="TOC3">
    <w:name w:val="toc 3"/>
    <w:basedOn w:val="Normal"/>
    <w:next w:val="Normal"/>
    <w:autoRedefine/>
    <w:uiPriority w:val="39"/>
    <w:unhideWhenUsed/>
    <w:rsid w:val="0076034B"/>
    <w:pPr>
      <w:spacing w:after="100"/>
      <w:ind w:left="440"/>
    </w:pPr>
  </w:style>
  <w:style w:type="character" w:customStyle="1" w:styleId="alt-edited">
    <w:name w:val="alt-edited"/>
    <w:basedOn w:val="DefaultParagraphFont"/>
    <w:rsid w:val="0076034B"/>
  </w:style>
  <w:style w:type="character" w:styleId="CommentReference">
    <w:name w:val="annotation reference"/>
    <w:basedOn w:val="DefaultParagraphFont"/>
    <w:uiPriority w:val="99"/>
    <w:semiHidden/>
    <w:unhideWhenUsed/>
    <w:rsid w:val="007603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3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3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3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34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034B"/>
    <w:pPr>
      <w:spacing w:after="0" w:line="240" w:lineRule="auto"/>
    </w:pPr>
  </w:style>
  <w:style w:type="paragraph" w:customStyle="1" w:styleId="Default">
    <w:name w:val="Default"/>
    <w:rsid w:val="007603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760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PlainTable11">
    <w:name w:val="Plain Table 11"/>
    <w:basedOn w:val="TableNormal"/>
    <w:uiPriority w:val="41"/>
    <w:rsid w:val="0076034B"/>
    <w:pPr>
      <w:spacing w:after="0" w:line="240" w:lineRule="auto"/>
    </w:pPr>
    <w:rPr>
      <w:rFonts w:ascii="Times New Roman" w:hAnsi="Times New Roman" w:cs="Angsana New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">
    <w:name w:val="Абзац списка1"/>
    <w:basedOn w:val="Normal"/>
    <w:qFormat/>
    <w:rsid w:val="0076034B"/>
    <w:pPr>
      <w:ind w:left="720"/>
    </w:pPr>
    <w:rPr>
      <w:rFonts w:ascii="Calibri" w:eastAsia="Times New Roman" w:hAnsi="Calibri" w:cs="Calibri"/>
      <w:lang w:val="ru-RU" w:eastAsia="ru-RU"/>
    </w:rPr>
  </w:style>
  <w:style w:type="character" w:customStyle="1" w:styleId="viewsanadhohighlight">
    <w:name w:val="view_sanadho_highlight"/>
    <w:rsid w:val="0076034B"/>
  </w:style>
  <w:style w:type="table" w:customStyle="1" w:styleId="10">
    <w:name w:val="Сетка таблицы1"/>
    <w:basedOn w:val="TableNormal"/>
    <w:next w:val="TableGrid"/>
    <w:uiPriority w:val="59"/>
    <w:rsid w:val="0076034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TableNormal"/>
    <w:next w:val="TableGrid"/>
    <w:uiPriority w:val="59"/>
    <w:rsid w:val="0076034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76034B"/>
    <w:pPr>
      <w:spacing w:after="100" w:line="259" w:lineRule="auto"/>
      <w:ind w:left="660"/>
    </w:pPr>
    <w:rPr>
      <w:rFonts w:eastAsiaTheme="minorEastAsia"/>
      <w:lang w:val="ru-RU"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76034B"/>
    <w:pPr>
      <w:spacing w:after="100" w:line="259" w:lineRule="auto"/>
      <w:ind w:left="880"/>
    </w:pPr>
    <w:rPr>
      <w:rFonts w:eastAsiaTheme="minorEastAsia"/>
      <w:lang w:val="ru-RU"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76034B"/>
    <w:pPr>
      <w:spacing w:after="100" w:line="259" w:lineRule="auto"/>
      <w:ind w:left="1100"/>
    </w:pPr>
    <w:rPr>
      <w:rFonts w:eastAsiaTheme="minorEastAsia"/>
      <w:lang w:val="ru-RU"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76034B"/>
    <w:pPr>
      <w:spacing w:after="100" w:line="259" w:lineRule="auto"/>
      <w:ind w:left="1320"/>
    </w:pPr>
    <w:rPr>
      <w:rFonts w:eastAsiaTheme="minorEastAsia"/>
      <w:lang w:val="ru-RU"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76034B"/>
    <w:pPr>
      <w:spacing w:after="100" w:line="259" w:lineRule="auto"/>
      <w:ind w:left="1540"/>
    </w:pPr>
    <w:rPr>
      <w:rFonts w:eastAsiaTheme="minorEastAsia"/>
      <w:lang w:val="ru-RU"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76034B"/>
    <w:pPr>
      <w:spacing w:after="100" w:line="259" w:lineRule="auto"/>
      <w:ind w:left="1760"/>
    </w:pPr>
    <w:rPr>
      <w:rFonts w:eastAsiaTheme="minorEastAsia"/>
      <w:lang w:val="ru-RU" w:eastAsia="ru-RU"/>
    </w:rPr>
  </w:style>
  <w:style w:type="paragraph" w:styleId="NoSpacing">
    <w:name w:val="No Spacing"/>
    <w:uiPriority w:val="1"/>
    <w:qFormat/>
    <w:rsid w:val="0076034B"/>
    <w:pPr>
      <w:spacing w:after="0" w:line="240" w:lineRule="auto"/>
    </w:pPr>
    <w:rPr>
      <w:rFonts w:ascii="Calibri" w:eastAsia="Calibri" w:hAnsi="Calibri" w:cs="Times New Roman"/>
    </w:rPr>
  </w:style>
  <w:style w:type="paragraph" w:styleId="Subtitle">
    <w:name w:val="Subtitle"/>
    <w:basedOn w:val="Normal"/>
    <w:next w:val="Normal"/>
    <w:link w:val="SubtitleChar"/>
    <w:qFormat/>
    <w:rsid w:val="0076034B"/>
    <w:pPr>
      <w:spacing w:after="60" w:line="240" w:lineRule="auto"/>
      <w:ind w:firstLine="709"/>
      <w:jc w:val="center"/>
      <w:outlineLvl w:val="1"/>
    </w:pPr>
    <w:rPr>
      <w:rFonts w:ascii="Cambria" w:eastAsia="Times New Roman" w:hAnsi="Cambria" w:cs="Times New Roman"/>
      <w:sz w:val="24"/>
      <w:szCs w:val="24"/>
      <w:lang w:val="ru-RU"/>
    </w:rPr>
  </w:style>
  <w:style w:type="character" w:customStyle="1" w:styleId="SubtitleChar">
    <w:name w:val="Subtitle Char"/>
    <w:basedOn w:val="DefaultParagraphFont"/>
    <w:link w:val="Subtitle"/>
    <w:rsid w:val="0076034B"/>
    <w:rPr>
      <w:rFonts w:ascii="Cambria" w:eastAsia="Times New Roman" w:hAnsi="Cambria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3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76034B"/>
    <w:rPr>
      <w:sz w:val="18"/>
      <w:szCs w:val="18"/>
      <w:shd w:val="clear" w:color="auto" w:fill="FFFFFF"/>
    </w:rPr>
  </w:style>
  <w:style w:type="paragraph" w:styleId="BodyText">
    <w:name w:val="Body Text"/>
    <w:basedOn w:val="Normal"/>
    <w:link w:val="BodyTextChar"/>
    <w:rsid w:val="0076034B"/>
    <w:pPr>
      <w:shd w:val="clear" w:color="auto" w:fill="FFFFFF"/>
      <w:spacing w:after="180" w:line="216" w:lineRule="exact"/>
      <w:jc w:val="both"/>
    </w:pPr>
    <w:rPr>
      <w:sz w:val="18"/>
      <w:szCs w:val="18"/>
    </w:rPr>
  </w:style>
  <w:style w:type="character" w:customStyle="1" w:styleId="BodyTextChar1">
    <w:name w:val="Body Text Char1"/>
    <w:basedOn w:val="DefaultParagraphFont"/>
    <w:uiPriority w:val="99"/>
    <w:semiHidden/>
    <w:rsid w:val="0076034B"/>
  </w:style>
  <w:style w:type="character" w:customStyle="1" w:styleId="11">
    <w:name w:val="Основной текст Знак1"/>
    <w:basedOn w:val="DefaultParagraphFont"/>
    <w:uiPriority w:val="99"/>
    <w:semiHidden/>
    <w:rsid w:val="0076034B"/>
    <w:rPr>
      <w:rFonts w:eastAsiaTheme="minorHAnsi"/>
      <w:lang w:val="en-US" w:eastAsia="en-US"/>
    </w:rPr>
  </w:style>
  <w:style w:type="character" w:customStyle="1" w:styleId="12">
    <w:name w:val="Основной текст + Полужирный1"/>
    <w:basedOn w:val="BodyTextChar"/>
    <w:rsid w:val="0076034B"/>
    <w:rPr>
      <w:rFonts w:ascii="Times New Roman" w:hAnsi="Times New Roman" w:cs="Times New Roman"/>
      <w:b/>
      <w:bCs/>
      <w:spacing w:val="0"/>
      <w:sz w:val="18"/>
      <w:szCs w:val="18"/>
      <w:shd w:val="clear" w:color="auto" w:fill="FFFFFF"/>
    </w:rPr>
  </w:style>
  <w:style w:type="character" w:customStyle="1" w:styleId="st">
    <w:name w:val="st"/>
    <w:basedOn w:val="DefaultParagraphFont"/>
    <w:rsid w:val="0076034B"/>
  </w:style>
  <w:style w:type="character" w:styleId="Emphasis">
    <w:name w:val="Emphasis"/>
    <w:basedOn w:val="DefaultParagraphFont"/>
    <w:uiPriority w:val="20"/>
    <w:qFormat/>
    <w:rsid w:val="0076034B"/>
    <w:rPr>
      <w:i/>
      <w:iCs/>
    </w:rPr>
  </w:style>
  <w:style w:type="character" w:customStyle="1" w:styleId="tlid-translation">
    <w:name w:val="tlid-translation"/>
    <w:basedOn w:val="DefaultParagraphFont"/>
    <w:rsid w:val="0076034B"/>
  </w:style>
  <w:style w:type="character" w:styleId="Strong">
    <w:name w:val="Strong"/>
    <w:basedOn w:val="DefaultParagraphFont"/>
    <w:uiPriority w:val="22"/>
    <w:qFormat/>
    <w:rsid w:val="0076034B"/>
    <w:rPr>
      <w:b/>
      <w:bCs/>
    </w:rPr>
  </w:style>
  <w:style w:type="paragraph" w:customStyle="1" w:styleId="Heading40">
    <w:name w:val="Heading4"/>
    <w:basedOn w:val="Heading4"/>
    <w:link w:val="Heading4Char0"/>
    <w:rsid w:val="0076034B"/>
    <w:pPr>
      <w:spacing w:line="240" w:lineRule="auto"/>
    </w:pPr>
    <w:rPr>
      <w:rFonts w:cstheme="minorHAnsi"/>
      <w:b/>
      <w:bCs w:val="0"/>
    </w:rPr>
  </w:style>
  <w:style w:type="character" w:customStyle="1" w:styleId="Heading4Char0">
    <w:name w:val="Heading4 Char"/>
    <w:basedOn w:val="Heading4Char"/>
    <w:link w:val="Heading40"/>
    <w:rsid w:val="0076034B"/>
    <w:rPr>
      <w:rFonts w:ascii="Times New Roman" w:eastAsia="Times New Roman" w:hAnsi="Times New Roman" w:cstheme="minorHAnsi"/>
      <w:b/>
      <w:bCs/>
      <w:i/>
      <w:color w:val="0A55A3"/>
      <w:szCs w:val="28"/>
      <w:lang w:val="en-GB"/>
    </w:rPr>
  </w:style>
  <w:style w:type="character" w:customStyle="1" w:styleId="FontStyle12">
    <w:name w:val="Font Style12"/>
    <w:rsid w:val="0076034B"/>
    <w:rPr>
      <w:rFonts w:ascii="Microsoft Sans Serif" w:hAnsi="Microsoft Sans Serif"/>
      <w:sz w:val="28"/>
    </w:rPr>
  </w:style>
  <w:style w:type="paragraph" w:customStyle="1" w:styleId="13">
    <w:name w:val="Без интервала1"/>
    <w:qFormat/>
    <w:rsid w:val="0076034B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table" w:customStyle="1" w:styleId="TableGridLight1">
    <w:name w:val="Table Grid Light1"/>
    <w:basedOn w:val="TableNormal"/>
    <w:uiPriority w:val="40"/>
    <w:rsid w:val="0076034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Сетка таблицы светлая1"/>
    <w:basedOn w:val="TableNormal"/>
    <w:uiPriority w:val="40"/>
    <w:rsid w:val="0076034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23</Pages>
  <Words>5957</Words>
  <Characters>33955</Characters>
  <Application>Microsoft Office Word</Application>
  <DocSecurity>0</DocSecurity>
  <Lines>282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26 октября 2020 г.</vt:lpstr>
      <vt:lpstr>КЛЮЧЕВЫЕ ИНДИКАТОРЫ РЕЗУЛЬТАТИВНОСТИ ДЛЯ НСРО НА ПЕРИОД 2021-2030 гг.</vt:lpstr>
    </vt:vector>
  </TitlesOfParts>
  <Company/>
  <LinksUpToDate>false</LinksUpToDate>
  <CharactersWithSpaces>39833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Shuhrat</dc:creator>
  <cp:lastModifiedBy>Shuhrat</cp:lastModifiedBy>
  <cp:revision>14</cp:revision>
  <dcterms:created xsi:type="dcterms:W3CDTF">2020-10-19T04:53:00Z</dcterms:created>
  <dcterms:modified xsi:type="dcterms:W3CDTF">2020-10-26T12:02:00Z</dcterms:modified>
</cp:coreProperties>
</file>