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eDentist UXI Design Guidelines and Standards</w:t>
      </w:r>
    </w:p>
    <w:p>
      <w:pPr>
        <w:jc w:val="center"/>
      </w:pPr>
      <w:r>
        <w:rPr>
          <w:i/>
          <w:sz w:val="24"/>
        </w:rPr>
        <w:t>Report Section</w:t>
      </w:r>
    </w:p>
    <w:p/>
    <w:p>
      <w:pPr>
        <w:pStyle w:val="Heading1"/>
      </w:pPr>
      <w:r>
        <w:t>Purpose</w:t>
      </w:r>
    </w:p>
    <w:p>
      <w:r>
        <w:t>This section defines the UX and UI standards, interaction principles, and usability metrics used to design the eDentist experience. The guidelines are applied consistently across all screens (mobile and web) to ensure safety, clarity, efficiency, and a predictable user experience.</w:t>
      </w:r>
    </w:p>
    <w:p>
      <w:pPr>
        <w:pStyle w:val="Heading1"/>
      </w:pPr>
      <w:r>
        <w:t>Guideline 1: The UX Standard (Behavioral Logic)</w:t>
      </w:r>
    </w:p>
    <w:p>
      <w:pPr>
        <w:pStyle w:val="IntenseQuote"/>
      </w:pPr>
      <w:r>
        <w:t>Standard to Follow: Nielsen Norman Group (NN/g) — Jakob Nielsen’s 10 Usability Heuristics.</w:t>
      </w:r>
    </w:p>
    <w:p>
      <w:pPr>
        <w:pStyle w:val="Heading2"/>
      </w:pPr>
      <w:r>
        <w:t>eDentist application rules:</w:t>
      </w:r>
    </w:p>
    <w:p>
      <w:pPr>
        <w:pStyle w:val="ListBullet"/>
      </w:pPr>
      <w:r>
        <w:t>Visibility of system status: Always provide feedback for loading, saving, success, and failure states.</w:t>
      </w:r>
    </w:p>
    <w:p>
      <w:pPr>
        <w:pStyle w:val="ListBullet"/>
      </w:pPr>
      <w:r>
        <w:t>Match between system and real world: Use clinic-friendly terminology and workflows (Patient, Visit, Prescription, Invoice).</w:t>
      </w:r>
    </w:p>
    <w:p>
      <w:pPr>
        <w:pStyle w:val="ListBullet"/>
      </w:pPr>
      <w:r>
        <w:t>User control and freedom: Provide Back/Cancel/Close consistently; allow undo where feasible; confirm destructive actions.</w:t>
      </w:r>
    </w:p>
    <w:p>
      <w:pPr>
        <w:pStyle w:val="ListBullet"/>
      </w:pPr>
      <w:r>
        <w:t>Consistency and standards: Reuse the same layout patterns, component behaviors, and labels across the product.</w:t>
      </w:r>
    </w:p>
    <w:p>
      <w:pPr>
        <w:pStyle w:val="ListBullet"/>
      </w:pPr>
      <w:r>
        <w:t>Error prevention: Prefer constraints and inline validation; disable actions when inputs are incomplete or invalid.</w:t>
      </w:r>
    </w:p>
    <w:p>
      <w:pPr>
        <w:pStyle w:val="ListBullet"/>
      </w:pPr>
      <w:r>
        <w:t>Recognition rather than recall: Surface recent items, templates, and suggested defaults to reduce memory load.</w:t>
      </w:r>
    </w:p>
    <w:p>
      <w:pPr>
        <w:pStyle w:val="ListBullet"/>
      </w:pPr>
      <w:r>
        <w:t>Flexibility and efficiency: Support shortcuts for frequent tasks (search, recent patients, repeat actions).</w:t>
      </w:r>
    </w:p>
    <w:p>
      <w:pPr>
        <w:pStyle w:val="ListBullet"/>
      </w:pPr>
      <w:r>
        <w:t>Aesthetic and minimalist design: Keep screens focused on the primary task and remove non-essential UI noise.</w:t>
      </w:r>
    </w:p>
    <w:p>
      <w:pPr>
        <w:pStyle w:val="ListBullet"/>
      </w:pPr>
      <w:r>
        <w:t>Help users recognize, diagnose, and recover from errors: Provide plain-language messages and clear next actions (Retry, Edit, Contact Support).</w:t>
      </w:r>
    </w:p>
    <w:p>
      <w:pPr>
        <w:pStyle w:val="ListBullet"/>
      </w:pPr>
      <w:r>
        <w:t>Help and documentation: Provide micro-help in context (empty states, tooltips, quick tips) when users need guidance.</w:t>
      </w:r>
    </w:p>
    <w:p>
      <w:pPr>
        <w:pStyle w:val="Heading1"/>
      </w:pPr>
      <w:r>
        <w:t>Guideline 2: The UI Standard (Visual System)</w:t>
      </w:r>
    </w:p>
    <w:p>
      <w:pPr>
        <w:pStyle w:val="IntenseQuote"/>
      </w:pPr>
      <w:r>
        <w:t>Standard to Follow: Material Design 3 (M3) by Google.</w:t>
      </w:r>
    </w:p>
    <w:p>
      <w:pPr>
        <w:pStyle w:val="Heading2"/>
      </w:pPr>
      <w:r>
        <w:t>eDentist design system rules:</w:t>
      </w:r>
    </w:p>
    <w:p>
      <w:pPr>
        <w:pStyle w:val="ListBullet"/>
      </w:pPr>
      <w:r>
        <w:t>Define reusable foundations (design tokens): color, typography, spacing, radius, elevation, and motion.</w:t>
      </w:r>
    </w:p>
    <w:p>
      <w:pPr>
        <w:pStyle w:val="ListBullet"/>
      </w:pPr>
      <w:r>
        <w:t>Use M3 components as the baseline (buttons, cards, dialogs, text fields, chips, navigation) and keep custom components consistent with M3 patterns.</w:t>
      </w:r>
    </w:p>
    <w:p>
      <w:pPr>
        <w:pStyle w:val="ListBullet"/>
      </w:pPr>
      <w:r>
        <w:t>Design and document component states: default, pressed/active, disabled, loading, and error.</w:t>
      </w:r>
    </w:p>
    <w:p>
      <w:pPr>
        <w:pStyle w:val="ListBullet"/>
      </w:pPr>
      <w:r>
        <w:t>Maintain clear visual hierarchy: one primary action per screen/section and predictable placement of secondary actions.</w:t>
      </w:r>
    </w:p>
    <w:p>
      <w:pPr>
        <w:pStyle w:val="ListBullet"/>
      </w:pPr>
      <w:r>
        <w:t>Ensure touch/click targets are comfortably usable and consistent across devices.</w:t>
      </w:r>
    </w:p>
    <w:p>
      <w:pPr>
        <w:pStyle w:val="Heading1"/>
      </w:pPr>
      <w:r>
        <w:t>Guideline 3: Interaction Science (Efficiency)</w:t>
      </w:r>
    </w:p>
    <w:p>
      <w:pPr>
        <w:pStyle w:val="IntenseQuote"/>
      </w:pPr>
      <w:r>
        <w:t>Standards to Follow: Fitts’s Law, Hick’s Law, and Miller’s Law.</w:t>
      </w:r>
    </w:p>
    <w:p>
      <w:pPr>
        <w:pStyle w:val="Heading2"/>
      </w:pPr>
      <w:r>
        <w:t>eDentist application rules:</w:t>
      </w:r>
    </w:p>
    <w:p>
      <w:pPr>
        <w:pStyle w:val="ListBullet"/>
      </w:pPr>
      <w:r>
        <w:t>Fitts’s Law: Place primary actions in easy-to-reach areas and size targets to reduce mis-taps and speed up interaction.</w:t>
      </w:r>
    </w:p>
    <w:p>
      <w:pPr>
        <w:pStyle w:val="ListBullet"/>
      </w:pPr>
      <w:r>
        <w:t>Hick’s Law: Reduce decision time by grouping options, using progressive disclosure, and avoiding overloaded menus.</w:t>
      </w:r>
    </w:p>
    <w:p>
      <w:pPr>
        <w:pStyle w:val="ListBullet"/>
      </w:pPr>
      <w:r>
        <w:t>Miller’s Law: Reduce working-memory burden by chunking information, breaking long forms into sections/steps, and using templates and defaults.</w:t>
      </w:r>
    </w:p>
    <w:p>
      <w:pPr>
        <w:pStyle w:val="Heading1"/>
      </w:pPr>
      <w:r>
        <w:t>Guideline 4: Usability Standard (Definition and Measurement)</w:t>
      </w:r>
    </w:p>
    <w:p>
      <w:pPr>
        <w:pStyle w:val="IntenseQuote"/>
      </w:pPr>
      <w:r>
        <w:t>Standard to Follow: ISO 9241-11 — Usability (effectiveness, efficiency, satisfaction) in a specified context of use.</w:t>
      </w:r>
    </w:p>
    <w:p>
      <w:pPr>
        <w:pStyle w:val="Heading2"/>
      </w:pPr>
      <w:r>
        <w:t>Usability evaluation metrics for eDentist:</w:t>
      </w:r>
    </w:p>
    <w:p>
      <w:pPr>
        <w:pStyle w:val="ListBullet"/>
      </w:pPr>
      <w:r>
        <w:t>Effectiveness: task success rate, completion accuracy, and error rate.</w:t>
      </w:r>
    </w:p>
    <w:p>
      <w:pPr>
        <w:pStyle w:val="ListBullet"/>
      </w:pPr>
      <w:r>
        <w:t>Efficiency: time-on-task, number of taps/clicks, steps to complete, and backtracking frequency.</w:t>
      </w:r>
    </w:p>
    <w:p>
      <w:pPr>
        <w:pStyle w:val="ListBullet"/>
      </w:pPr>
      <w:r>
        <w:t>Satisfaction: SUS (System Usability Scale) or short ease-of-use ratings, plus qualitative feedback themes.</w:t>
      </w:r>
    </w:p>
    <w:p>
      <w:pPr>
        <w:pStyle w:val="Heading1"/>
      </w:pPr>
      <w:r>
        <w:t>Guideline 5: Interaction Principles (Dialogue Quality)</w:t>
      </w:r>
    </w:p>
    <w:p>
      <w:pPr>
        <w:pStyle w:val="IntenseQuote"/>
      </w:pPr>
      <w:r>
        <w:t>Standard to Follow: ISO 9241-110 — Dialogue principles for human-system interaction.</w:t>
      </w:r>
    </w:p>
    <w:p>
      <w:pPr>
        <w:pStyle w:val="Heading2"/>
      </w:pPr>
      <w:r>
        <w:t>eDentist dialogue principles:</w:t>
      </w:r>
    </w:p>
    <w:p>
      <w:pPr>
        <w:pStyle w:val="ListBullet"/>
      </w:pPr>
      <w:r>
        <w:t>Suitability for the task: workflows are optimized for real clinical tasks with minimal unnecessary steps.</w:t>
      </w:r>
    </w:p>
    <w:p>
      <w:pPr>
        <w:pStyle w:val="ListBullet"/>
      </w:pPr>
      <w:r>
        <w:t>Self-descriptiveness: each screen clearly communicates where the user is and what to do next.</w:t>
      </w:r>
    </w:p>
    <w:p>
      <w:pPr>
        <w:pStyle w:val="ListBullet"/>
      </w:pPr>
      <w:r>
        <w:t>Conformity with user expectations: common platform patterns are respected to keep behavior predictable.</w:t>
      </w:r>
    </w:p>
    <w:p>
      <w:pPr>
        <w:pStyle w:val="ListBullet"/>
      </w:pPr>
      <w:r>
        <w:t>Learnability: consistent patterns are repeated so users learn once and reuse everywhere.</w:t>
      </w:r>
    </w:p>
    <w:p>
      <w:pPr>
        <w:pStyle w:val="ListBullet"/>
      </w:pPr>
      <w:r>
        <w:t>Controllability: the user controls pace, can exit flows, and can correct mistakes easily.</w:t>
      </w:r>
    </w:p>
    <w:p>
      <w:pPr>
        <w:pStyle w:val="ListBullet"/>
      </w:pPr>
      <w:r>
        <w:t>Error tolerance: errors are prevented where possible, detected early, and recoverable with clear actions.</w:t>
      </w:r>
    </w:p>
    <w:p>
      <w:pPr>
        <w:pStyle w:val="ListBullet"/>
      </w:pPr>
      <w:r>
        <w:t>Engagement: calm, readable visual design that supports focus and trust in clinical contexts.</w:t>
      </w:r>
    </w:p>
    <w:p>
      <w:pPr>
        <w:pStyle w:val="Heading1"/>
      </w:pPr>
      <w:r>
        <w:t>Guideline 6: Accessibility Baseline</w:t>
      </w:r>
    </w:p>
    <w:p>
      <w:pPr>
        <w:pStyle w:val="IntenseQuote"/>
      </w:pPr>
      <w:r>
        <w:t>Standard to Follow: WCAG 2.2 (recommended baseline for accessible interaction).</w:t>
      </w:r>
    </w:p>
    <w:p>
      <w:pPr>
        <w:pStyle w:val="Heading2"/>
      </w:pPr>
      <w:r>
        <w:t>eDentist accessibility rules:</w:t>
      </w:r>
    </w:p>
    <w:p>
      <w:pPr>
        <w:pStyle w:val="ListBullet"/>
      </w:pPr>
      <w:r>
        <w:t>Readable typography and sufficient contrast for text and key UI elements.</w:t>
      </w:r>
    </w:p>
    <w:p>
      <w:pPr>
        <w:pStyle w:val="ListBullet"/>
      </w:pPr>
      <w:r>
        <w:t>Clear labels for inputs and error messages directly associated with the relevant fields.</w:t>
      </w:r>
    </w:p>
    <w:p>
      <w:pPr>
        <w:pStyle w:val="ListBullet"/>
      </w:pPr>
      <w:r>
        <w:t>Logical focus order and visible focus indicators (web).</w:t>
      </w:r>
    </w:p>
    <w:p>
      <w:pPr>
        <w:pStyle w:val="ListBullet"/>
      </w:pPr>
      <w:r>
        <w:t>Adequate target sizes and spacing to support accurate tapping/clicking.</w:t>
      </w:r>
    </w:p>
    <w:p>
      <w:r>
        <w:br w:type="page"/>
      </w:r>
    </w:p>
    <w:p>
      <w:pPr>
        <w:pStyle w:val="Heading1"/>
      </w:pPr>
      <w:r>
        <w:t>References</w:t>
      </w:r>
    </w:p>
    <w:p>
      <w:pPr>
        <w:pStyle w:val="ListNumber"/>
      </w:pPr>
      <w:r>
        <w:t>Nielsen Norman Group. “10 Usability Heuristics for User Interface Design.” https://www.nngroup.com/articles/ten-usability-heuristics/</w:t>
      </w:r>
    </w:p>
    <w:p>
      <w:pPr>
        <w:pStyle w:val="ListNumber"/>
      </w:pPr>
      <w:r>
        <w:t>Google. “Material Design 3.” https://m3.material.io/</w:t>
      </w:r>
    </w:p>
    <w:p>
      <w:pPr>
        <w:pStyle w:val="ListNumber"/>
      </w:pPr>
      <w:r>
        <w:t>Interaction Design Foundation. “Fitts’s Law.” https://www.interaction-design.org/literature/topics/fitts-law</w:t>
      </w:r>
    </w:p>
    <w:p>
      <w:pPr>
        <w:pStyle w:val="ListNumber"/>
      </w:pPr>
      <w:r>
        <w:t>Interaction Design Foundation. “Hick’s Law.” https://www.interaction-design.org/literature/topics/hick-s-law</w:t>
      </w:r>
    </w:p>
    <w:p>
      <w:pPr>
        <w:pStyle w:val="ListNumber"/>
      </w:pPr>
      <w:r>
        <w:t>Wikipedia. “The Magical Number Seven, Plus or Minus Two (Miller’s Law).” https://en.wikipedia.org/wiki/The_Magical_Number_Seven,_Plus_or_Minus_Two</w:t>
      </w:r>
    </w:p>
    <w:p>
      <w:pPr>
        <w:pStyle w:val="ListNumber"/>
      </w:pPr>
      <w:r>
        <w:t>ISO. “ISO 9241-11: Usability.” https://www.iso.org/standard/63500.html</w:t>
      </w:r>
    </w:p>
    <w:p>
      <w:pPr>
        <w:pStyle w:val="ListNumber"/>
      </w:pPr>
      <w:r>
        <w:t>ISO. “ISO 9241-110: Dialogue principles.” https://www.iso.org/standard/75258.html</w:t>
      </w:r>
    </w:p>
    <w:p>
      <w:pPr>
        <w:pStyle w:val="ListNumber"/>
      </w:pPr>
      <w:r>
        <w:t>W3C. “Web Content Accessibility Guidelines (WCAG) 2.2.” https://www.w3.org/TR/WCAG22/</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