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sz w:val="28"/>
          <w:szCs w:val="28"/>
        </w:rPr>
        <w:t xml:space="preserve">Worksheet – Lesson 1: Actors and Actions (Subjects and Verbs)</w:t>
      </w:r>
    </w:p>
    <w:p>
      <w:pPr>
        <w:spacing w:after="100" w:before="200"/>
      </w:pPr>
      <w:r>
        <w:rPr>
          <w:rFonts w:ascii="Cambria" w:cs="Cambria" w:eastAsia="Cambria" w:hAnsi="Cambria"/>
          <w:b/>
          <w:bCs/>
          <w:sz w:val="24"/>
          <w:szCs w:val="24"/>
        </w:rPr>
        <w:t xml:space="preserve">Principles:</w:t>
      </w:r>
    </w:p>
    <w:p>
      <w:pPr>
        <w:pStyle w:val="ListParagraph"/>
        <w:numPr>
          <w:ilvl w:val="0"/>
          <w:numId w:val="1"/>
        </w:numPr>
        <w:spacing w:after="60"/>
      </w:pPr>
      <w:r>
        <w:rPr>
          <w:rFonts w:ascii="Cambria" w:cs="Cambria" w:eastAsia="Cambria" w:hAnsi="Cambria"/>
          <w:b w:val="false"/>
          <w:bCs w:val="false"/>
          <w:sz w:val="22"/>
          <w:szCs w:val="22"/>
        </w:rPr>
        <w:t xml:space="preserve">Put actions in verbs</w:t>
      </w:r>
    </w:p>
    <w:p>
      <w:pPr>
        <w:pStyle w:val="ListParagraph"/>
        <w:numPr>
          <w:ilvl w:val="0"/>
          <w:numId w:val="1"/>
        </w:numPr>
        <w:spacing w:after="60"/>
      </w:pPr>
      <w:r>
        <w:rPr>
          <w:rFonts w:ascii="Cambria" w:cs="Cambria" w:eastAsia="Cambria" w:hAnsi="Cambria"/>
          <w:b w:val="false"/>
          <w:bCs w:val="false"/>
          <w:sz w:val="22"/>
          <w:szCs w:val="22"/>
        </w:rPr>
        <w:t xml:space="preserve">Put characters in subjects</w:t>
      </w:r>
    </w:p>
    <w:p>
      <w:pPr>
        <w:pStyle w:val="ListParagraph"/>
        <w:numPr>
          <w:ilvl w:val="0"/>
          <w:numId w:val="1"/>
        </w:numPr>
        <w:spacing w:after="60"/>
      </w:pPr>
      <w:r>
        <w:rPr>
          <w:rFonts w:ascii="Cambria" w:cs="Cambria" w:eastAsia="Cambria" w:hAnsi="Cambria"/>
          <w:b w:val="false"/>
          <w:bCs w:val="false"/>
          <w:sz w:val="22"/>
          <w:szCs w:val="22"/>
        </w:rPr>
        <w:t xml:space="preserve">Keep subjects near verbs</w:t>
      </w:r>
    </w:p>
    <w:p>
      <w:pPr>
        <w:pBdr>
          <w:bottom w:val="single" w:color="AAAAAA" w:sz="6"/>
        </w:pBdr>
        <w:spacing w:after="120"/>
      </w:pPr>
      <w:r>
        <w:t xml:space="preserve"/>
      </w:r>
    </w:p>
    <w:p>
      <w:pPr>
        <w:spacing w:after="100" w:before="200"/>
      </w:pPr>
      <w:r>
        <w:rPr>
          <w:rFonts w:ascii="Cambria" w:cs="Cambria" w:eastAsia="Cambria" w:hAnsi="Cambria"/>
          <w:b/>
          <w:bCs/>
          <w:sz w:val="24"/>
          <w:szCs w:val="24"/>
        </w:rPr>
        <w:t xml:space="preserve">Exercises</w:t>
      </w:r>
    </w:p>
    <w:p>
      <w:pPr>
        <w:spacing w:after="160"/>
      </w:pPr>
      <w:r>
        <w:rPr>
          <w:rFonts w:ascii="Cambria" w:cs="Cambria" w:eastAsia="Cambria" w:hAnsi="Cambria"/>
          <w:i/>
          <w:iCs/>
          <w:sz w:val="22"/>
          <w:szCs w:val="22"/>
        </w:rPr>
        <w:t xml:space="preserve">Revise each sentence using the principles above.</w:t>
      </w:r>
    </w:p>
    <w:p>
      <w:pPr>
        <w:spacing w:after="60" w:before="200"/>
      </w:pPr>
      <w:r>
        <w:rPr>
          <w:rFonts w:ascii="Cambria" w:cs="Cambria" w:eastAsia="Cambria" w:hAnsi="Cambria"/>
          <w:b/>
          <w:bCs/>
          <w:sz w:val="22"/>
          <w:szCs w:val="22"/>
        </w:rPr>
        <w:t xml:space="preserve">1. Original:</w:t>
      </w:r>
    </w:p>
    <w:p>
      <w:pPr>
        <w:spacing w:after="100"/>
        <w:ind w:left="360"/>
      </w:pPr>
      <w:r>
        <w:rPr>
          <w:rFonts w:ascii="Cambria" w:cs="Cambria" w:eastAsia="Cambria" w:hAnsi="Cambria"/>
          <w:i/>
          <w:iCs/>
          <w:color w:val="444444"/>
          <w:sz w:val="22"/>
          <w:szCs w:val="22"/>
        </w:rPr>
        <w:t xml:space="preserve">Tyrosine phosphorylation by activated JAKs of cytokine-receptor cytoplasmic domains then provides binding sites for the Src-homology-2 domain of the STAT proteins.</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Activated JAKs then phosphorylate the cytoplasmic domains of cytokine receptors, providing binding sites for the Src-homology-2 domain of STAT proteins.</w:t>
      </w:r>
    </w:p>
    <w:p>
      <w:pPr>
        <w:spacing w:after="60" w:before="200"/>
      </w:pPr>
      <w:r>
        <w:rPr>
          <w:rFonts w:ascii="Cambria" w:cs="Cambria" w:eastAsia="Cambria" w:hAnsi="Cambria"/>
          <w:b/>
          <w:bCs/>
          <w:sz w:val="22"/>
          <w:szCs w:val="22"/>
        </w:rPr>
        <w:t xml:space="preserve">2. Original:</w:t>
      </w:r>
    </w:p>
    <w:p>
      <w:pPr>
        <w:spacing w:after="100"/>
        <w:ind w:left="360"/>
      </w:pPr>
      <w:r>
        <w:rPr>
          <w:rFonts w:ascii="Cambria" w:cs="Cambria" w:eastAsia="Cambria" w:hAnsi="Cambria"/>
          <w:i/>
          <w:iCs/>
          <w:color w:val="444444"/>
          <w:sz w:val="22"/>
          <w:szCs w:val="22"/>
        </w:rPr>
        <w:t xml:space="preserve">We subjected yeast to 20 min of amino acid deprivation and made ribosome-footprint and mRNA-abundance measurements.</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We deprived yeast of amino acids for 20 min, then measured ribosome footprints and mRNA abundance.</w:t>
      </w:r>
    </w:p>
    <w:p>
      <w:pPr>
        <w:spacing w:after="60" w:before="200"/>
      </w:pPr>
      <w:r>
        <w:rPr>
          <w:rFonts w:ascii="Cambria" w:cs="Cambria" w:eastAsia="Cambria" w:hAnsi="Cambria"/>
          <w:b/>
          <w:bCs/>
          <w:sz w:val="22"/>
          <w:szCs w:val="22"/>
        </w:rPr>
        <w:t xml:space="preserve">3. Original:</w:t>
      </w:r>
    </w:p>
    <w:p>
      <w:pPr>
        <w:spacing w:after="100"/>
        <w:ind w:left="360"/>
      </w:pPr>
      <w:r>
        <w:rPr>
          <w:rFonts w:ascii="Cambria" w:cs="Cambria" w:eastAsia="Cambria" w:hAnsi="Cambria"/>
          <w:i/>
          <w:iCs/>
          <w:color w:val="444444"/>
          <w:sz w:val="22"/>
          <w:szCs w:val="22"/>
        </w:rPr>
        <w:t xml:space="preserve">The assumptions that all sites evolve at one of two evolutionary rates (conserved and nonconserved), that these rates are uniform across the genome, that sites evolve independently conditional on whether they are in conserved or nonconserved regions, and that the phylogenetic models for conserved and nonconserved regions have the same branch-length proportions, base compositions, and substitution patterns, all represent oversimplifications of the complex process of sequence evolution in eukaryotic genomes.</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These assumptions all oversimplify how sequences evolve in eukaryotic genomes: that all sites evolve at one of two rates (conserved or nonconserved), that these rates are uniform across the genome, that sites evolve independently based on their region type, and that phylogenetic models for both region types share the same branch-length proportions, base compositions, and substitution patterns.</w:t>
      </w:r>
    </w:p>
    <w:p>
      <w:pPr>
        <w:spacing w:after="60" w:before="200"/>
      </w:pPr>
      <w:r>
        <w:rPr>
          <w:rFonts w:ascii="Cambria" w:cs="Cambria" w:eastAsia="Cambria" w:hAnsi="Cambria"/>
          <w:b/>
          <w:bCs/>
          <w:sz w:val="22"/>
          <w:szCs w:val="22"/>
        </w:rPr>
        <w:t xml:space="preserve">4. Original:</w:t>
      </w:r>
    </w:p>
    <w:p>
      <w:pPr>
        <w:spacing w:after="100"/>
        <w:ind w:left="360"/>
      </w:pPr>
      <w:r>
        <w:rPr>
          <w:rFonts w:ascii="Cambria" w:cs="Cambria" w:eastAsia="Cambria" w:hAnsi="Cambria"/>
          <w:i/>
          <w:iCs/>
          <w:color w:val="444444"/>
          <w:sz w:val="22"/>
          <w:szCs w:val="22"/>
        </w:rPr>
        <w:t xml:space="preserve">The number of different mechanisms that may exist for cells to interpret morphogens, and the importance of design features such as feedback or local cell-cell communication, is unclear.</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It remains unclear how many mechanisms cells use to interpret morphogens, or how important design features such as feedback and local cell-cell communication are.</w:t>
      </w:r>
    </w:p>
    <w:p>
      <w:pPr>
        <w:spacing w:after="60" w:before="200"/>
      </w:pPr>
      <w:r>
        <w:rPr>
          <w:rFonts w:ascii="Cambria" w:cs="Cambria" w:eastAsia="Cambria" w:hAnsi="Cambria"/>
          <w:b/>
          <w:bCs/>
          <w:sz w:val="22"/>
          <w:szCs w:val="22"/>
        </w:rPr>
        <w:t xml:space="preserve">5. Original:</w:t>
      </w:r>
    </w:p>
    <w:p>
      <w:pPr>
        <w:spacing w:after="100"/>
        <w:ind w:left="360"/>
      </w:pPr>
      <w:r>
        <w:rPr>
          <w:rFonts w:ascii="Cambria" w:cs="Cambria" w:eastAsia="Cambria" w:hAnsi="Cambria"/>
          <w:i/>
          <w:iCs/>
          <w:color w:val="444444"/>
          <w:sz w:val="22"/>
          <w:szCs w:val="22"/>
        </w:rPr>
        <w:t xml:space="preserve">Furthermore, the application of new technologies to further understand the biology of the adipocyte, including location analysis, global DNase hypersensitivity, high-throughput RNA-interference screens and computational strategies, promises to enhance our knowledge of this once-neglected cell.</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Furthermore, applying new technologies—including location analysis, global DNase hypersensitivity mapping, high-throughput RNA-interference screens, and computational strategies—promises to advance our understanding of this once-neglected cell type.</w:t>
      </w:r>
    </w:p>
    <w:p>
      <w:pPr>
        <w:spacing w:after="60" w:before="200"/>
      </w:pPr>
      <w:r>
        <w:rPr>
          <w:rFonts w:ascii="Cambria" w:cs="Cambria" w:eastAsia="Cambria" w:hAnsi="Cambria"/>
          <w:b/>
          <w:bCs/>
          <w:sz w:val="22"/>
          <w:szCs w:val="22"/>
        </w:rPr>
        <w:t xml:space="preserve">6. Original:</w:t>
      </w:r>
    </w:p>
    <w:p>
      <w:pPr>
        <w:spacing w:after="100"/>
        <w:ind w:left="360"/>
      </w:pPr>
      <w:r>
        <w:rPr>
          <w:rFonts w:ascii="Cambria" w:cs="Cambria" w:eastAsia="Cambria" w:hAnsi="Cambria"/>
          <w:i/>
          <w:iCs/>
          <w:color w:val="444444"/>
          <w:sz w:val="22"/>
          <w:szCs w:val="22"/>
        </w:rPr>
        <w:t xml:space="preserve">Indeed, in the mouse, the sequences of large noncoding RNAs, which probably have no 3' polyA tail, were reconstructed from the fragments of truncated cDNAs.</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Indeed, researchers reconstructed mouse sequences of large noncoding RNAs—which probably lack a 3' polyA tail—from fragments of truncated cDNAs.</w:t>
      </w:r>
    </w:p>
    <w:p>
      <w:pPr>
        <w:spacing w:after="60" w:before="200"/>
      </w:pPr>
      <w:r>
        <w:rPr>
          <w:rFonts w:ascii="Cambria" w:cs="Cambria" w:eastAsia="Cambria" w:hAnsi="Cambria"/>
          <w:b/>
          <w:bCs/>
          <w:sz w:val="22"/>
          <w:szCs w:val="22"/>
        </w:rPr>
        <w:t xml:space="preserve">7. Original:</w:t>
      </w:r>
    </w:p>
    <w:p>
      <w:pPr>
        <w:spacing w:after="100"/>
        <w:ind w:left="360"/>
      </w:pPr>
      <w:r>
        <w:rPr>
          <w:rFonts w:ascii="Cambria" w:cs="Cambria" w:eastAsia="Cambria" w:hAnsi="Cambria"/>
          <w:i/>
          <w:iCs/>
          <w:color w:val="444444"/>
          <w:sz w:val="22"/>
          <w:szCs w:val="22"/>
        </w:rPr>
        <w:t xml:space="preserve">Localized fluctuations in substitution rate are widely employed to draw inference concerning the phenotypic significance of genomic sequence.</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Researchers widely use localized fluctuations in substitution rate to infer the phenotypic significance of genomic sequences.</w:t>
      </w:r>
    </w:p>
    <w:p>
      <w:pPr>
        <w:spacing w:after="60" w:before="200"/>
      </w:pPr>
      <w:r>
        <w:rPr>
          <w:rFonts w:ascii="Cambria" w:cs="Cambria" w:eastAsia="Cambria" w:hAnsi="Cambria"/>
          <w:b/>
          <w:bCs/>
          <w:sz w:val="22"/>
          <w:szCs w:val="22"/>
        </w:rPr>
        <w:t xml:space="preserve">8. Original:</w:t>
      </w:r>
    </w:p>
    <w:p>
      <w:pPr>
        <w:spacing w:after="100"/>
        <w:ind w:left="360"/>
      </w:pPr>
      <w:r>
        <w:rPr>
          <w:rFonts w:ascii="Cambria" w:cs="Cambria" w:eastAsia="Cambria" w:hAnsi="Cambria"/>
          <w:i/>
          <w:iCs/>
          <w:color w:val="444444"/>
          <w:sz w:val="22"/>
          <w:szCs w:val="22"/>
        </w:rPr>
        <w:t xml:space="preserve">A number of promoters exhibited significant positive correlations between the footprinting estimated distribution of K and nucleosome score estimated from T-Cells.</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Several promoters showed significant positive correlations between the footprinting-estimated distribution of K and the nucleosome score estimated from T cells.</w:t>
      </w:r>
    </w:p>
    <w:p>
      <w:pPr>
        <w:spacing w:after="60" w:before="200"/>
      </w:pPr>
      <w:r>
        <w:rPr>
          <w:rFonts w:ascii="Cambria" w:cs="Cambria" w:eastAsia="Cambria" w:hAnsi="Cambria"/>
          <w:b/>
          <w:bCs/>
          <w:sz w:val="22"/>
          <w:szCs w:val="22"/>
        </w:rPr>
        <w:t xml:space="preserve">9. Original:</w:t>
      </w:r>
    </w:p>
    <w:p>
      <w:pPr>
        <w:spacing w:after="100"/>
        <w:ind w:left="360"/>
      </w:pPr>
      <w:r>
        <w:rPr>
          <w:rFonts w:ascii="Cambria" w:cs="Cambria" w:eastAsia="Cambria" w:hAnsi="Cambria"/>
          <w:i/>
          <w:iCs/>
          <w:color w:val="444444"/>
          <w:sz w:val="22"/>
          <w:szCs w:val="22"/>
        </w:rPr>
        <w:t xml:space="preserve">In this study, we subjected seven different primate species to comparative analysis of the radial distribution pattern of human chromosome 18- and 19-homologous chromatin by three-dimensional fluorescence in situ hybridization.</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In this study, we used three-dimensional fluorescence in situ hybridization to compare the radial distribution patterns of human chromosome 18- and 19-homologous chromatin across seven primate species.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2026-09-16T08:46:01.285Z</dcterms:created>
  <dcterms:modified xsi:type="dcterms:W3CDTF">2026-09-16T08:46:01.286Z</dcterms:modified>
</cp:coreProperties>
</file>

<file path=docProps/custom.xml><?xml version="1.0" encoding="utf-8"?>
<Properties xmlns="http://schemas.openxmlformats.org/officeDocument/2006/custom-properties" xmlns:vt="http://schemas.openxmlformats.org/officeDocument/2006/docPropsVTypes"/>
</file>