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mbria" w:cs="Cambria" w:eastAsia="Cambria" w:hAnsi="Cambria"/>
          <w:b/>
          <w:bCs/>
          <w:sz w:val="28"/>
          <w:szCs w:val="28"/>
        </w:rPr>
        <w:t xml:space="preserve">Worksheet – Lesson 2: Cohesion, Coherence, and Emphasis</w:t>
      </w:r>
    </w:p>
    <w:p>
      <w:pPr>
        <w:spacing w:after="100" w:before="200"/>
      </w:pPr>
      <w:r>
        <w:rPr>
          <w:rFonts w:ascii="Cambria" w:cs="Cambria" w:eastAsia="Cambria" w:hAnsi="Cambria"/>
          <w:b/>
          <w:bCs/>
          <w:sz w:val="24"/>
          <w:szCs w:val="24"/>
        </w:rPr>
        <w:t xml:space="preserve">Principles:</w:t>
      </w:r>
    </w:p>
    <w:p>
      <w:pPr>
        <w:pStyle w:val="ListParagraph"/>
        <w:numPr>
          <w:ilvl w:val="0"/>
          <w:numId w:val="1"/>
        </w:numPr>
        <w:spacing w:after="60"/>
      </w:pPr>
      <w:r>
        <w:rPr>
          <w:rFonts w:ascii="Cambria" w:cs="Cambria" w:eastAsia="Cambria" w:hAnsi="Cambria"/>
          <w:b w:val="false"/>
          <w:bCs w:val="false"/>
          <w:sz w:val="22"/>
          <w:szCs w:val="22"/>
        </w:rPr>
        <w:t xml:space="preserve">Put new information last</w:t>
      </w:r>
    </w:p>
    <w:p>
      <w:pPr>
        <w:pStyle w:val="ListParagraph"/>
        <w:numPr>
          <w:ilvl w:val="0"/>
          <w:numId w:val="1"/>
        </w:numPr>
        <w:spacing w:after="60"/>
      </w:pPr>
      <w:r>
        <w:rPr>
          <w:rFonts w:ascii="Cambria" w:cs="Cambria" w:eastAsia="Cambria" w:hAnsi="Cambria"/>
          <w:b w:val="false"/>
          <w:bCs w:val="false"/>
          <w:sz w:val="22"/>
          <w:szCs w:val="22"/>
        </w:rPr>
        <w:t xml:space="preserve">Use passive voice judiciously</w:t>
      </w:r>
    </w:p>
    <w:p>
      <w:pPr>
        <w:pStyle w:val="ListParagraph"/>
        <w:numPr>
          <w:ilvl w:val="0"/>
          <w:numId w:val="1"/>
        </w:numPr>
        <w:spacing w:after="60"/>
      </w:pPr>
      <w:r>
        <w:rPr>
          <w:rFonts w:ascii="Cambria" w:cs="Cambria" w:eastAsia="Cambria" w:hAnsi="Cambria"/>
          <w:b w:val="false"/>
          <w:bCs w:val="false"/>
          <w:sz w:val="22"/>
          <w:szCs w:val="22"/>
        </w:rPr>
        <w:t xml:space="preserve">Make sure the first and last sentences of a paragraph match</w:t>
      </w:r>
    </w:p>
    <w:p>
      <w:pPr>
        <w:pBdr>
          <w:bottom w:val="single" w:color="AAAAAA" w:sz="6"/>
        </w:pBdr>
        <w:spacing w:after="120"/>
      </w:pPr>
      <w:r>
        <w:t xml:space="preserve"/>
      </w:r>
    </w:p>
    <w:p>
      <w:pPr>
        <w:spacing w:after="100" w:before="200"/>
      </w:pPr>
      <w:r>
        <w:rPr>
          <w:rFonts w:ascii="Cambria" w:cs="Cambria" w:eastAsia="Cambria" w:hAnsi="Cambria"/>
          <w:b/>
          <w:bCs/>
          <w:sz w:val="24"/>
          <w:szCs w:val="24"/>
        </w:rPr>
        <w:t xml:space="preserve">Exercises</w:t>
      </w:r>
    </w:p>
    <w:p>
      <w:pPr>
        <w:spacing w:after="160"/>
      </w:pPr>
      <w:r>
        <w:rPr>
          <w:rFonts w:ascii="Cambria" w:cs="Cambria" w:eastAsia="Cambria" w:hAnsi="Cambria"/>
          <w:i/>
          <w:iCs/>
          <w:sz w:val="22"/>
          <w:szCs w:val="22"/>
        </w:rPr>
        <w:t xml:space="preserve">Revise each sentence or passage using the principles above.</w:t>
      </w:r>
    </w:p>
    <w:p>
      <w:pPr>
        <w:spacing w:after="60" w:before="200"/>
      </w:pPr>
      <w:r>
        <w:rPr>
          <w:rFonts w:ascii="Cambria" w:cs="Cambria" w:eastAsia="Cambria" w:hAnsi="Cambria"/>
          <w:b/>
          <w:bCs/>
          <w:sz w:val="22"/>
          <w:szCs w:val="22"/>
        </w:rPr>
        <w:t xml:space="preserve">1. Original:</w:t>
      </w:r>
    </w:p>
    <w:p>
      <w:pPr>
        <w:spacing w:after="100"/>
        <w:ind w:left="360"/>
      </w:pPr>
      <w:r>
        <w:rPr>
          <w:rFonts w:ascii="Cambria" w:cs="Cambria" w:eastAsia="Cambria" w:hAnsi="Cambria"/>
          <w:i/>
          <w:iCs/>
          <w:color w:val="444444"/>
          <w:sz w:val="22"/>
          <w:szCs w:val="22"/>
        </w:rPr>
        <w:t xml:space="preserve">These data were then subjected to hierarchical clustering using the Pearson correlation as the distance metric.</w:t>
      </w:r>
    </w:p>
    <w:p>
      <w:pPr>
        <w:spacing w:after="60"/>
      </w:pPr>
      <w:r>
        <w:rPr>
          <w:rFonts w:ascii="Cambria" w:cs="Cambria" w:eastAsia="Cambria" w:hAnsi="Cambria"/>
          <w:b/>
          <w:bCs/>
          <w:sz w:val="22"/>
          <w:szCs w:val="22"/>
        </w:rPr>
        <w:t xml:space="preserve">Revised:</w:t>
      </w:r>
    </w:p>
    <w:p>
      <w:pPr>
        <w:spacing w:after="160"/>
        <w:ind w:left="360"/>
      </w:pPr>
      <w:r>
        <w:rPr>
          <w:rFonts w:ascii="Cambria" w:cs="Cambria" w:eastAsia="Cambria" w:hAnsi="Cambria"/>
          <w:color w:val="1A5276"/>
          <w:sz w:val="22"/>
          <w:szCs w:val="22"/>
        </w:rPr>
        <w:t xml:space="preserve">We then clustered these data hierarchically, using Pearson correlation as the distance metric.</w:t>
      </w:r>
    </w:p>
    <w:p>
      <w:pPr>
        <w:spacing w:after="60" w:before="200"/>
      </w:pPr>
      <w:r>
        <w:rPr>
          <w:rFonts w:ascii="Cambria" w:cs="Cambria" w:eastAsia="Cambria" w:hAnsi="Cambria"/>
          <w:b/>
          <w:bCs/>
          <w:sz w:val="22"/>
          <w:szCs w:val="22"/>
        </w:rPr>
        <w:t xml:space="preserve">2. Original:</w:t>
      </w:r>
    </w:p>
    <w:p>
      <w:pPr>
        <w:spacing w:after="100"/>
        <w:ind w:left="360"/>
      </w:pPr>
      <w:r>
        <w:rPr>
          <w:rFonts w:ascii="Cambria" w:cs="Cambria" w:eastAsia="Cambria" w:hAnsi="Cambria"/>
          <w:i/>
          <w:iCs/>
          <w:color w:val="444444"/>
          <w:sz w:val="22"/>
          <w:szCs w:val="22"/>
        </w:rPr>
        <w:t xml:space="preserve">We designated the putative GRB target genes as the human TFs that were under a HCNE density peak and whose orthologs were in conserved synteny with an array of HCNEs in human:zebrafish alignments. Density peaks and syntenic regions were downloaded from the Ancora Genome Browser.</w:t>
      </w:r>
    </w:p>
    <w:p>
      <w:pPr>
        <w:spacing w:after="60"/>
      </w:pPr>
      <w:r>
        <w:rPr>
          <w:rFonts w:ascii="Cambria" w:cs="Cambria" w:eastAsia="Cambria" w:hAnsi="Cambria"/>
          <w:b/>
          <w:bCs/>
          <w:sz w:val="22"/>
          <w:szCs w:val="22"/>
        </w:rPr>
        <w:t xml:space="preserve">Revised:</w:t>
      </w:r>
    </w:p>
    <w:p>
      <w:pPr>
        <w:spacing w:after="160"/>
        <w:ind w:left="360"/>
      </w:pPr>
      <w:r>
        <w:rPr>
          <w:rFonts w:ascii="Cambria" w:cs="Cambria" w:eastAsia="Cambria" w:hAnsi="Cambria"/>
          <w:color w:val="1A5276"/>
          <w:sz w:val="22"/>
          <w:szCs w:val="22"/>
        </w:rPr>
        <w:t xml:space="preserve">We designated as putative GRB target genes those human TFs beneath an HCNE density peak whose orthologs showed conserved synteny with an array of HCNEs in human–zebrafish alignments. We downloaded density peaks and syntenic regions from the Ancora Genome Browser.</w:t>
      </w:r>
    </w:p>
    <w:p>
      <w:pPr>
        <w:spacing w:after="60" w:before="200"/>
      </w:pPr>
      <w:r>
        <w:rPr>
          <w:rFonts w:ascii="Cambria" w:cs="Cambria" w:eastAsia="Cambria" w:hAnsi="Cambria"/>
          <w:b/>
          <w:bCs/>
          <w:sz w:val="22"/>
          <w:szCs w:val="22"/>
        </w:rPr>
        <w:t xml:space="preserve">3. Original:</w:t>
      </w:r>
    </w:p>
    <w:p>
      <w:pPr>
        <w:spacing w:after="100"/>
        <w:ind w:left="360"/>
      </w:pPr>
      <w:r>
        <w:rPr>
          <w:rFonts w:ascii="Cambria" w:cs="Cambria" w:eastAsia="Cambria" w:hAnsi="Cambria"/>
          <w:i/>
          <w:iCs/>
          <w:color w:val="444444"/>
          <w:sz w:val="22"/>
          <w:szCs w:val="22"/>
        </w:rPr>
        <w:t xml:space="preserve">By analyzing all of the available mouse cDNA sequences, it was found that the mouse genome encodes at least 44 000 distinct transcriptional units; a transcriptional unit comprises all the RNAs that share a common exonic sequence transcribed from the same genomic strand.</w:t>
      </w:r>
    </w:p>
    <w:p>
      <w:pPr>
        <w:spacing w:after="60"/>
      </w:pPr>
      <w:r>
        <w:rPr>
          <w:rFonts w:ascii="Cambria" w:cs="Cambria" w:eastAsia="Cambria" w:hAnsi="Cambria"/>
          <w:b/>
          <w:bCs/>
          <w:sz w:val="22"/>
          <w:szCs w:val="22"/>
        </w:rPr>
        <w:t xml:space="preserve">Revised:</w:t>
      </w:r>
    </w:p>
    <w:p>
      <w:pPr>
        <w:spacing w:after="160"/>
        <w:ind w:left="360"/>
      </w:pPr>
      <w:r>
        <w:rPr>
          <w:rFonts w:ascii="Cambria" w:cs="Cambria" w:eastAsia="Cambria" w:hAnsi="Cambria"/>
          <w:color w:val="1A5276"/>
          <w:sz w:val="22"/>
          <w:szCs w:val="22"/>
        </w:rPr>
        <w:t xml:space="preserve">By analyzing all available mouse cDNA sequences, we found that the mouse genome encodes at least 44,000 distinct transcriptional units—each comprising all RNAs that share a common exonic sequence transcribed from the same genomic strand.</w:t>
      </w:r>
    </w:p>
    <w:p>
      <w:pPr>
        <w:spacing w:after="60" w:before="200"/>
      </w:pPr>
      <w:r>
        <w:rPr>
          <w:rFonts w:ascii="Cambria" w:cs="Cambria" w:eastAsia="Cambria" w:hAnsi="Cambria"/>
          <w:b/>
          <w:bCs/>
          <w:sz w:val="22"/>
          <w:szCs w:val="22"/>
        </w:rPr>
        <w:t xml:space="preserve">4. Original:</w:t>
      </w:r>
    </w:p>
    <w:p>
      <w:pPr>
        <w:spacing w:after="100"/>
        <w:ind w:left="360"/>
      </w:pPr>
      <w:r>
        <w:rPr>
          <w:rFonts w:ascii="Cambria" w:cs="Cambria" w:eastAsia="Cambria" w:hAnsi="Cambria"/>
          <w:i/>
          <w:iCs/>
          <w:color w:val="444444"/>
          <w:sz w:val="22"/>
          <w:szCs w:val="22"/>
        </w:rPr>
        <w:t xml:space="preserve">Improvements are expected in the predictive power of all the scores being computed on multispecies alignments.</w:t>
      </w:r>
    </w:p>
    <w:p>
      <w:pPr>
        <w:spacing w:after="60"/>
      </w:pPr>
      <w:r>
        <w:rPr>
          <w:rFonts w:ascii="Cambria" w:cs="Cambria" w:eastAsia="Cambria" w:hAnsi="Cambria"/>
          <w:b/>
          <w:bCs/>
          <w:sz w:val="22"/>
          <w:szCs w:val="22"/>
        </w:rPr>
        <w:t xml:space="preserve">Revised:</w:t>
      </w:r>
    </w:p>
    <w:p>
      <w:pPr>
        <w:spacing w:after="160"/>
        <w:ind w:left="360"/>
      </w:pPr>
      <w:r>
        <w:rPr>
          <w:rFonts w:ascii="Cambria" w:cs="Cambria" w:eastAsia="Cambria" w:hAnsi="Cambria"/>
          <w:color w:val="1A5276"/>
          <w:sz w:val="22"/>
          <w:szCs w:val="22"/>
        </w:rPr>
        <w:t xml:space="preserve">The predictive power of all scores is expected to improve when computed on multispecies alignments.</w:t>
      </w:r>
    </w:p>
    <w:p>
      <w:pPr>
        <w:spacing w:after="60" w:before="200"/>
      </w:pPr>
      <w:r>
        <w:rPr>
          <w:rFonts w:ascii="Cambria" w:cs="Cambria" w:eastAsia="Cambria" w:hAnsi="Cambria"/>
          <w:b/>
          <w:bCs/>
          <w:sz w:val="22"/>
          <w:szCs w:val="22"/>
        </w:rPr>
        <w:t xml:space="preserve">5. Original:</w:t>
      </w:r>
    </w:p>
    <w:p>
      <w:pPr>
        <w:spacing w:after="100"/>
        <w:ind w:left="360"/>
      </w:pPr>
      <w:r>
        <w:rPr>
          <w:rFonts w:ascii="Cambria" w:cs="Cambria" w:eastAsia="Cambria" w:hAnsi="Cambria"/>
          <w:i/>
          <w:iCs/>
          <w:color w:val="444444"/>
          <w:sz w:val="22"/>
          <w:szCs w:val="22"/>
        </w:rPr>
        <w:t xml:space="preserve">With the development of molecular embryology and the coming of the post-genomic era, the molecular mechanisms of morphological evolution have recently begun to be elucidated.</w:t>
      </w:r>
    </w:p>
    <w:p>
      <w:pPr>
        <w:spacing w:after="60"/>
      </w:pPr>
      <w:r>
        <w:rPr>
          <w:rFonts w:ascii="Cambria" w:cs="Cambria" w:eastAsia="Cambria" w:hAnsi="Cambria"/>
          <w:b/>
          <w:bCs/>
          <w:sz w:val="22"/>
          <w:szCs w:val="22"/>
        </w:rPr>
        <w:t xml:space="preserve">Revised:</w:t>
      </w:r>
    </w:p>
    <w:p>
      <w:pPr>
        <w:spacing w:after="160"/>
        <w:ind w:left="360"/>
      </w:pPr>
      <w:r>
        <w:rPr>
          <w:rFonts w:ascii="Cambria" w:cs="Cambria" w:eastAsia="Cambria" w:hAnsi="Cambria"/>
          <w:color w:val="1A5276"/>
          <w:sz w:val="22"/>
          <w:szCs w:val="22"/>
        </w:rPr>
        <w:t xml:space="preserve">The development of molecular embryology and the post-genomic era have recently enabled researchers to begin elucidating the molecular mechanisms of morphological evolution.</w:t>
      </w:r>
    </w:p>
    <w:p>
      <w:pPr>
        <w:spacing w:after="60" w:before="200"/>
      </w:pPr>
      <w:r>
        <w:rPr>
          <w:rFonts w:ascii="Cambria" w:cs="Cambria" w:eastAsia="Cambria" w:hAnsi="Cambria"/>
          <w:b/>
          <w:bCs/>
          <w:sz w:val="22"/>
          <w:szCs w:val="22"/>
        </w:rPr>
        <w:t xml:space="preserve">6. Original:</w:t>
      </w:r>
    </w:p>
    <w:p>
      <w:pPr>
        <w:spacing w:after="100"/>
        <w:ind w:left="360"/>
      </w:pPr>
      <w:r>
        <w:rPr>
          <w:rFonts w:ascii="Cambria" w:cs="Cambria" w:eastAsia="Cambria" w:hAnsi="Cambria"/>
          <w:i/>
          <w:iCs/>
          <w:color w:val="444444"/>
          <w:sz w:val="22"/>
          <w:szCs w:val="22"/>
        </w:rPr>
        <w:t xml:space="preserve">To assess the degree of enrichment of enhancer activities in predicted tissues, we compared the relative frequency of enhancers for each of the three tissues examined here with a background set of 528 previously tested sequences predicted to be developmental enhancers on the basis of extreme sequence constraint that were not associated with a prior tissue specificity prediction.</w:t>
      </w:r>
    </w:p>
    <w:p>
      <w:pPr>
        <w:spacing w:after="60"/>
      </w:pPr>
      <w:r>
        <w:rPr>
          <w:rFonts w:ascii="Cambria" w:cs="Cambria" w:eastAsia="Cambria" w:hAnsi="Cambria"/>
          <w:b/>
          <w:bCs/>
          <w:sz w:val="22"/>
          <w:szCs w:val="22"/>
        </w:rPr>
        <w:t xml:space="preserve">Revised:</w:t>
      </w:r>
    </w:p>
    <w:p>
      <w:pPr>
        <w:spacing w:after="160"/>
        <w:ind w:left="360"/>
      </w:pPr>
      <w:r>
        <w:rPr>
          <w:rFonts w:ascii="Cambria" w:cs="Cambria" w:eastAsia="Cambria" w:hAnsi="Cambria"/>
          <w:color w:val="1A5276"/>
          <w:sz w:val="22"/>
          <w:szCs w:val="22"/>
        </w:rPr>
        <w:t xml:space="preserve">To assess enhancer enrichment in predicted tissues, we compared the frequency of enhancers in each of the three tissues against a background of 528 previously tested sequences—predicted developmental enhancers based on extreme sequence constraint—that lacked any prior tissue-specificity prediction.</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2026-09-16T08:46:01.290Z</dcterms:created>
  <dcterms:modified xsi:type="dcterms:W3CDTF">2026-09-16T08:46:01.290Z</dcterms:modified>
</cp:coreProperties>
</file>

<file path=docProps/custom.xml><?xml version="1.0" encoding="utf-8"?>
<Properties xmlns="http://schemas.openxmlformats.org/officeDocument/2006/custom-properties" xmlns:vt="http://schemas.openxmlformats.org/officeDocument/2006/docPropsVTypes"/>
</file>