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i/>
          <w:iCs/>
          <w:color w:val="595959"/>
          <w:sz w:val="22"/>
          <w:szCs w:val="22"/>
        </w:rPr>
        <w:t xml:space="preserve">CSE 6093 — Research Methodology &amp; Technical Writing</w:t>
      </w:r>
    </w:p>
    <w:p>
      <w:pPr>
        <w:spacing w:after="60" w:before="60"/>
        <w:jc w:val="center"/>
      </w:pPr>
      <w:r>
        <w:rPr>
          <w:rFonts w:ascii="Calibri" w:cs="Calibri" w:eastAsia="Calibri" w:hAnsi="Calibri"/>
          <w:b/>
          <w:bCs/>
          <w:color w:val="1F3864"/>
          <w:sz w:val="48"/>
          <w:szCs w:val="48"/>
        </w:rPr>
        <w:t xml:space="preserve">FINAL EXAM STUDY GUIDE</w:t>
      </w:r>
    </w:p>
    <w:p>
      <w:pPr>
        <w:spacing w:after="100" w:before="0"/>
        <w:jc w:val="center"/>
      </w:pPr>
      <w:r>
        <w:rPr>
          <w:rFonts w:ascii="Calibri" w:cs="Calibri" w:eastAsia="Calibri" w:hAnsi="Calibri"/>
          <w:i/>
          <w:iCs/>
          <w:color w:val="2E74B5"/>
          <w:sz w:val="28"/>
          <w:szCs w:val="28"/>
        </w:rPr>
        <w:t xml:space="preserve">Four Research Papers · Complete Preparation Package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DEEAF1" w:val="clear"/>
            <w:tcMar>
              <w:top w:type="dxa" w:w="80"/>
              <w:left w:type="dxa" w:w="120"/>
              <w:bottom w:type="dxa" w:w="80"/>
              <w:right w:type="dxa" w:w="120"/>
            </w:tcMar>
          </w:tcPr>
          <w:p>
            <w:pPr>
              <w:spacing w:after="60" w:before="40"/>
            </w:pPr>
            <w:r>
              <w:rPr>
                <w:rFonts w:ascii="Calibri" w:cs="Calibri" w:eastAsia="Calibri" w:hAnsi="Calibri"/>
                <w:b/>
                <w:bCs/>
                <w:color w:val="1F3864"/>
                <w:sz w:val="24"/>
                <w:szCs w:val="24"/>
              </w:rPr>
              <w:t xml:space="preserve">What's inside this guide</w:t>
            </w:r>
          </w:p>
          <w:p>
            <w:pPr>
              <w:spacing w:after="30" w:before="30"/>
              <w:ind w:left="288"/>
            </w:pPr>
            <w:r>
              <w:rPr>
                <w:rFonts w:ascii="Calibri" w:cs="Calibri" w:eastAsia="Calibri" w:hAnsi="Calibri"/>
                <w:b/>
                <w:bCs/>
                <w:color w:val="1F3864"/>
                <w:sz w:val="22"/>
                <w:szCs w:val="22"/>
              </w:rPr>
              <w:t xml:space="preserve">•  </w:t>
            </w:r>
            <w:r>
              <w:rPr>
                <w:rFonts w:ascii="Calibri" w:cs="Calibri" w:eastAsia="Calibri" w:hAnsi="Calibri"/>
                <w:color w:val="1F3864"/>
                <w:sz w:val="22"/>
                <w:szCs w:val="22"/>
              </w:rPr>
              <w:t xml:space="preserve">Quick-Reference Cheat Sheet for all 4 papers (key stats at a glance)</w:t>
            </w:r>
          </w:p>
          <w:p>
            <w:pPr>
              <w:spacing w:after="30" w:before="30"/>
              <w:ind w:left="288"/>
            </w:pPr>
            <w:r>
              <w:rPr>
                <w:rFonts w:ascii="Calibri" w:cs="Calibri" w:eastAsia="Calibri" w:hAnsi="Calibri"/>
                <w:b/>
                <w:bCs/>
                <w:color w:val="1F3864"/>
                <w:sz w:val="22"/>
                <w:szCs w:val="22"/>
              </w:rPr>
              <w:t xml:space="preserve">•  </w:t>
            </w:r>
            <w:r>
              <w:rPr>
                <w:rFonts w:ascii="Calibri" w:cs="Calibri" w:eastAsia="Calibri" w:hAnsi="Calibri"/>
                <w:color w:val="1F3864"/>
                <w:sz w:val="22"/>
                <w:szCs w:val="22"/>
              </w:rPr>
              <w:t xml:space="preserve">Paper-at-a-Glance summaries (Problem → Gap → Method → Results → Impact)</w:t>
            </w:r>
          </w:p>
          <w:p>
            <w:pPr>
              <w:spacing w:after="30" w:before="30"/>
              <w:ind w:left="288"/>
            </w:pPr>
            <w:r>
              <w:rPr>
                <w:rFonts w:ascii="Calibri" w:cs="Calibri" w:eastAsia="Calibri" w:hAnsi="Calibri"/>
                <w:b/>
                <w:bCs/>
                <w:color w:val="1F3864"/>
                <w:sz w:val="22"/>
                <w:szCs w:val="22"/>
              </w:rPr>
              <w:t xml:space="preserve">•  </w:t>
            </w:r>
            <w:r>
              <w:rPr>
                <w:rFonts w:ascii="Calibri" w:cs="Calibri" w:eastAsia="Calibri" w:hAnsi="Calibri"/>
                <w:color w:val="1F3864"/>
                <w:sz w:val="22"/>
                <w:szCs w:val="22"/>
              </w:rPr>
              <w:t xml:space="preserve">60 Exam Questions with full 2–5 sentence answers (15 per paper)</w:t>
            </w:r>
          </w:p>
          <w:p>
            <w:pPr>
              <w:spacing w:after="30" w:before="30"/>
              <w:ind w:left="288"/>
            </w:pPr>
            <w:r>
              <w:rPr>
                <w:rFonts w:ascii="Calibri" w:cs="Calibri" w:eastAsia="Calibri" w:hAnsi="Calibri"/>
                <w:b/>
                <w:bCs/>
                <w:color w:val="1F3864"/>
                <w:sz w:val="22"/>
                <w:szCs w:val="22"/>
              </w:rPr>
              <w:t xml:space="preserve">•  </w:t>
            </w:r>
            <w:r>
              <w:rPr>
                <w:rFonts w:ascii="Calibri" w:cs="Calibri" w:eastAsia="Calibri" w:hAnsi="Calibri"/>
                <w:color w:val="1F3864"/>
                <w:sz w:val="22"/>
                <w:szCs w:val="22"/>
              </w:rPr>
              <w:t xml:space="preserve">4 Answer Keys for quick self-testing</w:t>
            </w:r>
          </w:p>
          <w:p>
            <w:pPr>
              <w:spacing w:after="30" w:before="30"/>
              <w:ind w:left="288"/>
            </w:pPr>
            <w:r>
              <w:rPr>
                <w:rFonts w:ascii="Calibri" w:cs="Calibri" w:eastAsia="Calibri" w:hAnsi="Calibri"/>
                <w:b/>
                <w:bCs/>
                <w:color w:val="1F3864"/>
                <w:sz w:val="22"/>
                <w:szCs w:val="22"/>
              </w:rPr>
              <w:t xml:space="preserve">•  </w:t>
            </w:r>
            <w:r>
              <w:rPr>
                <w:rFonts w:ascii="Calibri" w:cs="Calibri" w:eastAsia="Calibri" w:hAnsi="Calibri"/>
                <w:color w:val="1F3864"/>
                <w:sz w:val="22"/>
                <w:szCs w:val="22"/>
              </w:rPr>
              <w:t xml:space="preserve">9-aspect Cross-Paper Comparison Table</w:t>
            </w:r>
          </w:p>
          <w:p>
            <w:pPr>
              <w:spacing w:after="30" w:before="30"/>
              <w:ind w:left="288"/>
            </w:pPr>
            <w:r>
              <w:rPr>
                <w:rFonts w:ascii="Calibri" w:cs="Calibri" w:eastAsia="Calibri" w:hAnsi="Calibri"/>
                <w:b/>
                <w:bCs/>
                <w:color w:val="1F3864"/>
                <w:sz w:val="22"/>
                <w:szCs w:val="22"/>
              </w:rPr>
              <w:t xml:space="preserve">•  </w:t>
            </w:r>
            <w:r>
              <w:rPr>
                <w:rFonts w:ascii="Calibri" w:cs="Calibri" w:eastAsia="Calibri" w:hAnsi="Calibri"/>
                <w:color w:val="1F3864"/>
                <w:sz w:val="22"/>
                <w:szCs w:val="22"/>
              </w:rPr>
              <w:t xml:space="preserve">Common Exam Traps &amp; Pitfalls (5 per paper)</w:t>
            </w:r>
          </w:p>
          <w:p>
            <w:pPr>
              <w:spacing w:after="30" w:before="30"/>
              <w:ind w:left="288"/>
            </w:pPr>
            <w:r>
              <w:rPr>
                <w:rFonts w:ascii="Calibri" w:cs="Calibri" w:eastAsia="Calibri" w:hAnsi="Calibri"/>
                <w:b/>
                <w:bCs/>
                <w:color w:val="1F3864"/>
                <w:sz w:val="22"/>
                <w:szCs w:val="22"/>
              </w:rPr>
              <w:t xml:space="preserve">•  </w:t>
            </w:r>
            <w:r>
              <w:rPr>
                <w:rFonts w:ascii="Calibri" w:cs="Calibri" w:eastAsia="Calibri" w:hAnsi="Calibri"/>
                <w:color w:val="1F3864"/>
                <w:sz w:val="22"/>
                <w:szCs w:val="22"/>
              </w:rPr>
              <w:t xml:space="preserve">Glossary of Key Technical Terms (per paper)</w:t>
            </w:r>
          </w:p>
          <w:p>
            <w:pPr>
              <w:spacing w:before="20"/>
            </w:pPr>
          </w:p>
        </w:tc>
      </w:tr>
    </w:tbl>
    <w:p>
      <w:pPr>
        <w:spacing w:after="60" w:before="120"/>
        <w:jc w:val="center"/>
      </w:pPr>
      <w:r>
        <w:rPr>
          <w:rFonts w:ascii="Calibri" w:cs="Calibri" w:eastAsia="Calibri" w:hAnsi="Calibri"/>
          <w:i/>
          <w:iCs/>
          <w:color w:val="595959"/>
          <w:sz w:val="22"/>
          <w:szCs w:val="22"/>
        </w:rPr>
        <w:t xml:space="preserve">October 2026</w:t>
      </w:r>
    </w:p>
    <w:p>
      <w:r>
        <w:br w:type="page"/>
      </w:r>
    </w:p>
    <w:p>
      <w:pPr>
        <w:pBdr>
          <w:bottom w:val="single" w:color="1F3864" w:sz="6" w:space="1"/>
        </w:pBdr>
        <w:spacing w:after="120" w:before="320"/>
      </w:pPr>
      <w:r>
        <w:rPr>
          <w:rFonts w:ascii="Calibri" w:cs="Calibri" w:eastAsia="Calibri" w:hAnsi="Calibri"/>
          <w:b/>
          <w:bCs/>
          <w:color w:val="1F3864"/>
          <w:sz w:val="34"/>
          <w:szCs w:val="34"/>
        </w:rPr>
        <w:t xml:space="preserve">Quick-Reference Cheat Sheet — All 4 Papers</w:t>
      </w:r>
    </w:p>
    <w:p>
      <w:pPr>
        <w:spacing w:after="60" w:before="40"/>
        <w:jc w:val="left"/>
      </w:pPr>
      <w:r>
        <w:rPr>
          <w:rFonts w:ascii="Calibri" w:cs="Calibri" w:eastAsia="Calibri" w:hAnsi="Calibri"/>
          <w:b w:val="false"/>
          <w:bCs w:val="false"/>
          <w:i/>
          <w:iCs/>
          <w:color w:val="595959"/>
          <w:sz w:val="22"/>
          <w:szCs w:val="22"/>
        </w:rPr>
        <w:t xml:space="preserve">Use this page first for rapid revision. Each cell contains the most exam-critical fact.</w:t>
      </w:r>
    </w:p>
    <w:p>
      <w:pPr>
        <w:spacing w:after="60"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1916"/>
        <w:gridCol w:w="1916"/>
        <w:gridCol w:w="1916"/>
        <w:gridCol w:w="1916"/>
      </w:tblGrid>
      <w:tr>
        <w:trPr>
          <w:tblHeader/>
        </w:trPr>
        <w:tc>
          <w:tcPr>
            <w:tcW w:type="dxa" w:w="1683"/>
            <w:shd w:fill="1F3864" w:val="clear"/>
          </w:tcPr>
          <w:p>
            <w:pPr>
              <w:spacing w:after="40" w:before="40"/>
            </w:pPr>
            <w:r>
              <w:rPr>
                <w:rFonts w:ascii="Calibri" w:cs="Calibri" w:eastAsia="Calibri" w:hAnsi="Calibri"/>
                <w:b/>
                <w:bCs/>
                <w:color w:val="FFFFFF"/>
                <w:sz w:val="18"/>
                <w:szCs w:val="18"/>
              </w:rPr>
              <w:t xml:space="preserve">Item</w:t>
            </w:r>
          </w:p>
        </w:tc>
        <w:tc>
          <w:tcPr>
            <w:tcW w:type="dxa" w:w="1916"/>
            <w:shd w:fill="1F3864" w:val="clear"/>
          </w:tcPr>
          <w:p>
            <w:pPr>
              <w:spacing w:after="40" w:before="40"/>
            </w:pPr>
            <w:r>
              <w:rPr>
                <w:rFonts w:ascii="Calibri" w:cs="Calibri" w:eastAsia="Calibri" w:hAnsi="Calibri"/>
                <w:b/>
                <w:bCs/>
                <w:color w:val="FFFFFF"/>
                <w:sz w:val="18"/>
                <w:szCs w:val="18"/>
              </w:rPr>
              <w:t xml:space="preserve">Paper 1 (Solar/Carbon)</w:t>
            </w:r>
          </w:p>
        </w:tc>
        <w:tc>
          <w:tcPr>
            <w:tcW w:type="dxa" w:w="1916"/>
            <w:shd w:fill="1F3864" w:val="clear"/>
          </w:tcPr>
          <w:p>
            <w:pPr>
              <w:spacing w:after="40" w:before="40"/>
            </w:pPr>
            <w:r>
              <w:rPr>
                <w:rFonts w:ascii="Calibri" w:cs="Calibri" w:eastAsia="Calibri" w:hAnsi="Calibri"/>
                <w:b/>
                <w:bCs/>
                <w:color w:val="FFFFFF"/>
                <w:sz w:val="18"/>
                <w:szCs w:val="18"/>
              </w:rPr>
              <w:t xml:space="preserve">Paper 2 (CMED Feasibility)</w:t>
            </w:r>
          </w:p>
        </w:tc>
        <w:tc>
          <w:tcPr>
            <w:tcW w:type="dxa" w:w="1916"/>
            <w:shd w:fill="1F3864" w:val="clear"/>
          </w:tcPr>
          <w:p>
            <w:pPr>
              <w:spacing w:after="40" w:before="40"/>
            </w:pPr>
            <w:r>
              <w:rPr>
                <w:rFonts w:ascii="Calibri" w:cs="Calibri" w:eastAsia="Calibri" w:hAnsi="Calibri"/>
                <w:b/>
                <w:bCs/>
                <w:color w:val="FFFFFF"/>
                <w:sz w:val="18"/>
                <w:szCs w:val="18"/>
              </w:rPr>
              <w:t xml:space="preserve">Paper 3 (SuSastho.AI)</w:t>
            </w:r>
          </w:p>
        </w:tc>
        <w:tc>
          <w:tcPr>
            <w:tcW w:type="dxa" w:w="1916"/>
            <w:shd w:fill="1F3864" w:val="clear"/>
          </w:tcPr>
          <w:p>
            <w:pPr>
              <w:spacing w:after="40" w:before="40"/>
            </w:pPr>
            <w:r>
              <w:rPr>
                <w:rFonts w:ascii="Calibri" w:cs="Calibri" w:eastAsia="Calibri" w:hAnsi="Calibri"/>
                <w:b/>
                <w:bCs/>
                <w:color w:val="FFFFFF"/>
                <w:sz w:val="18"/>
                <w:szCs w:val="18"/>
              </w:rPr>
              <w:t xml:space="preserve">Paper 4 (IGP/CHW Efficacy)</w:t>
            </w:r>
          </w:p>
        </w:tc>
      </w:tr>
      <w:tr>
        <w:tc>
          <w:tcPr>
            <w:tcW w:type="dxa" w:w="1683"/>
            <w:shd w:fill="DEEAF1" w:val="clear"/>
          </w:tcPr>
          <w:p>
            <w:pPr>
              <w:spacing w:after="30" w:before="30"/>
            </w:pPr>
            <w:r>
              <w:rPr>
                <w:rFonts w:ascii="Calibri" w:cs="Calibri" w:eastAsia="Calibri" w:hAnsi="Calibri"/>
                <w:b/>
                <w:bCs/>
                <w:color w:val="2E74B5"/>
                <w:sz w:val="18"/>
                <w:szCs w:val="18"/>
              </w:rPr>
              <w:t xml:space="preserve">Year/Venue</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IET RPG 2026</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HCII LNCS 2019</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IMU 2026</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BMC Public Health 2025</w:t>
            </w:r>
          </w:p>
        </w:tc>
      </w:tr>
      <w:tr>
        <w:tc>
          <w:tcPr>
            <w:tcW w:type="dxa" w:w="1683"/>
          </w:tcPr>
          <w:p>
            <w:pPr>
              <w:spacing w:after="30" w:before="30"/>
            </w:pPr>
            <w:r>
              <w:rPr>
                <w:rFonts w:ascii="Calibri" w:cs="Calibri" w:eastAsia="Calibri" w:hAnsi="Calibri"/>
                <w:b/>
                <w:bCs/>
                <w:color w:val="2E74B5"/>
                <w:sz w:val="18"/>
                <w:szCs w:val="18"/>
              </w:rPr>
              <w:t xml:space="preserve">Core Problem</w:t>
            </w:r>
          </w:p>
        </w:tc>
        <w:tc>
          <w:tcPr>
            <w:tcW w:type="dxa" w:w="1916"/>
          </w:tcPr>
          <w:p>
            <w:pPr>
              <w:spacing w:after="30" w:before="30"/>
            </w:pPr>
            <w:r>
              <w:rPr>
                <w:rFonts w:ascii="Calibri" w:cs="Calibri" w:eastAsia="Calibri" w:hAnsi="Calibri"/>
                <w:b w:val="false"/>
                <w:bCs w:val="false"/>
                <w:color w:val="000000"/>
                <w:sz w:val="18"/>
                <w:szCs w:val="18"/>
              </w:rPr>
              <w:t xml:space="preserve">Unreliable power + high emissions in rural healthcare</w:t>
            </w:r>
          </w:p>
        </w:tc>
        <w:tc>
          <w:tcPr>
            <w:tcW w:type="dxa" w:w="1916"/>
          </w:tcPr>
          <w:p>
            <w:pPr>
              <w:spacing w:after="30" w:before="30"/>
            </w:pPr>
            <w:r>
              <w:rPr>
                <w:rFonts w:ascii="Calibri" w:cs="Calibri" w:eastAsia="Calibri" w:hAnsi="Calibri"/>
                <w:b w:val="false"/>
                <w:bCs w:val="false"/>
                <w:color w:val="000000"/>
                <w:sz w:val="18"/>
                <w:szCs w:val="18"/>
              </w:rPr>
              <w:t xml:space="preserve">No evidence on commercial mHealth for NCD prevention</w:t>
            </w:r>
          </w:p>
        </w:tc>
        <w:tc>
          <w:tcPr>
            <w:tcW w:type="dxa" w:w="1916"/>
          </w:tcPr>
          <w:p>
            <w:pPr>
              <w:spacing w:after="30" w:before="30"/>
            </w:pPr>
            <w:r>
              <w:rPr>
                <w:rFonts w:ascii="Calibri" w:cs="Calibri" w:eastAsia="Calibri" w:hAnsi="Calibri"/>
                <w:b w:val="false"/>
                <w:bCs w:val="false"/>
                <w:color w:val="000000"/>
                <w:sz w:val="18"/>
                <w:szCs w:val="18"/>
              </w:rPr>
              <w:t xml:space="preserve">No voice LLM copilot for adolescent SRMH</w:t>
            </w:r>
          </w:p>
        </w:tc>
        <w:tc>
          <w:tcPr>
            <w:tcW w:type="dxa" w:w="1916"/>
          </w:tcPr>
          <w:p>
            <w:pPr>
              <w:spacing w:after="30" w:before="30"/>
            </w:pPr>
            <w:r>
              <w:rPr>
                <w:rFonts w:ascii="Calibri" w:cs="Calibri" w:eastAsia="Calibri" w:hAnsi="Calibri"/>
                <w:b w:val="false"/>
                <w:bCs w:val="false"/>
                <w:color w:val="000000"/>
                <w:sz w:val="18"/>
                <w:szCs w:val="18"/>
              </w:rPr>
              <w:t xml:space="preserve">No longitudinal study of AI+CHW health outcomes</w:t>
            </w:r>
          </w:p>
        </w:tc>
      </w:tr>
      <w:tr>
        <w:tc>
          <w:tcPr>
            <w:tcW w:type="dxa" w:w="1683"/>
            <w:shd w:fill="DEEAF1" w:val="clear"/>
          </w:tcPr>
          <w:p>
            <w:pPr>
              <w:spacing w:after="30" w:before="30"/>
            </w:pPr>
            <w:r>
              <w:rPr>
                <w:rFonts w:ascii="Calibri" w:cs="Calibri" w:eastAsia="Calibri" w:hAnsi="Calibri"/>
                <w:b/>
                <w:bCs/>
                <w:color w:val="2E74B5"/>
                <w:sz w:val="18"/>
                <w:szCs w:val="18"/>
              </w:rPr>
              <w:t xml:space="preserve">Research Type</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Techno-economic feasibility</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Action Research feasibility</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LLM development + pilot evaluation</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Repeated cross-sectional observational</w:t>
            </w:r>
          </w:p>
        </w:tc>
      </w:tr>
      <w:tr>
        <w:tc>
          <w:tcPr>
            <w:tcW w:type="dxa" w:w="1683"/>
          </w:tcPr>
          <w:p>
            <w:pPr>
              <w:spacing w:after="30" w:before="30"/>
            </w:pPr>
            <w:r>
              <w:rPr>
                <w:rFonts w:ascii="Calibri" w:cs="Calibri" w:eastAsia="Calibri" w:hAnsi="Calibri"/>
                <w:b/>
                <w:bCs/>
                <w:color w:val="2E74B5"/>
                <w:sz w:val="18"/>
                <w:szCs w:val="18"/>
              </w:rPr>
              <w:t xml:space="preserve">Scale / Sample</w:t>
            </w:r>
          </w:p>
        </w:tc>
        <w:tc>
          <w:tcPr>
            <w:tcW w:type="dxa" w:w="1916"/>
          </w:tcPr>
          <w:p>
            <w:pPr>
              <w:spacing w:after="30" w:before="30"/>
            </w:pPr>
            <w:r>
              <w:rPr>
                <w:rFonts w:ascii="Calibri" w:cs="Calibri" w:eastAsia="Calibri" w:hAnsi="Calibri"/>
                <w:b w:val="false"/>
                <w:bCs w:val="false"/>
                <w:color w:val="000000"/>
                <w:sz w:val="18"/>
                <w:szCs w:val="18"/>
              </w:rPr>
              <w:t xml:space="preserve">5,424 facilities; 50 real sample</w:t>
            </w:r>
          </w:p>
        </w:tc>
        <w:tc>
          <w:tcPr>
            <w:tcW w:type="dxa" w:w="1916"/>
          </w:tcPr>
          <w:p>
            <w:pPr>
              <w:spacing w:after="30" w:before="30"/>
            </w:pPr>
            <w:r>
              <w:rPr>
                <w:rFonts w:ascii="Calibri" w:cs="Calibri" w:eastAsia="Calibri" w:hAnsi="Calibri"/>
                <w:b w:val="false"/>
                <w:bCs w:val="false"/>
                <w:color w:val="000000"/>
                <w:sz w:val="18"/>
                <w:szCs w:val="18"/>
              </w:rPr>
              <w:t xml:space="preserve">17,907 adults; 393 surveyed; 21 villages</w:t>
            </w:r>
          </w:p>
        </w:tc>
        <w:tc>
          <w:tcPr>
            <w:tcW w:type="dxa" w:w="1916"/>
          </w:tcPr>
          <w:p>
            <w:pPr>
              <w:spacing w:after="30" w:before="30"/>
            </w:pPr>
            <w:r>
              <w:rPr>
                <w:rFonts w:ascii="Calibri" w:cs="Calibri" w:eastAsia="Calibri" w:hAnsi="Calibri"/>
                <w:b w:val="false"/>
                <w:bCs w:val="false"/>
                <w:color w:val="000000"/>
                <w:sz w:val="18"/>
                <w:szCs w:val="18"/>
              </w:rPr>
              <w:t xml:space="preserve">32 participants; 428 questions; 2,063 KB docs</w:t>
            </w:r>
          </w:p>
        </w:tc>
        <w:tc>
          <w:tcPr>
            <w:tcW w:type="dxa" w:w="1916"/>
          </w:tcPr>
          <w:p>
            <w:pPr>
              <w:spacing w:after="30" w:before="30"/>
            </w:pPr>
            <w:r>
              <w:rPr>
                <w:rFonts w:ascii="Calibri" w:cs="Calibri" w:eastAsia="Calibri" w:hAnsi="Calibri"/>
                <w:b w:val="false"/>
                <w:bCs w:val="false"/>
                <w:color w:val="000000"/>
                <w:sz w:val="18"/>
                <w:szCs w:val="18"/>
              </w:rPr>
              <w:t xml:space="preserve">32,581 individuals; 7,090 households; 18 months</w:t>
            </w:r>
          </w:p>
        </w:tc>
      </w:tr>
      <w:tr>
        <w:tc>
          <w:tcPr>
            <w:tcW w:type="dxa" w:w="1683"/>
            <w:shd w:fill="DEEAF1" w:val="clear"/>
          </w:tcPr>
          <w:p>
            <w:pPr>
              <w:spacing w:after="30" w:before="30"/>
            </w:pPr>
            <w:r>
              <w:rPr>
                <w:rFonts w:ascii="Calibri" w:cs="Calibri" w:eastAsia="Calibri" w:hAnsi="Calibri"/>
                <w:b/>
                <w:bCs/>
                <w:color w:val="2E74B5"/>
                <w:sz w:val="18"/>
                <w:szCs w:val="18"/>
              </w:rPr>
              <w:t xml:space="preserve">Key Method</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10-step cost-benefit + sensitivity analysis (10 CAGR)</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Action Research; content + usability + efficacy testing</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EBM + CoT + RAG; fine-tuned Llama 3 8B</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z-tests + Wilcoxon + logistic regression; 3 periods</w:t>
            </w:r>
          </w:p>
        </w:tc>
      </w:tr>
      <w:tr>
        <w:tc>
          <w:tcPr>
            <w:tcW w:type="dxa" w:w="1683"/>
          </w:tcPr>
          <w:p>
            <w:pPr>
              <w:spacing w:after="30" w:before="30"/>
            </w:pPr>
            <w:r>
              <w:rPr>
                <w:rFonts w:ascii="Calibri" w:cs="Calibri" w:eastAsia="Calibri" w:hAnsi="Calibri"/>
                <w:b/>
                <w:bCs/>
                <w:color w:val="2E74B5"/>
                <w:sz w:val="18"/>
                <w:szCs w:val="18"/>
              </w:rPr>
              <w:t xml:space="preserve">#1 Result</w:t>
            </w:r>
          </w:p>
        </w:tc>
        <w:tc>
          <w:tcPr>
            <w:tcW w:type="dxa" w:w="1916"/>
          </w:tcPr>
          <w:p>
            <w:pPr>
              <w:spacing w:after="30" w:before="30"/>
            </w:pPr>
            <w:r>
              <w:rPr>
                <w:rFonts w:ascii="Calibri" w:cs="Calibri" w:eastAsia="Calibri" w:hAnsi="Calibri"/>
                <w:b w:val="false"/>
                <w:bCs w:val="false"/>
                <w:color w:val="000000"/>
                <w:sz w:val="18"/>
                <w:szCs w:val="18"/>
              </w:rPr>
              <w:t xml:space="preserve">NPV US$3.86M; IRR 9.85%; LCOE $0.0179/kWh</w:t>
            </w:r>
          </w:p>
        </w:tc>
        <w:tc>
          <w:tcPr>
            <w:tcW w:type="dxa" w:w="1916"/>
          </w:tcPr>
          <w:p>
            <w:pPr>
              <w:spacing w:after="30" w:before="30"/>
            </w:pPr>
            <w:r>
              <w:rPr>
                <w:rFonts w:ascii="Calibri" w:cs="Calibri" w:eastAsia="Calibri" w:hAnsi="Calibri"/>
                <w:b w:val="false"/>
                <w:bCs w:val="false"/>
                <w:color w:val="000000"/>
                <w:sz w:val="18"/>
                <w:szCs w:val="18"/>
              </w:rPr>
              <w:t xml:space="preserve">15.8% diabetes found (vs. 2.7% known); 99.5% acceptance</w:t>
            </w:r>
          </w:p>
        </w:tc>
        <w:tc>
          <w:tcPr>
            <w:tcW w:type="dxa" w:w="1916"/>
          </w:tcPr>
          <w:p>
            <w:pPr>
              <w:spacing w:after="30" w:before="30"/>
            </w:pPr>
            <w:r>
              <w:rPr>
                <w:rFonts w:ascii="Calibri" w:cs="Calibri" w:eastAsia="Calibri" w:hAnsi="Calibri"/>
                <w:b w:val="false"/>
                <w:bCs w:val="false"/>
                <w:color w:val="000000"/>
                <w:sz w:val="18"/>
                <w:szCs w:val="18"/>
              </w:rPr>
              <w:t xml:space="preserve">86.68% accuracy; 61.9% vs. RAG 40.4%</w:t>
            </w:r>
          </w:p>
        </w:tc>
        <w:tc>
          <w:tcPr>
            <w:tcW w:type="dxa" w:w="1916"/>
          </w:tcPr>
          <w:p>
            <w:pPr>
              <w:spacing w:after="30" w:before="30"/>
            </w:pPr>
            <w:r>
              <w:rPr>
                <w:rFonts w:ascii="Calibri" w:cs="Calibri" w:eastAsia="Calibri" w:hAnsi="Calibri"/>
                <w:b w:val="false"/>
                <w:bCs w:val="false"/>
                <w:color w:val="000000"/>
                <w:sz w:val="18"/>
                <w:szCs w:val="18"/>
              </w:rPr>
              <w:t xml:space="preserve">Normal BP: 72.50% → 82.19% over 18 months</w:t>
            </w:r>
          </w:p>
        </w:tc>
      </w:tr>
      <w:tr>
        <w:tc>
          <w:tcPr>
            <w:tcW w:type="dxa" w:w="1683"/>
            <w:shd w:fill="DEEAF1" w:val="clear"/>
          </w:tcPr>
          <w:p>
            <w:pPr>
              <w:spacing w:after="30" w:before="30"/>
            </w:pPr>
            <w:r>
              <w:rPr>
                <w:rFonts w:ascii="Calibri" w:cs="Calibri" w:eastAsia="Calibri" w:hAnsi="Calibri"/>
                <w:b/>
                <w:bCs/>
                <w:color w:val="2E74B5"/>
                <w:sz w:val="18"/>
                <w:szCs w:val="18"/>
              </w:rPr>
              <w:t xml:space="preserve">Key Limitation</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No battery storage; single aggregated unit</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Short 6-month pilot; no RCT</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Only 32 health professionals (not real adolescents)</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Single union; gender imbalance; blood glucose unpaid issue</w:t>
            </w:r>
          </w:p>
        </w:tc>
      </w:tr>
      <w:tr>
        <w:tc>
          <w:tcPr>
            <w:tcW w:type="dxa" w:w="1683"/>
          </w:tcPr>
          <w:p>
            <w:pPr>
              <w:spacing w:after="30" w:before="30"/>
            </w:pPr>
            <w:r>
              <w:rPr>
                <w:rFonts w:ascii="Calibri" w:cs="Calibri" w:eastAsia="Calibri" w:hAnsi="Calibri"/>
                <w:b/>
                <w:bCs/>
                <w:color w:val="2E74B5"/>
                <w:sz w:val="18"/>
                <w:szCs w:val="18"/>
              </w:rPr>
              <w:t xml:space="preserve">Impact</w:t>
            </w:r>
          </w:p>
        </w:tc>
        <w:tc>
          <w:tcPr>
            <w:tcW w:type="dxa" w:w="1916"/>
          </w:tcPr>
          <w:p>
            <w:pPr>
              <w:spacing w:after="30" w:before="30"/>
            </w:pPr>
            <w:r>
              <w:rPr>
                <w:rFonts w:ascii="Calibri" w:cs="Calibri" w:eastAsia="Calibri" w:hAnsi="Calibri"/>
                <w:b w:val="false"/>
                <w:bCs w:val="false"/>
                <w:color w:val="000000"/>
                <w:sz w:val="18"/>
                <w:szCs w:val="18"/>
              </w:rPr>
              <w:t xml:space="preserve">Carbon-neutral healthcare pathway + policy reform</w:t>
            </w:r>
          </w:p>
        </w:tc>
        <w:tc>
          <w:tcPr>
            <w:tcW w:type="dxa" w:w="1916"/>
          </w:tcPr>
          <w:p>
            <w:pPr>
              <w:spacing w:after="30" w:before="30"/>
            </w:pPr>
            <w:r>
              <w:rPr>
                <w:rFonts w:ascii="Calibri" w:cs="Calibri" w:eastAsia="Calibri" w:hAnsi="Calibri"/>
                <w:b w:val="false"/>
                <w:bCs w:val="false"/>
                <w:color w:val="000000"/>
                <w:sz w:val="18"/>
                <w:szCs w:val="18"/>
              </w:rPr>
              <w:t xml:space="preserve">Feasible NCD prevention model for rural Bangladesh</w:t>
            </w:r>
          </w:p>
        </w:tc>
        <w:tc>
          <w:tcPr>
            <w:tcW w:type="dxa" w:w="1916"/>
          </w:tcPr>
          <w:p>
            <w:pPr>
              <w:spacing w:after="30" w:before="30"/>
            </w:pPr>
            <w:r>
              <w:rPr>
                <w:rFonts w:ascii="Calibri" w:cs="Calibri" w:eastAsia="Calibri" w:hAnsi="Calibri"/>
                <w:b w:val="false"/>
                <w:bCs w:val="false"/>
                <w:color w:val="000000"/>
                <w:sz w:val="18"/>
                <w:szCs w:val="18"/>
              </w:rPr>
              <w:t xml:space="preserve">Framework for LLM health copilots globally</w:t>
            </w:r>
          </w:p>
        </w:tc>
        <w:tc>
          <w:tcPr>
            <w:tcW w:type="dxa" w:w="1916"/>
          </w:tcPr>
          <w:p>
            <w:pPr>
              <w:spacing w:after="30" w:before="30"/>
            </w:pPr>
            <w:r>
              <w:rPr>
                <w:rFonts w:ascii="Calibri" w:cs="Calibri" w:eastAsia="Calibri" w:hAnsi="Calibri"/>
                <w:b w:val="false"/>
                <w:bCs w:val="false"/>
                <w:color w:val="000000"/>
                <w:sz w:val="18"/>
                <w:szCs w:val="18"/>
              </w:rPr>
              <w:t xml:space="preserve">Public-private partnership model; US$1/family/month</w:t>
            </w:r>
          </w:p>
        </w:tc>
      </w:tr>
    </w:tbl>
    <w:p>
      <w:r>
        <w:br w:type="page"/>
      </w:r>
    </w:p>
    <w:p>
      <w:pPr>
        <w:pBdr>
          <w:bottom w:val="single" w:color="2E74B5" w:sz="8" w:space="1"/>
        </w:pBdr>
        <w:spacing w:after="60" w:before="100"/>
      </w:pPr>
      <w:r>
        <w:rPr>
          <w:rFonts w:ascii="Calibri" w:cs="Calibri" w:eastAsia="Calibri" w:hAnsi="Calibri"/>
          <w:b/>
          <w:bCs/>
          <w:color w:val="2E74B5"/>
          <w:sz w:val="28"/>
          <w:szCs w:val="28"/>
        </w:rPr>
        <w:t xml:space="preserve">PART 1 — Paper 1 — Solar/Carbon</w:t>
      </w:r>
    </w:p>
    <w:p>
      <w:pPr>
        <w:spacing w:after="30" w:before="100"/>
      </w:pPr>
      <w:r>
        <w:rPr>
          <w:rFonts w:ascii="Calibri" w:cs="Calibri" w:eastAsia="Calibri" w:hAnsi="Calibri"/>
          <w:b/>
          <w:bCs/>
          <w:color w:val="1F3864"/>
          <w:sz w:val="22"/>
          <w:szCs w:val="22"/>
        </w:rPr>
        <w:t xml:space="preserve">A Pathway to Carbon-Neutral Healthcare: Rooftop Solar Net Metering and Carbon Credits for Rural Medical Facilities in Bangladesh</w:t>
      </w:r>
    </w:p>
    <w:p>
      <w:pPr>
        <w:spacing w:after="100" w:before="0"/>
      </w:pPr>
      <w:r>
        <w:rPr>
          <w:rFonts w:ascii="Calibri" w:cs="Calibri" w:eastAsia="Calibri" w:hAnsi="Calibri"/>
          <w:i/>
          <w:iCs/>
          <w:color w:val="595959"/>
          <w:sz w:val="20"/>
          <w:szCs w:val="20"/>
        </w:rPr>
        <w:t xml:space="preserve">Reza, Hassan, Mamun | IET Renewable Power Generation |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DEEAF1" w:val="clear"/>
            <w:tcMar>
              <w:top w:type="dxa" w:w="80"/>
              <w:left w:type="dxa" w:w="120"/>
              <w:bottom w:type="dxa" w:w="80"/>
              <w:right w:type="dxa" w:w="120"/>
            </w:tcMar>
          </w:tcPr>
          <w:p>
            <w:pPr>
              <w:spacing w:after="40" w:before="40"/>
            </w:pPr>
            <w:r>
              <w:rPr>
                <w:rFonts w:ascii="Calibri" w:cs="Calibri" w:eastAsia="Calibri" w:hAnsi="Calibri"/>
                <w:b/>
                <w:bCs/>
                <w:color w:val="2E74B5"/>
                <w:sz w:val="21"/>
                <w:szCs w:val="21"/>
              </w:rPr>
              <w:t xml:space="preserve">Paper in One Sentence: </w:t>
            </w:r>
            <w:r>
              <w:rPr>
                <w:rFonts w:ascii="Calibri" w:cs="Calibri" w:eastAsia="Calibri" w:hAnsi="Calibri"/>
                <w:sz w:val="21"/>
                <w:szCs w:val="21"/>
              </w:rPr>
              <w:t xml:space="preserve">Proves rooftop solar NMS with carbon credit revenue is financially viable for Bangladesh's 5,424 rural healthcare facilities, returning NPV US$3.86M at 5% CAGR and an LCOE far below the grid tariff.</w:t>
            </w:r>
          </w:p>
          <w:p>
            <w:pPr>
              <w:spacing w:after="40" w:before="20"/>
            </w:pPr>
            <w:r>
              <w:rPr>
                <w:rFonts w:ascii="Calibri" w:cs="Calibri" w:eastAsia="Calibri" w:hAnsi="Calibri"/>
                <w:b/>
                <w:bCs/>
                <w:color w:val="2E74B5"/>
                <w:sz w:val="21"/>
                <w:szCs w:val="21"/>
              </w:rPr>
              <w:t xml:space="preserve">Theme: </w:t>
            </w:r>
            <w:r>
              <w:rPr>
                <w:rFonts w:ascii="Calibri" w:cs="Calibri" w:eastAsia="Calibri" w:hAnsi="Calibri"/>
                <w:sz w:val="21"/>
                <w:szCs w:val="21"/>
              </w:rPr>
              <w:t xml:space="preserve">Techno-Economic Feasibility + Carbon Finance</w:t>
            </w:r>
          </w:p>
        </w:tc>
      </w:tr>
    </w:tbl>
    <w:p>
      <w:pPr>
        <w:spacing w:after="20" w:before="60"/>
      </w:pPr>
    </w:p>
    <w:p>
      <w:pPr>
        <w:spacing w:after="80" w:before="240"/>
      </w:pPr>
      <w:r>
        <w:rPr>
          <w:rFonts w:ascii="Calibri" w:cs="Calibri" w:eastAsia="Calibri" w:hAnsi="Calibri"/>
          <w:b/>
          <w:bCs/>
          <w:color w:val="2E74B5"/>
          <w:sz w:val="26"/>
          <w:szCs w:val="26"/>
        </w:rPr>
        <w:t xml:space="preserve">Paper 1 — Solar/Carbon: Paper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7667"/>
      </w:tblGrid>
      <w:tr>
        <w:trPr>
          <w:tblHeader/>
        </w:trPr>
        <w:tc>
          <w:tcPr>
            <w:tcW w:type="dxa" w:w="1683"/>
            <w:shd w:fill="2E74B5" w:val="clear"/>
          </w:tcPr>
          <w:p>
            <w:pPr>
              <w:spacing w:after="40" w:before="40"/>
            </w:pPr>
            <w:r>
              <w:rPr>
                <w:rFonts w:ascii="Calibri" w:cs="Calibri" w:eastAsia="Calibri" w:hAnsi="Calibri"/>
                <w:b/>
                <w:bCs/>
                <w:color w:val="FFFFFF"/>
                <w:sz w:val="18"/>
                <w:szCs w:val="18"/>
              </w:rPr>
              <w:t xml:space="preserve">Dimension</w:t>
            </w:r>
          </w:p>
        </w:tc>
        <w:tc>
          <w:tcPr>
            <w:tcW w:type="dxa" w:w="7667"/>
            <w:shd w:fill="2E74B5" w:val="clear"/>
          </w:tcPr>
          <w:p>
            <w:pPr>
              <w:spacing w:after="40" w:before="40"/>
            </w:pPr>
            <w:r>
              <w:rPr>
                <w:rFonts w:ascii="Calibri" w:cs="Calibri" w:eastAsia="Calibri" w:hAnsi="Calibri"/>
                <w:b/>
                <w:bCs/>
                <w:color w:val="FFFFFF"/>
                <w:sz w:val="18"/>
                <w:szCs w:val="18"/>
              </w:rPr>
              <w:t xml:space="preserve">Details</w:t>
            </w:r>
          </w:p>
        </w:tc>
      </w:tr>
      <w:tr>
        <w:tc>
          <w:tcPr>
            <w:tcW w:type="dxa" w:w="1683"/>
            <w:shd w:fill="DEEAF1" w:val="clear"/>
          </w:tcPr>
          <w:p>
            <w:pPr>
              <w:spacing w:after="30" w:before="30"/>
            </w:pPr>
            <w:r>
              <w:rPr>
                <w:rFonts w:ascii="Calibri" w:cs="Calibri" w:eastAsia="Calibri" w:hAnsi="Calibri"/>
                <w:b/>
                <w:bCs/>
                <w:color w:val="2E74B5"/>
                <w:sz w:val="18"/>
                <w:szCs w:val="18"/>
              </w:rPr>
              <w:t xml:space="preserve">Problem</w:t>
            </w:r>
          </w:p>
        </w:tc>
        <w:tc>
          <w:tcPr>
            <w:tcW w:type="dxa" w:w="7667"/>
            <w:shd w:fill="DEEAF1" w:val="clear"/>
          </w:tcPr>
          <w:p>
            <w:pPr>
              <w:spacing w:after="30" w:before="30"/>
            </w:pPr>
            <w:r>
              <w:rPr>
                <w:rFonts w:ascii="Calibri" w:cs="Calibri" w:eastAsia="Calibri" w:hAnsi="Calibri"/>
                <w:b w:val="false"/>
                <w:bCs w:val="false"/>
                <w:color w:val="000000"/>
                <w:sz w:val="18"/>
                <w:szCs w:val="18"/>
              </w:rPr>
              <w:t xml:space="preserve">Rural healthcare disrupted by unreliable fossil-fuel electricity; 39.6% gas + 23% coal + 18.6% HFO power mix</w:t>
            </w:r>
          </w:p>
        </w:tc>
      </w:tr>
      <w:tr>
        <w:tc>
          <w:tcPr>
            <w:tcW w:type="dxa" w:w="1683"/>
          </w:tcPr>
          <w:p>
            <w:pPr>
              <w:spacing w:after="30" w:before="30"/>
            </w:pPr>
            <w:r>
              <w:rPr>
                <w:rFonts w:ascii="Calibri" w:cs="Calibri" w:eastAsia="Calibri" w:hAnsi="Calibri"/>
                <w:b/>
                <w:bCs/>
                <w:color w:val="2E74B5"/>
                <w:sz w:val="18"/>
                <w:szCs w:val="18"/>
              </w:rPr>
              <w:t xml:space="preserve">Research Gap</w:t>
            </w:r>
          </w:p>
        </w:tc>
        <w:tc>
          <w:tcPr>
            <w:tcW w:type="dxa" w:w="7667"/>
          </w:tcPr>
          <w:p>
            <w:pPr>
              <w:spacing w:after="30" w:before="30"/>
            </w:pPr>
            <w:r>
              <w:rPr>
                <w:rFonts w:ascii="Calibri" w:cs="Calibri" w:eastAsia="Calibri" w:hAnsi="Calibri"/>
                <w:b w:val="false"/>
                <w:bCs w:val="false"/>
                <w:color w:val="000000"/>
                <w:sz w:val="18"/>
                <w:szCs w:val="18"/>
              </w:rPr>
              <w:t xml:space="preserve">No prior study combined rooftop solar NMS + carbon credit revenue for Bangladesh's rural healthcare sector as a whole</w:t>
            </w:r>
          </w:p>
        </w:tc>
      </w:tr>
      <w:tr>
        <w:tc>
          <w:tcPr>
            <w:tcW w:type="dxa" w:w="1683"/>
            <w:shd w:fill="DEEAF1" w:val="clear"/>
          </w:tcPr>
          <w:p>
            <w:pPr>
              <w:spacing w:after="30" w:before="30"/>
            </w:pPr>
            <w:r>
              <w:rPr>
                <w:rFonts w:ascii="Calibri" w:cs="Calibri" w:eastAsia="Calibri" w:hAnsi="Calibri"/>
                <w:b/>
                <w:bCs/>
                <w:color w:val="2E74B5"/>
                <w:sz w:val="18"/>
                <w:szCs w:val="18"/>
              </w:rPr>
              <w:t xml:space="preserve">Methodology</w:t>
            </w:r>
          </w:p>
        </w:tc>
        <w:tc>
          <w:tcPr>
            <w:tcW w:type="dxa" w:w="7667"/>
            <w:shd w:fill="DEEAF1" w:val="clear"/>
          </w:tcPr>
          <w:p>
            <w:pPr>
              <w:spacing w:after="30" w:before="30"/>
            </w:pPr>
            <w:r>
              <w:rPr>
                <w:rFonts w:ascii="Calibri" w:cs="Calibri" w:eastAsia="Calibri" w:hAnsi="Calibri"/>
                <w:b w:val="false"/>
                <w:bCs w:val="false"/>
                <w:color w:val="000000"/>
                <w:sz w:val="18"/>
                <w:szCs w:val="18"/>
              </w:rPr>
              <w:t xml:space="preserve">10-step quantitative techno-economic feasibility; dual-revenue cost-benefit (solar + CERs); SREDA NEM calculator verification; sensitivity analysis</w:t>
            </w:r>
          </w:p>
        </w:tc>
      </w:tr>
      <w:tr>
        <w:tc>
          <w:tcPr>
            <w:tcW w:type="dxa" w:w="1683"/>
          </w:tcPr>
          <w:p>
            <w:pPr>
              <w:spacing w:after="30" w:before="30"/>
            </w:pPr>
            <w:r>
              <w:rPr>
                <w:rFonts w:ascii="Calibri" w:cs="Calibri" w:eastAsia="Calibri" w:hAnsi="Calibri"/>
                <w:b/>
                <w:bCs/>
                <w:color w:val="2E74B5"/>
                <w:sz w:val="18"/>
                <w:szCs w:val="18"/>
              </w:rPr>
              <w:t xml:space="preserve">Data</w:t>
            </w:r>
          </w:p>
        </w:tc>
        <w:tc>
          <w:tcPr>
            <w:tcW w:type="dxa" w:w="7667"/>
          </w:tcPr>
          <w:p>
            <w:pPr>
              <w:spacing w:after="30" w:before="30"/>
            </w:pPr>
            <w:r>
              <w:rPr>
                <w:rFonts w:ascii="Calibri" w:cs="Calibri" w:eastAsia="Calibri" w:hAnsi="Calibri"/>
                <w:b w:val="false"/>
                <w:bCs w:val="false"/>
                <w:color w:val="000000"/>
                <w:sz w:val="18"/>
                <w:szCs w:val="18"/>
              </w:rPr>
              <w:t xml:space="preserve">50 real facilities → scaled to 5,424; solar irradiance 4.59 kWh/m²/day</w:t>
            </w:r>
          </w:p>
        </w:tc>
      </w:tr>
      <w:tr>
        <w:tc>
          <w:tcPr>
            <w:tcW w:type="dxa" w:w="1683"/>
            <w:shd w:fill="DEEAF1" w:val="clear"/>
          </w:tcPr>
          <w:p>
            <w:pPr>
              <w:spacing w:after="30" w:before="30"/>
            </w:pPr>
            <w:r>
              <w:rPr>
                <w:rFonts w:ascii="Calibri" w:cs="Calibri" w:eastAsia="Calibri" w:hAnsi="Calibri"/>
                <w:b/>
                <w:bCs/>
                <w:color w:val="2E74B5"/>
                <w:sz w:val="18"/>
                <w:szCs w:val="18"/>
              </w:rPr>
              <w:t xml:space="preserve">Evaluation</w:t>
            </w:r>
          </w:p>
        </w:tc>
        <w:tc>
          <w:tcPr>
            <w:tcW w:type="dxa" w:w="7667"/>
            <w:shd w:fill="DEEAF1" w:val="clear"/>
          </w:tcPr>
          <w:p>
            <w:pPr>
              <w:spacing w:after="30" w:before="30"/>
            </w:pPr>
            <w:r>
              <w:rPr>
                <w:rFonts w:ascii="Calibri" w:cs="Calibri" w:eastAsia="Calibri" w:hAnsi="Calibri"/>
                <w:b w:val="false"/>
                <w:bCs w:val="false"/>
                <w:color w:val="000000"/>
                <w:sz w:val="18"/>
                <w:szCs w:val="18"/>
              </w:rPr>
              <w:t xml:space="preserve">NPV, IRR, Payback, LCOE across 10 CAGR scenarios; spider charts</w:t>
            </w:r>
          </w:p>
        </w:tc>
      </w:tr>
      <w:tr>
        <w:tc>
          <w:tcPr>
            <w:tcW w:type="dxa" w:w="1683"/>
          </w:tcPr>
          <w:p>
            <w:pPr>
              <w:spacing w:after="30" w:before="30"/>
            </w:pPr>
            <w:r>
              <w:rPr>
                <w:rFonts w:ascii="Calibri" w:cs="Calibri" w:eastAsia="Calibri" w:hAnsi="Calibri"/>
                <w:b/>
                <w:bCs/>
                <w:color w:val="2E74B5"/>
                <w:sz w:val="18"/>
                <w:szCs w:val="18"/>
              </w:rPr>
              <w:t xml:space="preserve">Impact</w:t>
            </w:r>
          </w:p>
        </w:tc>
        <w:tc>
          <w:tcPr>
            <w:tcW w:type="dxa" w:w="7667"/>
          </w:tcPr>
          <w:p>
            <w:pPr>
              <w:spacing w:after="30" w:before="30"/>
            </w:pPr>
            <w:r>
              <w:rPr>
                <w:rFonts w:ascii="Calibri" w:cs="Calibri" w:eastAsia="Calibri" w:hAnsi="Calibri"/>
                <w:b w:val="false"/>
                <w:bCs w:val="false"/>
                <w:color w:val="000000"/>
                <w:sz w:val="18"/>
                <w:szCs w:val="18"/>
              </w:rPr>
              <w:t xml:space="preserve">Policy roadmap for carbon-neutral healthcare; amendments to 2025 Net Metering Guidelines</w:t>
            </w:r>
          </w:p>
        </w:tc>
      </w:tr>
    </w:tbl>
    <w:p>
      <w:pPr>
        <w:spacing w:after="20" w:before="80"/>
      </w:pPr>
    </w:p>
    <w:p>
      <w:pPr>
        <w:spacing w:after="80" w:before="240"/>
      </w:pPr>
      <w:r>
        <w:rPr>
          <w:rFonts w:ascii="Calibri" w:cs="Calibri" w:eastAsia="Calibri" w:hAnsi="Calibri"/>
          <w:b/>
          <w:bCs/>
          <w:color w:val="2E74B5"/>
          <w:sz w:val="26"/>
          <w:szCs w:val="26"/>
        </w:rPr>
        <w:t xml:space="preserve">Key Numbers — Paper 1 — Solar/Carbon</w:t>
      </w:r>
    </w:p>
    <w:p>
      <w:pPr>
        <w:spacing w:after="60" w:before="40"/>
        <w:jc w:val="left"/>
      </w:pPr>
      <w:r>
        <w:rPr>
          <w:rFonts w:ascii="Calibri" w:cs="Calibri" w:eastAsia="Calibri" w:hAnsi="Calibri"/>
          <w:b w:val="false"/>
          <w:bCs w:val="false"/>
          <w:i/>
          <w:iCs/>
          <w:color w:val="595959"/>
          <w:sz w:val="20"/>
          <w:szCs w:val="20"/>
        </w:rPr>
        <w:t xml:space="preserve">Memorise these numbers. They are the most likely to appear in exam questions.</w:t>
      </w:r>
    </w:p>
    <w:p>
      <w:pPr>
        <w:spacing w:after="20" w:before="40"/>
      </w:pPr>
    </w:p>
    <w:tbl>
      <w:tblPr>
        <w:tblW w:type="dxa" w:w="6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tblGrid>
      <w:tr>
        <w:tc>
          <w:tcPr>
            <w:tcW w:type="dxa" w:w="2300"/>
            <w:shd w:fill="DEEAF1" w:val="clear"/>
          </w:tcPr>
          <w:p>
            <w:pPr>
              <w:spacing w:after="30" w:before="30"/>
            </w:pPr>
            <w:r>
              <w:rPr>
                <w:rFonts w:ascii="Calibri" w:cs="Calibri" w:eastAsia="Calibri" w:hAnsi="Calibri"/>
                <w:b/>
                <w:bCs/>
                <w:color w:val="1F3864"/>
                <w:sz w:val="19"/>
                <w:szCs w:val="19"/>
              </w:rPr>
              <w:t xml:space="preserve">Facilities</w:t>
            </w:r>
          </w:p>
        </w:tc>
        <w:tc>
          <w:tcPr>
            <w:tcW w:type="dxa" w:w="4600"/>
            <w:shd w:fill="F2F8FD" w:val="clear"/>
          </w:tcPr>
          <w:p>
            <w:pPr>
              <w:spacing w:after="30" w:before="30"/>
            </w:pPr>
            <w:r>
              <w:rPr>
                <w:rFonts w:ascii="Calibri" w:cs="Calibri" w:eastAsia="Calibri" w:hAnsi="Calibri"/>
                <w:color w:val="000000"/>
                <w:sz w:val="19"/>
                <w:szCs w:val="19"/>
              </w:rPr>
              <w:t xml:space="preserve">5,424 union-level rural healthcare facilities</w:t>
            </w:r>
          </w:p>
        </w:tc>
      </w:tr>
      <w:tr>
        <w:tc>
          <w:tcPr>
            <w:tcW w:type="dxa" w:w="2300"/>
            <w:shd w:fill="DEEAF1" w:val="clear"/>
          </w:tcPr>
          <w:p>
            <w:pPr>
              <w:spacing w:after="30" w:before="30"/>
            </w:pPr>
            <w:r>
              <w:rPr>
                <w:rFonts w:ascii="Calibri" w:cs="Calibri" w:eastAsia="Calibri" w:hAnsi="Calibri"/>
                <w:b/>
                <w:bCs/>
                <w:color w:val="1F3864"/>
                <w:sz w:val="19"/>
                <w:szCs w:val="19"/>
              </w:rPr>
              <w:t xml:space="preserve">Installed Capacity</w:t>
            </w:r>
          </w:p>
        </w:tc>
        <w:tc>
          <w:tcPr>
            <w:tcW w:type="dxa" w:w="4600"/>
            <w:shd w:fill="F2F2F2" w:val="clear"/>
          </w:tcPr>
          <w:p>
            <w:pPr>
              <w:spacing w:after="30" w:before="30"/>
            </w:pPr>
            <w:r>
              <w:rPr>
                <w:rFonts w:ascii="Calibri" w:cs="Calibri" w:eastAsia="Calibri" w:hAnsi="Calibri"/>
                <w:color w:val="000000"/>
                <w:sz w:val="19"/>
                <w:szCs w:val="19"/>
              </w:rPr>
              <w:t xml:space="preserve">7.86 MWp AC (70% of 70,799 m² rooftop area)</w:t>
            </w:r>
          </w:p>
        </w:tc>
      </w:tr>
      <w:tr>
        <w:tc>
          <w:tcPr>
            <w:tcW w:type="dxa" w:w="2300"/>
            <w:shd w:fill="DEEAF1" w:val="clear"/>
          </w:tcPr>
          <w:p>
            <w:pPr>
              <w:spacing w:after="30" w:before="30"/>
            </w:pPr>
            <w:r>
              <w:rPr>
                <w:rFonts w:ascii="Calibri" w:cs="Calibri" w:eastAsia="Calibri" w:hAnsi="Calibri"/>
                <w:b/>
                <w:bCs/>
                <w:color w:val="1F3864"/>
                <w:sz w:val="19"/>
                <w:szCs w:val="19"/>
              </w:rPr>
              <w:t xml:space="preserve">Energy Generated</w:t>
            </w:r>
          </w:p>
        </w:tc>
        <w:tc>
          <w:tcPr>
            <w:tcW w:type="dxa" w:w="4600"/>
            <w:shd w:fill="F2F8FD" w:val="clear"/>
          </w:tcPr>
          <w:p>
            <w:pPr>
              <w:spacing w:after="30" w:before="30"/>
            </w:pPr>
            <w:r>
              <w:rPr>
                <w:rFonts w:ascii="Calibri" w:cs="Calibri" w:eastAsia="Calibri" w:hAnsi="Calibri"/>
                <w:color w:val="000000"/>
                <w:sz w:val="19"/>
                <w:szCs w:val="19"/>
              </w:rPr>
              <w:t xml:space="preserve">171.48 GWh over 20-year project life</w:t>
            </w:r>
          </w:p>
        </w:tc>
      </w:tr>
      <w:tr>
        <w:tc>
          <w:tcPr>
            <w:tcW w:type="dxa" w:w="2300"/>
            <w:shd w:fill="DEEAF1" w:val="clear"/>
          </w:tcPr>
          <w:p>
            <w:pPr>
              <w:spacing w:after="30" w:before="30"/>
            </w:pPr>
            <w:r>
              <w:rPr>
                <w:rFonts w:ascii="Calibri" w:cs="Calibri" w:eastAsia="Calibri" w:hAnsi="Calibri"/>
                <w:b/>
                <w:bCs/>
                <w:color w:val="1F3864"/>
                <w:sz w:val="19"/>
                <w:szCs w:val="19"/>
              </w:rPr>
              <w:t xml:space="preserve">CO₂ Reduced</w:t>
            </w:r>
          </w:p>
        </w:tc>
        <w:tc>
          <w:tcPr>
            <w:tcW w:type="dxa" w:w="4600"/>
            <w:shd w:fill="F2F2F2" w:val="clear"/>
          </w:tcPr>
          <w:p>
            <w:pPr>
              <w:spacing w:after="30" w:before="30"/>
            </w:pPr>
            <w:r>
              <w:rPr>
                <w:rFonts w:ascii="Calibri" w:cs="Calibri" w:eastAsia="Calibri" w:hAnsi="Calibri"/>
                <w:color w:val="000000"/>
                <w:sz w:val="19"/>
                <w:szCs w:val="19"/>
              </w:rPr>
              <w:t xml:space="preserve">82,999.02 MTCO₂e (GEF = 484 gCO₂/kWh)</w:t>
            </w:r>
          </w:p>
        </w:tc>
      </w:tr>
      <w:tr>
        <w:tc>
          <w:tcPr>
            <w:tcW w:type="dxa" w:w="2300"/>
            <w:shd w:fill="DEEAF1" w:val="clear"/>
          </w:tcPr>
          <w:p>
            <w:pPr>
              <w:spacing w:after="30" w:before="30"/>
            </w:pPr>
            <w:r>
              <w:rPr>
                <w:rFonts w:ascii="Calibri" w:cs="Calibri" w:eastAsia="Calibri" w:hAnsi="Calibri"/>
                <w:b/>
                <w:bCs/>
                <w:color w:val="1F3864"/>
                <w:sz w:val="19"/>
                <w:szCs w:val="19"/>
              </w:rPr>
              <w:t xml:space="preserve">Initial Investment</w:t>
            </w:r>
          </w:p>
        </w:tc>
        <w:tc>
          <w:tcPr>
            <w:tcW w:type="dxa" w:w="4600"/>
            <w:shd w:fill="F2F8FD" w:val="clear"/>
          </w:tcPr>
          <w:p>
            <w:pPr>
              <w:spacing w:after="30" w:before="30"/>
            </w:pPr>
            <w:r>
              <w:rPr>
                <w:rFonts w:ascii="Calibri" w:cs="Calibri" w:eastAsia="Calibri" w:hAnsi="Calibri"/>
                <w:color w:val="000000"/>
                <w:sz w:val="19"/>
                <w:szCs w:val="19"/>
              </w:rPr>
              <w:t xml:space="preserve">US$2.25 million (lifecycle total: US$3.59M)</w:t>
            </w:r>
          </w:p>
        </w:tc>
      </w:tr>
      <w:tr>
        <w:tc>
          <w:tcPr>
            <w:tcW w:type="dxa" w:w="2300"/>
            <w:shd w:fill="DEEAF1" w:val="clear"/>
          </w:tcPr>
          <w:p>
            <w:pPr>
              <w:spacing w:after="30" w:before="30"/>
            </w:pPr>
            <w:r>
              <w:rPr>
                <w:rFonts w:ascii="Calibri" w:cs="Calibri" w:eastAsia="Calibri" w:hAnsi="Calibri"/>
                <w:b/>
                <w:bCs/>
                <w:color w:val="1F3864"/>
                <w:sz w:val="19"/>
                <w:szCs w:val="19"/>
              </w:rPr>
              <w:t xml:space="preserve">Solar Revenue (PV)</w:t>
            </w:r>
          </w:p>
        </w:tc>
        <w:tc>
          <w:tcPr>
            <w:tcW w:type="dxa" w:w="4600"/>
            <w:shd w:fill="F2F2F2" w:val="clear"/>
          </w:tcPr>
          <w:p>
            <w:pPr>
              <w:spacing w:after="30" w:before="30"/>
            </w:pPr>
            <w:r>
              <w:rPr>
                <w:rFonts w:ascii="Calibri" w:cs="Calibri" w:eastAsia="Calibri" w:hAnsi="Calibri"/>
                <w:color w:val="000000"/>
                <w:sz w:val="19"/>
                <w:szCs w:val="19"/>
              </w:rPr>
              <w:t xml:space="preserve">US$6.94 million</w:t>
            </w:r>
          </w:p>
        </w:tc>
      </w:tr>
      <w:tr>
        <w:tc>
          <w:tcPr>
            <w:tcW w:type="dxa" w:w="2300"/>
            <w:shd w:fill="DEEAF1" w:val="clear"/>
          </w:tcPr>
          <w:p>
            <w:pPr>
              <w:spacing w:after="30" w:before="30"/>
            </w:pPr>
            <w:r>
              <w:rPr>
                <w:rFonts w:ascii="Calibri" w:cs="Calibri" w:eastAsia="Calibri" w:hAnsi="Calibri"/>
                <w:b/>
                <w:bCs/>
                <w:color w:val="1F3864"/>
                <w:sz w:val="19"/>
                <w:szCs w:val="19"/>
              </w:rPr>
              <w:t xml:space="preserve">Combined Revenue</w:t>
            </w:r>
          </w:p>
        </w:tc>
        <w:tc>
          <w:tcPr>
            <w:tcW w:type="dxa" w:w="4600"/>
            <w:shd w:fill="F2F8FD" w:val="clear"/>
          </w:tcPr>
          <w:p>
            <w:pPr>
              <w:spacing w:after="30" w:before="30"/>
            </w:pPr>
            <w:r>
              <w:rPr>
                <w:rFonts w:ascii="Calibri" w:cs="Calibri" w:eastAsia="Calibri" w:hAnsi="Calibri"/>
                <w:color w:val="000000"/>
                <w:sz w:val="19"/>
                <w:szCs w:val="19"/>
              </w:rPr>
              <w:t xml:space="preserve">$7.319M (1.5% CAGR) | $7.374M (3%) | $7.463M (5%)</w:t>
            </w:r>
          </w:p>
        </w:tc>
      </w:tr>
      <w:tr>
        <w:tc>
          <w:tcPr>
            <w:tcW w:type="dxa" w:w="2300"/>
            <w:shd w:fill="DEEAF1" w:val="clear"/>
          </w:tcPr>
          <w:p>
            <w:pPr>
              <w:spacing w:after="30" w:before="30"/>
            </w:pPr>
            <w:r>
              <w:rPr>
                <w:rFonts w:ascii="Calibri" w:cs="Calibri" w:eastAsia="Calibri" w:hAnsi="Calibri"/>
                <w:b/>
                <w:bCs/>
                <w:color w:val="1F3864"/>
                <w:sz w:val="19"/>
                <w:szCs w:val="19"/>
              </w:rPr>
              <w:t xml:space="preserve">NPV (5% CAGR)</w:t>
            </w:r>
          </w:p>
        </w:tc>
        <w:tc>
          <w:tcPr>
            <w:tcW w:type="dxa" w:w="4600"/>
            <w:shd w:fill="F2F2F2" w:val="clear"/>
          </w:tcPr>
          <w:p>
            <w:pPr>
              <w:spacing w:after="30" w:before="30"/>
            </w:pPr>
            <w:r>
              <w:rPr>
                <w:rFonts w:ascii="Calibri" w:cs="Calibri" w:eastAsia="Calibri" w:hAnsi="Calibri"/>
                <w:color w:val="000000"/>
                <w:sz w:val="19"/>
                <w:szCs w:val="19"/>
              </w:rPr>
              <w:t xml:space="preserve">US$3.86 million</w:t>
            </w:r>
          </w:p>
        </w:tc>
      </w:tr>
      <w:tr>
        <w:tc>
          <w:tcPr>
            <w:tcW w:type="dxa" w:w="2300"/>
            <w:shd w:fill="DEEAF1" w:val="clear"/>
          </w:tcPr>
          <w:p>
            <w:pPr>
              <w:spacing w:after="30" w:before="30"/>
            </w:pPr>
            <w:r>
              <w:rPr>
                <w:rFonts w:ascii="Calibri" w:cs="Calibri" w:eastAsia="Calibri" w:hAnsi="Calibri"/>
                <w:b/>
                <w:bCs/>
                <w:color w:val="1F3864"/>
                <w:sz w:val="19"/>
                <w:szCs w:val="19"/>
              </w:rPr>
              <w:t xml:space="preserve">IRR (5% CAGR)</w:t>
            </w:r>
          </w:p>
        </w:tc>
        <w:tc>
          <w:tcPr>
            <w:tcW w:type="dxa" w:w="4600"/>
            <w:shd w:fill="F2F8FD" w:val="clear"/>
          </w:tcPr>
          <w:p>
            <w:pPr>
              <w:spacing w:after="30" w:before="30"/>
            </w:pPr>
            <w:r>
              <w:rPr>
                <w:rFonts w:ascii="Calibri" w:cs="Calibri" w:eastAsia="Calibri" w:hAnsi="Calibri"/>
                <w:color w:val="000000"/>
                <w:sz w:val="19"/>
                <w:szCs w:val="19"/>
              </w:rPr>
              <w:t xml:space="preserve">9.85%</w:t>
            </w:r>
          </w:p>
        </w:tc>
      </w:tr>
      <w:tr>
        <w:tc>
          <w:tcPr>
            <w:tcW w:type="dxa" w:w="2300"/>
            <w:shd w:fill="DEEAF1" w:val="clear"/>
          </w:tcPr>
          <w:p>
            <w:pPr>
              <w:spacing w:after="30" w:before="30"/>
            </w:pPr>
            <w:r>
              <w:rPr>
                <w:rFonts w:ascii="Calibri" w:cs="Calibri" w:eastAsia="Calibri" w:hAnsi="Calibri"/>
                <w:b/>
                <w:bCs/>
                <w:color w:val="1F3864"/>
                <w:sz w:val="19"/>
                <w:szCs w:val="19"/>
              </w:rPr>
              <w:t xml:space="preserve">Payback (5% CAGR)</w:t>
            </w:r>
          </w:p>
        </w:tc>
        <w:tc>
          <w:tcPr>
            <w:tcW w:type="dxa" w:w="4600"/>
            <w:shd w:fill="F2F2F2" w:val="clear"/>
          </w:tcPr>
          <w:p>
            <w:pPr>
              <w:spacing w:after="30" w:before="30"/>
            </w:pPr>
            <w:r>
              <w:rPr>
                <w:rFonts w:ascii="Calibri" w:cs="Calibri" w:eastAsia="Calibri" w:hAnsi="Calibri"/>
                <w:color w:val="000000"/>
                <w:sz w:val="19"/>
                <w:szCs w:val="19"/>
              </w:rPr>
              <w:t xml:space="preserve">8.35 years</w:t>
            </w:r>
          </w:p>
        </w:tc>
      </w:tr>
      <w:tr>
        <w:tc>
          <w:tcPr>
            <w:tcW w:type="dxa" w:w="2300"/>
            <w:shd w:fill="DEEAF1" w:val="clear"/>
          </w:tcPr>
          <w:p>
            <w:pPr>
              <w:spacing w:after="30" w:before="30"/>
            </w:pPr>
            <w:r>
              <w:rPr>
                <w:rFonts w:ascii="Calibri" w:cs="Calibri" w:eastAsia="Calibri" w:hAnsi="Calibri"/>
                <w:b/>
                <w:bCs/>
                <w:color w:val="1F3864"/>
                <w:sz w:val="19"/>
                <w:szCs w:val="19"/>
              </w:rPr>
              <w:t xml:space="preserve">LCOE (5% CAGR)</w:t>
            </w:r>
          </w:p>
        </w:tc>
        <w:tc>
          <w:tcPr>
            <w:tcW w:type="dxa" w:w="4600"/>
            <w:shd w:fill="F2F8FD" w:val="clear"/>
          </w:tcPr>
          <w:p>
            <w:pPr>
              <w:spacing w:after="30" w:before="30"/>
            </w:pPr>
            <w:r>
              <w:rPr>
                <w:rFonts w:ascii="Calibri" w:cs="Calibri" w:eastAsia="Calibri" w:hAnsi="Calibri"/>
                <w:color w:val="000000"/>
                <w:sz w:val="19"/>
                <w:szCs w:val="19"/>
              </w:rPr>
              <w:t xml:space="preserve">US$0.0179/kWh vs. BREB tariff US$0.0358/kWh</w:t>
            </w:r>
          </w:p>
        </w:tc>
      </w:tr>
      <w:tr>
        <w:tc>
          <w:tcPr>
            <w:tcW w:type="dxa" w:w="2300"/>
            <w:shd w:fill="DEEAF1" w:val="clear"/>
          </w:tcPr>
          <w:p>
            <w:pPr>
              <w:spacing w:after="30" w:before="30"/>
            </w:pPr>
            <w:r>
              <w:rPr>
                <w:rFonts w:ascii="Calibri" w:cs="Calibri" w:eastAsia="Calibri" w:hAnsi="Calibri"/>
                <w:b/>
                <w:bCs/>
                <w:color w:val="1F3864"/>
                <w:sz w:val="19"/>
                <w:szCs w:val="19"/>
              </w:rPr>
              <w:t xml:space="preserve">Worst-case NPV</w:t>
            </w:r>
          </w:p>
        </w:tc>
        <w:tc>
          <w:tcPr>
            <w:tcW w:type="dxa" w:w="4600"/>
            <w:shd w:fill="F2F2F2" w:val="clear"/>
          </w:tcPr>
          <w:p>
            <w:pPr>
              <w:spacing w:after="30" w:before="30"/>
            </w:pPr>
            <w:r>
              <w:rPr>
                <w:rFonts w:ascii="Calibri" w:cs="Calibri" w:eastAsia="Calibri" w:hAnsi="Calibri"/>
                <w:color w:val="000000"/>
                <w:sz w:val="19"/>
                <w:szCs w:val="19"/>
              </w:rPr>
              <w:t xml:space="preserve">US$3.38M at −50% CAGR (still positive)</w:t>
            </w:r>
          </w:p>
        </w:tc>
      </w:tr>
      <w:tr>
        <w:tc>
          <w:tcPr>
            <w:tcW w:type="dxa" w:w="2300"/>
            <w:shd w:fill="DEEAF1" w:val="clear"/>
          </w:tcPr>
          <w:p>
            <w:pPr>
              <w:spacing w:after="30" w:before="30"/>
            </w:pPr>
            <w:r>
              <w:rPr>
                <w:rFonts w:ascii="Calibri" w:cs="Calibri" w:eastAsia="Calibri" w:hAnsi="Calibri"/>
                <w:b/>
                <w:bCs/>
                <w:color w:val="1F3864"/>
                <w:sz w:val="19"/>
                <w:szCs w:val="19"/>
              </w:rPr>
              <w:t xml:space="preserve">Carbon Credit Price</w:t>
            </w:r>
          </w:p>
        </w:tc>
        <w:tc>
          <w:tcPr>
            <w:tcW w:type="dxa" w:w="4600"/>
            <w:shd w:fill="F2F8FD" w:val="clear"/>
          </w:tcPr>
          <w:p>
            <w:pPr>
              <w:spacing w:after="30" w:before="30"/>
            </w:pPr>
            <w:r>
              <w:rPr>
                <w:rFonts w:ascii="Calibri" w:cs="Calibri" w:eastAsia="Calibri" w:hAnsi="Calibri"/>
                <w:color w:val="000000"/>
                <w:sz w:val="19"/>
                <w:szCs w:val="19"/>
              </w:rPr>
              <w:t xml:space="preserve">US$5/unit (initial); GHG market CAGR scenarios modelled</w:t>
            </w:r>
          </w:p>
        </w:tc>
      </w:tr>
    </w:tbl>
    <w:p>
      <w:pPr>
        <w:spacing w:after="20" w:before="80"/>
      </w:pPr>
    </w:p>
    <w:p>
      <w:pPr>
        <w:spacing w:after="80" w:before="240"/>
      </w:pPr>
      <w:r>
        <w:rPr>
          <w:rFonts w:ascii="Calibri" w:cs="Calibri" w:eastAsia="Calibri" w:hAnsi="Calibri"/>
          <w:b/>
          <w:bCs/>
          <w:color w:val="C00000"/>
          <w:sz w:val="26"/>
          <w:szCs w:val="26"/>
        </w:rPr>
        <w:t xml:space="preserve">Common Exam Traps — Paper 1 — Solar/Carbon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CE4D6" w:val="clear"/>
            <w:tcMar>
              <w:top w:type="dxa" w:w="80"/>
              <w:left w:type="dxa" w:w="120"/>
              <w:bottom w:type="dxa" w:w="80"/>
              <w:right w:type="dxa" w:w="120"/>
            </w:tcMar>
          </w:tcPr>
          <w:p>
            <w:pPr>
              <w:spacing w:after="60" w:before="20"/>
            </w:pPr>
            <w:r>
              <w:rPr>
                <w:rFonts w:ascii="Calibri" w:cs="Calibri" w:eastAsia="Calibri" w:hAnsi="Calibri"/>
                <w:i/>
                <w:iCs/>
                <w:color w:val="C00000"/>
                <w:sz w:val="20"/>
                <w:szCs w:val="20"/>
              </w:rPr>
              <w:t xml:space="preserve">Watch out for these misconceptions — they appear frequently in exam questions.</w:t>
            </w:r>
          </w:p>
          <w:p>
            <w:pPr>
              <w:spacing w:after="40" w:before="40"/>
              <w:ind w:left="288"/>
            </w:pPr>
            <w:r>
              <w:rPr>
                <w:rFonts w:ascii="Calibri" w:cs="Calibri" w:eastAsia="Calibri" w:hAnsi="Calibri"/>
                <w:b/>
                <w:bCs/>
                <w:color w:val="C00000"/>
                <w:sz w:val="22"/>
                <w:szCs w:val="22"/>
              </w:rPr>
              <w:t xml:space="preserve">1. </w:t>
            </w:r>
            <w:r>
              <w:rPr>
                <w:rFonts w:ascii="Calibri" w:cs="Calibri" w:eastAsia="Calibri" w:hAnsi="Calibri"/>
                <w:color w:val="C00000"/>
                <w:sz w:val="22"/>
                <w:szCs w:val="22"/>
              </w:rPr>
              <w:t xml:space="preserve">Do NOT confuse GEF (484 gCO₂/kWh) with carbon credit price (US$5/unit) — GEF converts kWh to MTCO₂e, the price converts MTCO₂e to revenue.</w:t>
            </w:r>
          </w:p>
          <w:p>
            <w:pPr>
              <w:spacing w:after="40" w:before="40"/>
              <w:ind w:left="288"/>
            </w:pPr>
            <w:r>
              <w:rPr>
                <w:rFonts w:ascii="Calibri" w:cs="Calibri" w:eastAsia="Calibri" w:hAnsi="Calibri"/>
                <w:b/>
                <w:bCs/>
                <w:color w:val="C00000"/>
                <w:sz w:val="22"/>
                <w:szCs w:val="22"/>
              </w:rPr>
              <w:t xml:space="preserve">2. </w:t>
            </w:r>
            <w:r>
              <w:rPr>
                <w:rFonts w:ascii="Calibri" w:cs="Calibri" w:eastAsia="Calibri" w:hAnsi="Calibri"/>
                <w:color w:val="C00000"/>
                <w:sz w:val="22"/>
                <w:szCs w:val="22"/>
              </w:rPr>
              <w:t xml:space="preserve">The 2025 Net Metering Guideline is an improvement over 2018 but still has gaps — the paper proposes further amendments to both guidelines.</w:t>
            </w:r>
          </w:p>
          <w:p>
            <w:pPr>
              <w:spacing w:after="40" w:before="40"/>
              <w:ind w:left="288"/>
            </w:pPr>
            <w:r>
              <w:rPr>
                <w:rFonts w:ascii="Calibri" w:cs="Calibri" w:eastAsia="Calibri" w:hAnsi="Calibri"/>
                <w:b/>
                <w:bCs/>
                <w:color w:val="C00000"/>
                <w:sz w:val="22"/>
                <w:szCs w:val="22"/>
              </w:rPr>
              <w:t xml:space="preserve">3. </w:t>
            </w:r>
            <w:r>
              <w:rPr>
                <w:rFonts w:ascii="Calibri" w:cs="Calibri" w:eastAsia="Calibri" w:hAnsi="Calibri"/>
                <w:color w:val="C00000"/>
                <w:sz w:val="22"/>
                <w:szCs w:val="22"/>
              </w:rPr>
              <w:t xml:space="preserve">Revenue figures at different CAGRs: 1.5%→$7.319M, 3%→$7.374M, 5%→$7.463M — higher CAGR = higher combined revenue (not reversed).</w:t>
            </w:r>
          </w:p>
          <w:p>
            <w:pPr>
              <w:spacing w:after="40" w:before="40"/>
              <w:ind w:left="288"/>
            </w:pPr>
            <w:r>
              <w:rPr>
                <w:rFonts w:ascii="Calibri" w:cs="Calibri" w:eastAsia="Calibri" w:hAnsi="Calibri"/>
                <w:b/>
                <w:bCs/>
                <w:color w:val="C00000"/>
                <w:sz w:val="22"/>
                <w:szCs w:val="22"/>
              </w:rPr>
              <w:t xml:space="preserve">4. </w:t>
            </w:r>
            <w:r>
              <w:rPr>
                <w:rFonts w:ascii="Calibri" w:cs="Calibri" w:eastAsia="Calibri" w:hAnsi="Calibri"/>
                <w:color w:val="C00000"/>
                <w:sz w:val="22"/>
                <w:szCs w:val="22"/>
              </w:rPr>
              <w:t xml:space="preserve">No battery storage means the system CANNOT power facilities during outages — it feeds the grid and offsets bills, not an off-grid backup.</w:t>
            </w:r>
          </w:p>
          <w:p>
            <w:pPr>
              <w:spacing w:after="40" w:before="40"/>
              <w:ind w:left="288"/>
            </w:pPr>
            <w:r>
              <w:rPr>
                <w:rFonts w:ascii="Calibri" w:cs="Calibri" w:eastAsia="Calibri" w:hAnsi="Calibri"/>
                <w:b/>
                <w:bCs/>
                <w:color w:val="C00000"/>
                <w:sz w:val="22"/>
                <w:szCs w:val="22"/>
              </w:rPr>
              <w:t xml:space="preserve">5. </w:t>
            </w:r>
            <w:r>
              <w:rPr>
                <w:rFonts w:ascii="Calibri" w:cs="Calibri" w:eastAsia="Calibri" w:hAnsi="Calibri"/>
                <w:color w:val="C00000"/>
                <w:sz w:val="22"/>
                <w:szCs w:val="22"/>
              </w:rPr>
              <w:t xml:space="preserve">50 sample facilities → 5,424 total is a scale-up assumption justified by uniform load profiles, not a random sample with error margins.</w:t>
            </w:r>
          </w:p>
          <w:p>
            <w:pPr>
              <w:spacing w:before="20"/>
            </w:pPr>
          </w:p>
        </w:tc>
      </w:tr>
    </w:tbl>
    <w:p>
      <w:pPr>
        <w:spacing w:after="20" w:before="80"/>
      </w:pPr>
    </w:p>
    <w:p>
      <w:pPr>
        <w:spacing w:after="80" w:before="240"/>
      </w:pPr>
      <w:r>
        <w:rPr>
          <w:rFonts w:ascii="Calibri" w:cs="Calibri" w:eastAsia="Calibri" w:hAnsi="Calibri"/>
          <w:b/>
          <w:bCs/>
          <w:color w:val="2E74B5"/>
          <w:sz w:val="26"/>
          <w:szCs w:val="26"/>
        </w:rPr>
        <w:t xml:space="preserve">15 Exam Questions &amp; Answers — Paper 1 — Solar/Carbon</w:t>
      </w:r>
    </w:p>
    <w:p>
      <w:pPr>
        <w:spacing w:after="40" w:before="120"/>
      </w:pPr>
      <w:r>
        <w:rPr>
          <w:rFonts w:ascii="Calibri" w:cs="Calibri" w:eastAsia="Calibri" w:hAnsi="Calibri"/>
          <w:b/>
          <w:bCs/>
          <w:color w:val="2E74B5"/>
          <w:sz w:val="22"/>
          <w:szCs w:val="22"/>
        </w:rPr>
        <w:t xml:space="preserve">Q1. </w:t>
      </w:r>
      <w:r>
        <w:rPr>
          <w:rFonts w:ascii="Calibri" w:cs="Calibri" w:eastAsia="Calibri" w:hAnsi="Calibri"/>
          <w:b/>
          <w:bCs/>
          <w:color w:val="1F3864"/>
          <w:sz w:val="22"/>
          <w:szCs w:val="22"/>
        </w:rPr>
        <w:t xml:space="preserve">What specific problem does this paper address regarding rural healthcare facilities in Bangladesh?</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Rural healthcare facilities in Bangladesh face frequent power outages and unreliable electricity supply due to overloaded grids and inadequate rural distribution infrastructure. The country relies heavily on fossil fuels (39.6% gas, 23% coal, 18.6% HFO) for electricity generation, causing high carbon emissions. This power instability hinders delivery of clinical services such as remote consultations and operation of medical equipment.</w:t>
      </w:r>
    </w:p>
    <w:p>
      <w:pPr>
        <w:spacing w:after="40" w:before="120"/>
      </w:pPr>
      <w:r>
        <w:rPr>
          <w:rFonts w:ascii="Calibri" w:cs="Calibri" w:eastAsia="Calibri" w:hAnsi="Calibri"/>
          <w:b/>
          <w:bCs/>
          <w:color w:val="2E74B5"/>
          <w:sz w:val="22"/>
          <w:szCs w:val="22"/>
        </w:rPr>
        <w:t xml:space="preserve">Q2. </w:t>
      </w:r>
      <w:r>
        <w:rPr>
          <w:rFonts w:ascii="Calibri" w:cs="Calibri" w:eastAsia="Calibri" w:hAnsi="Calibri"/>
          <w:b/>
          <w:bCs/>
          <w:color w:val="1F3864"/>
          <w:sz w:val="22"/>
          <w:szCs w:val="22"/>
        </w:rPr>
        <w:t xml:space="preserve">What research gap does this study address that previous work did not cover?</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Although prior studies examined rooftop solar PV systems for individual buildings and commercial facilities, no study had comprehensively analysed the collective techno-economic impact of rooftop solar NMS on the entire rural healthcare sector of Bangladesh. Furthermore, no prior study had integrated carbon credit revenue as a financial component alongside solar energy revenue in the cost-benefit analysis for this sector. The paper also identifies and addresses gaps in the 2018 and 2025 Net Metering Guidelines.</w:t>
      </w:r>
    </w:p>
    <w:p>
      <w:pPr>
        <w:spacing w:after="40" w:before="120"/>
      </w:pPr>
      <w:r>
        <w:rPr>
          <w:rFonts w:ascii="Calibri" w:cs="Calibri" w:eastAsia="Calibri" w:hAnsi="Calibri"/>
          <w:b/>
          <w:bCs/>
          <w:color w:val="2E74B5"/>
          <w:sz w:val="22"/>
          <w:szCs w:val="22"/>
        </w:rPr>
        <w:t xml:space="preserve">Q3. </w:t>
      </w:r>
      <w:r>
        <w:rPr>
          <w:rFonts w:ascii="Calibri" w:cs="Calibri" w:eastAsia="Calibri" w:hAnsi="Calibri"/>
          <w:b/>
          <w:bCs/>
          <w:color w:val="1F3864"/>
          <w:sz w:val="22"/>
          <w:szCs w:val="22"/>
        </w:rPr>
        <w:t xml:space="preserve">What are the three primary objectives of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First, to conduct a techno-economic feasibility assessment of rooftop solar PV net metering systems (NMS) for rural healthcare facilities in Bangladesh. Second, to model the financial impact of integrating carbon credit revenues to maximise the benefits of green energy. Third, to propose specific, actionable amendments to the 2025 Net Metering Guidelines based on the study's findings.</w:t>
      </w:r>
    </w:p>
    <w:p>
      <w:pPr>
        <w:spacing w:after="40" w:before="120"/>
      </w:pPr>
      <w:r>
        <w:rPr>
          <w:rFonts w:ascii="Calibri" w:cs="Calibri" w:eastAsia="Calibri" w:hAnsi="Calibri"/>
          <w:b/>
          <w:bCs/>
          <w:color w:val="2E74B5"/>
          <w:sz w:val="22"/>
          <w:szCs w:val="22"/>
        </w:rPr>
        <w:t xml:space="preserve">Q4. </w:t>
      </w:r>
      <w:r>
        <w:rPr>
          <w:rFonts w:ascii="Calibri" w:cs="Calibri" w:eastAsia="Calibri" w:hAnsi="Calibri"/>
          <w:b/>
          <w:bCs/>
          <w:color w:val="1F3864"/>
          <w:sz w:val="22"/>
          <w:szCs w:val="22"/>
        </w:rPr>
        <w:t xml:space="preserve">What data was collected and where did it come from?</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Data were collected from 50 real healthcare facilities from different parts of Bangladesh, including Union Health and Family Welfare Centres, 10-bed and 20-bed hospitals. Each facility's data comprised rooftop area (sq-ft), geographic location, monthly energy consumption, and sanctioned load, collected from respective utility offices. Since Bangladesh lies near the Tropic of Cancer, solar irradiance variation is minimal, so an average solar irradiance of 4.59 kWh/m²/day was applied across all 5,424 facilities.</w:t>
      </w:r>
    </w:p>
    <w:p>
      <w:pPr>
        <w:spacing w:after="40" w:before="120"/>
      </w:pPr>
      <w:r>
        <w:rPr>
          <w:rFonts w:ascii="Calibri" w:cs="Calibri" w:eastAsia="Calibri" w:hAnsi="Calibri"/>
          <w:b/>
          <w:bCs/>
          <w:color w:val="2E74B5"/>
          <w:sz w:val="22"/>
          <w:szCs w:val="22"/>
        </w:rPr>
        <w:t xml:space="preserve">Q5. </w:t>
      </w:r>
      <w:r>
        <w:rPr>
          <w:rFonts w:ascii="Calibri" w:cs="Calibri" w:eastAsia="Calibri" w:hAnsi="Calibri"/>
          <w:b/>
          <w:bCs/>
          <w:color w:val="1F3864"/>
          <w:sz w:val="22"/>
          <w:szCs w:val="22"/>
        </w:rPr>
        <w:t xml:space="preserve">Why was data from 50 facilities scaled to represent 5,424 facilities?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There are approximately 5,424 union-level healthcare facilities in Bangladesh, mostly small and operating during daytime, sharing similar load profiles. Since facility-level variation was minimal due to geographic consistency, the study consolidated all 5,424 facilities into a single aggregated unit for system sizing. The total rooftop area was calculated as 70,799 m², with 70% used for installation, yielding an installed capacity of 7.86 MWp AC.</w:t>
      </w:r>
    </w:p>
    <w:p>
      <w:pPr>
        <w:spacing w:after="40" w:before="120"/>
      </w:pPr>
      <w:r>
        <w:rPr>
          <w:rFonts w:ascii="Calibri" w:cs="Calibri" w:eastAsia="Calibri" w:hAnsi="Calibri"/>
          <w:b/>
          <w:bCs/>
          <w:color w:val="2E74B5"/>
          <w:sz w:val="22"/>
          <w:szCs w:val="22"/>
        </w:rPr>
        <w:t xml:space="preserve">Q6. </w:t>
      </w:r>
      <w:r>
        <w:rPr>
          <w:rFonts w:ascii="Calibri" w:cs="Calibri" w:eastAsia="Calibri" w:hAnsi="Calibri"/>
          <w:b/>
          <w:bCs/>
          <w:color w:val="1F3864"/>
          <w:sz w:val="22"/>
          <w:szCs w:val="22"/>
        </w:rPr>
        <w:t xml:space="preserve">What methodology and 10-step process does the study follow?</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is a quantitative techno-economic feasibility study using a structured 10-step methodology: (1) collect rooftop area, (2) measure solar irradiance, (3) calculate PV panel azimuth angle, (4) collect sanctioned load, (5) collect monthly electricity consumption, (6) perform system sizing per the Net Metering Guideline, (7) perform cost-benefit analysis, (8) add carbon credit revenue based on CAGR%, (9) verify accuracy with the SREDA NEM calculator, and (10) perform sensitivity analysis. This combines SREDA's tool with an extended dual-revenue financial model.</w:t>
      </w:r>
    </w:p>
    <w:p>
      <w:pPr>
        <w:spacing w:after="40" w:before="120"/>
      </w:pPr>
      <w:r>
        <w:rPr>
          <w:rFonts w:ascii="Calibri" w:cs="Calibri" w:eastAsia="Calibri" w:hAnsi="Calibri"/>
          <w:b/>
          <w:bCs/>
          <w:color w:val="2E74B5"/>
          <w:sz w:val="22"/>
          <w:szCs w:val="22"/>
        </w:rPr>
        <w:t xml:space="preserve">Q7. </w:t>
      </w:r>
      <w:r>
        <w:rPr>
          <w:rFonts w:ascii="Calibri" w:cs="Calibri" w:eastAsia="Calibri" w:hAnsi="Calibri"/>
          <w:b/>
          <w:bCs/>
          <w:color w:val="1F3864"/>
          <w:sz w:val="22"/>
          <w:szCs w:val="22"/>
        </w:rPr>
        <w:t xml:space="preserve">What financial metrics are computed and which formulas/factors are used?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computes Net Present Value (NPV), Internal Rate of Return (IRR), Payback Period, and Levelised Cost of Electricity (LCOE). The Grid Emission Factor (GEF = 484 gCO₂/kWh) is applied to estimate CO₂ reductions and carbon credit earnings. Carbon credit revenue is modelled across multiple CAGR scenarios (1.5%, 3%, 5%, 0%, −10%, −25%, −50%) to handle market volatility, with initial carbon credit price set at US$5 per unit.</w:t>
      </w:r>
    </w:p>
    <w:p>
      <w:pPr>
        <w:spacing w:after="40" w:before="120"/>
      </w:pPr>
      <w:r>
        <w:rPr>
          <w:rFonts w:ascii="Calibri" w:cs="Calibri" w:eastAsia="Calibri" w:hAnsi="Calibri"/>
          <w:b/>
          <w:bCs/>
          <w:color w:val="2E74B5"/>
          <w:sz w:val="22"/>
          <w:szCs w:val="22"/>
        </w:rPr>
        <w:t xml:space="preserve">Q8. </w:t>
      </w:r>
      <w:r>
        <w:rPr>
          <w:rFonts w:ascii="Calibri" w:cs="Calibri" w:eastAsia="Calibri" w:hAnsi="Calibri"/>
          <w:b/>
          <w:bCs/>
          <w:color w:val="1F3864"/>
          <w:sz w:val="22"/>
          <w:szCs w:val="22"/>
        </w:rPr>
        <w:t xml:space="preserve">What is the novel financial model contribution of this paper?</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paper introduces a novel financial model for Bangladesh's rooftop solar sector that integrates revenue from carbon credit sales alongside electricity revenue. Carbon credits (Certified Emission Reductions, CERs) earned under the Clean Development Mechanism (CDM) or voluntary carbon markets are added as a second income stream in the cost-benefit analysis. This dual-revenue approach had not previously been applied to the rooftop solar NMS sector in Bangladesh, representing a unique financial innovation applicable to developing countries.</w:t>
      </w:r>
    </w:p>
    <w:p>
      <w:pPr>
        <w:spacing w:after="40" w:before="120"/>
      </w:pPr>
      <w:r>
        <w:rPr>
          <w:rFonts w:ascii="Calibri" w:cs="Calibri" w:eastAsia="Calibri" w:hAnsi="Calibri"/>
          <w:b/>
          <w:bCs/>
          <w:color w:val="2E74B5"/>
          <w:sz w:val="22"/>
          <w:szCs w:val="22"/>
        </w:rPr>
        <w:t xml:space="preserve">Q9. </w:t>
      </w:r>
      <w:r>
        <w:rPr>
          <w:rFonts w:ascii="Calibri" w:cs="Calibri" w:eastAsia="Calibri" w:hAnsi="Calibri"/>
          <w:b/>
          <w:bCs/>
          <w:color w:val="1F3864"/>
          <w:sz w:val="22"/>
          <w:szCs w:val="22"/>
        </w:rPr>
        <w:t xml:space="preserve">What type of analysis is performed and how is the sensitivity analysis structured?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performs quantitative techno-economic analysis with a comprehensive sensitivity analysis. Multiple CAGR scenarios for carbon credit prices (+5%, +3%, +1.5%, 0%, −1.5%, −3%, −5%, −10%, −25%, −50%) are tested to assess robustness under volatile carbon market conditions. Spider charts (Figures 16 and 17) visualise the sensitivity of NPV and IRR to CAGR changes, showing that even at −50% CAGR the NPV remains positive (US$3.38M) and IRR at 7.83%.</w:t>
      </w:r>
    </w:p>
    <w:p>
      <w:pPr>
        <w:spacing w:after="40" w:before="120"/>
      </w:pPr>
      <w:r>
        <w:rPr>
          <w:rFonts w:ascii="Calibri" w:cs="Calibri" w:eastAsia="Calibri" w:hAnsi="Calibri"/>
          <w:b/>
          <w:bCs/>
          <w:color w:val="2E74B5"/>
          <w:sz w:val="22"/>
          <w:szCs w:val="22"/>
        </w:rPr>
        <w:t xml:space="preserve">Q10. </w:t>
      </w:r>
      <w:r>
        <w:rPr>
          <w:rFonts w:ascii="Calibri" w:cs="Calibri" w:eastAsia="Calibri" w:hAnsi="Calibri"/>
          <w:b/>
          <w:bCs/>
          <w:color w:val="1F3864"/>
          <w:sz w:val="22"/>
          <w:szCs w:val="22"/>
        </w:rPr>
        <w:t xml:space="preserve">What are the key results for energy generation and CO₂ emission reduction?</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7.86 MWp system is projected to generate 171.48 GWh of electricity over a 20-year lifetime. The system will reduce approximately 82,999.02 metric tonnes of CO₂ equivalent (MTCO₂e) over the project lifetime, calculated using the GEF of 484 gCO₂/kWh. Annual energy generation starts at around 9,200 MWh and declines gradually as PV efficiency degrades from 99% in year 1 to 83% by year 20.</w:t>
      </w:r>
    </w:p>
    <w:p>
      <w:pPr>
        <w:spacing w:after="40" w:before="120"/>
      </w:pPr>
      <w:r>
        <w:rPr>
          <w:rFonts w:ascii="Calibri" w:cs="Calibri" w:eastAsia="Calibri" w:hAnsi="Calibri"/>
          <w:b/>
          <w:bCs/>
          <w:color w:val="2E74B5"/>
          <w:sz w:val="22"/>
          <w:szCs w:val="22"/>
        </w:rPr>
        <w:t xml:space="preserve">Q11. </w:t>
      </w:r>
      <w:r>
        <w:rPr>
          <w:rFonts w:ascii="Calibri" w:cs="Calibri" w:eastAsia="Calibri" w:hAnsi="Calibri"/>
          <w:b/>
          <w:bCs/>
          <w:color w:val="1F3864"/>
          <w:sz w:val="22"/>
          <w:szCs w:val="22"/>
        </w:rPr>
        <w:t xml:space="preserve">What are the cost and revenue findings of the cost-benefit analysis?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initial investment is US$2.25 million and the total present value investment over 20 years is approximately US$3.59 million (including maintenance at 2%, insurance at 0.5%, and inverter replacement at 25% in year 11). Revenue from solar energy alone is estimated at US$6.94 million in present value. With carbon credits, total combined revenue reaches US$7.319 million at 1.5% CAGR, US$7.374 million at 3% CAGR, and US$7.463 million at 5% CAGR.</w:t>
      </w:r>
    </w:p>
    <w:p>
      <w:pPr>
        <w:spacing w:after="40" w:before="120"/>
      </w:pPr>
      <w:r>
        <w:rPr>
          <w:rFonts w:ascii="Calibri" w:cs="Calibri" w:eastAsia="Calibri" w:hAnsi="Calibri"/>
          <w:b/>
          <w:bCs/>
          <w:color w:val="2E74B5"/>
          <w:sz w:val="22"/>
          <w:szCs w:val="22"/>
        </w:rPr>
        <w:t xml:space="preserve">Q12. </w:t>
      </w:r>
      <w:r>
        <w:rPr>
          <w:rFonts w:ascii="Calibri" w:cs="Calibri" w:eastAsia="Calibri" w:hAnsi="Calibri"/>
          <w:b/>
          <w:bCs/>
          <w:color w:val="1F3864"/>
          <w:sz w:val="22"/>
          <w:szCs w:val="22"/>
        </w:rPr>
        <w:t xml:space="preserve">What are the NPV, IRR, payback period, and LCOE results across CAGR scenarios?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At a 5% CAGR for carbon credits, the NPV is US$3.86 million, IRR is 9.85%, payback period is 8.35 years, and LCOE is US$0.0179/kWh. At 0% CAGR (no carbon credit growth), the NPV remains US$3.67 million, IRR 9.31%, and payback 8.52 years. All scenarios produce a significantly lower LCOE (US$0.0179–0.0207/kWh) than the current BREB grid tariff of US$0.0358/kWh, confirming strong financial viability.</w:t>
      </w:r>
    </w:p>
    <w:p>
      <w:pPr>
        <w:spacing w:after="40" w:before="120"/>
      </w:pPr>
      <w:r>
        <w:rPr>
          <w:rFonts w:ascii="Calibri" w:cs="Calibri" w:eastAsia="Calibri" w:hAnsi="Calibri"/>
          <w:b/>
          <w:bCs/>
          <w:color w:val="2E74B5"/>
          <w:sz w:val="22"/>
          <w:szCs w:val="22"/>
        </w:rPr>
        <w:t xml:space="preserve">Q13. </w:t>
      </w:r>
      <w:r>
        <w:rPr>
          <w:rFonts w:ascii="Calibri" w:cs="Calibri" w:eastAsia="Calibri" w:hAnsi="Calibri"/>
          <w:b/>
          <w:bCs/>
          <w:color w:val="1F3864"/>
          <w:sz w:val="22"/>
          <w:szCs w:val="22"/>
        </w:rPr>
        <w:t xml:space="preserve">What gaps were found in the 2018 and 2025 Net Metering Guidelines and what improvements are recommended?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2018 guideline restricted eligibility to single-phase consumers and capped system size at 70% of sanctioned load with a 10 MW project cap. The 2025 guideline extended eligibility to three-phase consumers and removed the 10 MW cap, but still fails to address consumer billing control, excess power marketing restrictions, OPEX model financial disputes, and PPA rigidity. The paper recommends bonus payments for grid-fed energy, tax exemptions, carbon credit trading access for prosumers, and capacity building for certified installers.</w:t>
      </w:r>
    </w:p>
    <w:p>
      <w:pPr>
        <w:spacing w:after="40" w:before="120"/>
      </w:pPr>
      <w:r>
        <w:rPr>
          <w:rFonts w:ascii="Calibri" w:cs="Calibri" w:eastAsia="Calibri" w:hAnsi="Calibri"/>
          <w:b/>
          <w:bCs/>
          <w:color w:val="2E74B5"/>
          <w:sz w:val="22"/>
          <w:szCs w:val="22"/>
        </w:rPr>
        <w:t xml:space="preserve">Q14. </w:t>
      </w:r>
      <w:r>
        <w:rPr>
          <w:rFonts w:ascii="Calibri" w:cs="Calibri" w:eastAsia="Calibri" w:hAnsi="Calibri"/>
          <w:b/>
          <w:bCs/>
          <w:color w:val="1F3864"/>
          <w:sz w:val="22"/>
          <w:szCs w:val="22"/>
        </w:rPr>
        <w:t xml:space="preserve">What are the main limitations of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solar NMS system does not include battery storage, so it cannot operate during grid outages, limiting reliability benefits. The study aggregates all 5,424 healthcare facilities into a single unit, meaning individual facility performance may vary based on local load profiles, rooftop availability, and local grid conditions. Additionally, the study assumes a constant average solar irradiance of 4.59 kWh/m²/day across Bangladesh, which may not fully capture regional variation.</w:t>
      </w:r>
    </w:p>
    <w:p>
      <w:pPr>
        <w:spacing w:after="40" w:before="120"/>
      </w:pPr>
      <w:r>
        <w:rPr>
          <w:rFonts w:ascii="Calibri" w:cs="Calibri" w:eastAsia="Calibri" w:hAnsi="Calibri"/>
          <w:b/>
          <w:bCs/>
          <w:color w:val="2E74B5"/>
          <w:sz w:val="22"/>
          <w:szCs w:val="22"/>
        </w:rPr>
        <w:t xml:space="preserve">Q15. </w:t>
      </w:r>
      <w:r>
        <w:rPr>
          <w:rFonts w:ascii="Calibri" w:cs="Calibri" w:eastAsia="Calibri" w:hAnsi="Calibri"/>
          <w:b/>
          <w:bCs/>
          <w:color w:val="1F3864"/>
          <w:sz w:val="22"/>
          <w:szCs w:val="22"/>
        </w:rPr>
        <w:t xml:space="preserve">What are the real-world impacts and applications of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demonstrates that rooftop solar NMS is financially viable for Bangladesh's rural healthcare sector, producing a positive NPV even in declining carbon credit scenarios (−50% CAGR), making it the most cost-effective electricity source after hydropower. Carbon credit revenue can serve as a game-changer for project financing, supporting a carbon-neutral healthcare sector aligned with Bangladesh's Paris Agreement NDC targets. The study's methodology and policy recommendations provide a practical roadmap for governments and investors to scale renewable energy adoption across healthcare in developing countries.</w:t>
      </w:r>
    </w:p>
    <w:p>
      <w:pPr>
        <w:spacing w:after="20" w:before="60"/>
      </w:pPr>
    </w:p>
    <w:p>
      <w:pPr>
        <w:spacing w:after="80" w:before="240"/>
      </w:pPr>
      <w:r>
        <w:rPr>
          <w:rFonts w:ascii="Calibri" w:cs="Calibri" w:eastAsia="Calibri" w:hAnsi="Calibri"/>
          <w:b/>
          <w:bCs/>
          <w:color w:val="2E74B5"/>
          <w:sz w:val="26"/>
          <w:szCs w:val="26"/>
        </w:rPr>
        <w:t xml:space="preserve">Glossary of Key Terms — Paper 1 — Solar/Carbon</w:t>
      </w:r>
    </w:p>
    <w:p>
      <w:pPr>
        <w:spacing w:after="40" w:before="60"/>
        <w:ind w:left="144"/>
      </w:pPr>
      <w:r>
        <w:rPr>
          <w:rFonts w:ascii="Calibri" w:cs="Calibri" w:eastAsia="Calibri" w:hAnsi="Calibri"/>
          <w:b/>
          <w:bCs/>
          <w:i w:val="false"/>
          <w:iCs w:val="false"/>
          <w:color w:val="2E74B5"/>
          <w:sz w:val="21"/>
          <w:szCs w:val="21"/>
        </w:rPr>
        <w:t xml:space="preserve">Net Metering System (NMS): </w:t>
      </w:r>
      <w:r>
        <w:rPr>
          <w:rFonts w:ascii="Calibri" w:cs="Calibri" w:eastAsia="Calibri" w:hAnsi="Calibri"/>
          <w:b w:val="false"/>
          <w:bCs w:val="false"/>
          <w:i w:val="false"/>
          <w:iCs w:val="false"/>
          <w:color w:val="000000"/>
          <w:sz w:val="21"/>
          <w:szCs w:val="21"/>
        </w:rPr>
        <w:t xml:space="preserve">A billing mechanism allowing solar owners to export surplus electricity to the national grid and receive credit; a bidirectional meter tracks both exported and imported energy.</w:t>
      </w:r>
    </w:p>
    <w:p>
      <w:pPr>
        <w:spacing w:after="40" w:before="60"/>
        <w:ind w:left="144"/>
      </w:pPr>
      <w:r>
        <w:rPr>
          <w:rFonts w:ascii="Calibri" w:cs="Calibri" w:eastAsia="Calibri" w:hAnsi="Calibri"/>
          <w:b/>
          <w:bCs/>
          <w:i w:val="false"/>
          <w:iCs w:val="false"/>
          <w:color w:val="2E74B5"/>
          <w:sz w:val="21"/>
          <w:szCs w:val="21"/>
        </w:rPr>
        <w:t xml:space="preserve">LCOE (Levelised Cost of Electricity): </w:t>
      </w:r>
      <w:r>
        <w:rPr>
          <w:rFonts w:ascii="Calibri" w:cs="Calibri" w:eastAsia="Calibri" w:hAnsi="Calibri"/>
          <w:b w:val="false"/>
          <w:bCs w:val="false"/>
          <w:i w:val="false"/>
          <w:iCs w:val="false"/>
          <w:color w:val="000000"/>
          <w:sz w:val="21"/>
          <w:szCs w:val="21"/>
        </w:rPr>
        <w:t xml:space="preserve">Average lifetime cost of electricity generation per kWh; calculated as total present-value investment ÷ total lifetime power generated; used to compare technology cost-effectiveness.</w:t>
      </w:r>
    </w:p>
    <w:p>
      <w:pPr>
        <w:spacing w:after="40" w:before="60"/>
        <w:ind w:left="144"/>
      </w:pPr>
      <w:r>
        <w:rPr>
          <w:rFonts w:ascii="Calibri" w:cs="Calibri" w:eastAsia="Calibri" w:hAnsi="Calibri"/>
          <w:b/>
          <w:bCs/>
          <w:i w:val="false"/>
          <w:iCs w:val="false"/>
          <w:color w:val="2E74B5"/>
          <w:sz w:val="21"/>
          <w:szCs w:val="21"/>
        </w:rPr>
        <w:t xml:space="preserve">CERs / Carbon Credits: </w:t>
      </w:r>
      <w:r>
        <w:rPr>
          <w:rFonts w:ascii="Calibri" w:cs="Calibri" w:eastAsia="Calibri" w:hAnsi="Calibri"/>
          <w:b w:val="false"/>
          <w:bCs w:val="false"/>
          <w:i w:val="false"/>
          <w:iCs w:val="false"/>
          <w:color w:val="000000"/>
          <w:sz w:val="21"/>
          <w:szCs w:val="21"/>
        </w:rPr>
        <w:t xml:space="preserve">Tradeable certificates each representing 1 tonne of CO₂ reduced or avoided; issued under CDM or voluntary carbon standards; a second revenue stream for this project.</w:t>
      </w:r>
    </w:p>
    <w:p>
      <w:pPr>
        <w:spacing w:after="40" w:before="60"/>
        <w:ind w:left="144"/>
      </w:pPr>
      <w:r>
        <w:rPr>
          <w:rFonts w:ascii="Calibri" w:cs="Calibri" w:eastAsia="Calibri" w:hAnsi="Calibri"/>
          <w:b/>
          <w:bCs/>
          <w:i w:val="false"/>
          <w:iCs w:val="false"/>
          <w:color w:val="2E74B5"/>
          <w:sz w:val="21"/>
          <w:szCs w:val="21"/>
        </w:rPr>
        <w:t xml:space="preserve">NPV (Net Present Value): </w:t>
      </w:r>
      <w:r>
        <w:rPr>
          <w:rFonts w:ascii="Calibri" w:cs="Calibri" w:eastAsia="Calibri" w:hAnsi="Calibri"/>
          <w:b w:val="false"/>
          <w:bCs w:val="false"/>
          <w:i w:val="false"/>
          <w:iCs w:val="false"/>
          <w:color w:val="000000"/>
          <w:sz w:val="21"/>
          <w:szCs w:val="21"/>
        </w:rPr>
        <w:t xml:space="preserve">Present value of cash inflows minus present value of outflows over a project's life; positive NPV = project creates value above its cost.</w:t>
      </w:r>
    </w:p>
    <w:p>
      <w:pPr>
        <w:spacing w:after="40" w:before="60"/>
        <w:ind w:left="144"/>
      </w:pPr>
      <w:r>
        <w:rPr>
          <w:rFonts w:ascii="Calibri" w:cs="Calibri" w:eastAsia="Calibri" w:hAnsi="Calibri"/>
          <w:b/>
          <w:bCs/>
          <w:i w:val="false"/>
          <w:iCs w:val="false"/>
          <w:color w:val="2E74B5"/>
          <w:sz w:val="21"/>
          <w:szCs w:val="21"/>
        </w:rPr>
        <w:t xml:space="preserve">IRR (Internal Rate of Return): </w:t>
      </w:r>
      <w:r>
        <w:rPr>
          <w:rFonts w:ascii="Calibri" w:cs="Calibri" w:eastAsia="Calibri" w:hAnsi="Calibri"/>
          <w:b w:val="false"/>
          <w:bCs w:val="false"/>
          <w:i w:val="false"/>
          <w:iCs w:val="false"/>
          <w:color w:val="000000"/>
          <w:sz w:val="21"/>
          <w:szCs w:val="21"/>
        </w:rPr>
        <w:t xml:space="preserve">The discount rate at which NPV = 0; compared against cost of capital to assess viability; higher IRR = more attractive investment.</w:t>
      </w:r>
    </w:p>
    <w:p>
      <w:pPr>
        <w:spacing w:after="40" w:before="60"/>
        <w:ind w:left="144"/>
      </w:pPr>
      <w:r>
        <w:rPr>
          <w:rFonts w:ascii="Calibri" w:cs="Calibri" w:eastAsia="Calibri" w:hAnsi="Calibri"/>
          <w:b/>
          <w:bCs/>
          <w:i w:val="false"/>
          <w:iCs w:val="false"/>
          <w:color w:val="2E74B5"/>
          <w:sz w:val="21"/>
          <w:szCs w:val="21"/>
        </w:rPr>
        <w:t xml:space="preserve">GEF (Grid Emission Factor): </w:t>
      </w:r>
      <w:r>
        <w:rPr>
          <w:rFonts w:ascii="Calibri" w:cs="Calibri" w:eastAsia="Calibri" w:hAnsi="Calibri"/>
          <w:b w:val="false"/>
          <w:bCs w:val="false"/>
          <w:i w:val="false"/>
          <w:iCs w:val="false"/>
          <w:color w:val="000000"/>
          <w:sz w:val="21"/>
          <w:szCs w:val="21"/>
        </w:rPr>
        <w:t xml:space="preserve">CO₂ equivalent emitted per kWh of national grid electricity; Bangladesh's value = 484 gCO₂/kWh; used to calculate CO₂ reduction from solar generation.</w:t>
      </w:r>
    </w:p>
    <w:p>
      <w:pPr>
        <w:spacing w:after="40" w:before="60"/>
        <w:ind w:left="144"/>
      </w:pPr>
      <w:r>
        <w:rPr>
          <w:rFonts w:ascii="Calibri" w:cs="Calibri" w:eastAsia="Calibri" w:hAnsi="Calibri"/>
          <w:b/>
          <w:bCs/>
          <w:i w:val="false"/>
          <w:iCs w:val="false"/>
          <w:color w:val="2E74B5"/>
          <w:sz w:val="21"/>
          <w:szCs w:val="21"/>
        </w:rPr>
        <w:t xml:space="preserve">CAGR (Compound Annual Growth Rate): </w:t>
      </w:r>
      <w:r>
        <w:rPr>
          <w:rFonts w:ascii="Calibri" w:cs="Calibri" w:eastAsia="Calibri" w:hAnsi="Calibri"/>
          <w:b w:val="false"/>
          <w:bCs w:val="false"/>
          <w:i w:val="false"/>
          <w:iCs w:val="false"/>
          <w:color w:val="000000"/>
          <w:sz w:val="21"/>
          <w:szCs w:val="21"/>
        </w:rPr>
        <w:t xml:space="preserve">Annualised growth rate of carbon credit prices; modelled across 10 scenarios (−50% to +5%) to test financial robustness under carbon market volatility.</w:t>
      </w:r>
    </w:p>
    <w:p>
      <w:pPr>
        <w:spacing w:after="40" w:before="60"/>
        <w:ind w:left="144"/>
      </w:pPr>
      <w:r>
        <w:rPr>
          <w:rFonts w:ascii="Calibri" w:cs="Calibri" w:eastAsia="Calibri" w:hAnsi="Calibri"/>
          <w:b/>
          <w:bCs/>
          <w:i w:val="false"/>
          <w:iCs w:val="false"/>
          <w:color w:val="2E74B5"/>
          <w:sz w:val="21"/>
          <w:szCs w:val="21"/>
        </w:rPr>
        <w:t xml:space="preserve">CDM (Clean Development Mechanism): </w:t>
      </w:r>
      <w:r>
        <w:rPr>
          <w:rFonts w:ascii="Calibri" w:cs="Calibri" w:eastAsia="Calibri" w:hAnsi="Calibri"/>
          <w:b w:val="false"/>
          <w:bCs w:val="false"/>
          <w:i w:val="false"/>
          <w:iCs w:val="false"/>
          <w:color w:val="000000"/>
          <w:sz w:val="21"/>
          <w:szCs w:val="21"/>
        </w:rPr>
        <w:t xml:space="preserve">Kyoto Protocol framework enabling developing-country emission-reduction projects to earn tradeable CERs; Bangladesh has CDM-registered projects through IDCOL.</w:t>
      </w:r>
    </w:p>
    <w:p>
      <w:r>
        <w:br w:type="page"/>
      </w:r>
    </w:p>
    <w:p>
      <w:pPr>
        <w:pBdr>
          <w:bottom w:val="single" w:color="006B75" w:sz="8" w:space="1"/>
        </w:pBdr>
        <w:spacing w:after="60" w:before="100"/>
      </w:pPr>
      <w:r>
        <w:rPr>
          <w:rFonts w:ascii="Calibri" w:cs="Calibri" w:eastAsia="Calibri" w:hAnsi="Calibri"/>
          <w:b/>
          <w:bCs/>
          <w:color w:val="006B75"/>
          <w:sz w:val="28"/>
          <w:szCs w:val="28"/>
        </w:rPr>
        <w:t xml:space="preserve">PART 2 — Paper 2 — CMED Feasibility</w:t>
      </w:r>
    </w:p>
    <w:p>
      <w:pPr>
        <w:spacing w:after="30" w:before="100"/>
      </w:pPr>
      <w:r>
        <w:rPr>
          <w:rFonts w:ascii="Calibri" w:cs="Calibri" w:eastAsia="Calibri" w:hAnsi="Calibri"/>
          <w:b/>
          <w:bCs/>
          <w:color w:val="1F3864"/>
          <w:sz w:val="22"/>
          <w:szCs w:val="22"/>
        </w:rPr>
        <w:t xml:space="preserve">Feasibility of Digital Health Services for Educating the Community People Regarding Lifestyle Modification Combating Noncommunicable Diseases</w:t>
      </w:r>
    </w:p>
    <w:p>
      <w:pPr>
        <w:spacing w:after="100" w:before="0"/>
      </w:pPr>
      <w:r>
        <w:rPr>
          <w:rFonts w:ascii="Calibri" w:cs="Calibri" w:eastAsia="Calibri" w:hAnsi="Calibri"/>
          <w:i/>
          <w:iCs/>
          <w:color w:val="595959"/>
          <w:sz w:val="20"/>
          <w:szCs w:val="20"/>
        </w:rPr>
        <w:t xml:space="preserve">Faruque, Mia, Chowdhury, Sarker, Mamun | HCII 2019, LNCS 11587</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E2EFDA" w:val="clear"/>
            <w:tcMar>
              <w:top w:type="dxa" w:w="80"/>
              <w:left w:type="dxa" w:w="120"/>
              <w:bottom w:type="dxa" w:w="80"/>
              <w:right w:type="dxa" w:w="120"/>
            </w:tcMar>
          </w:tcPr>
          <w:p>
            <w:pPr>
              <w:spacing w:after="40" w:before="40"/>
            </w:pPr>
            <w:r>
              <w:rPr>
                <w:rFonts w:ascii="Calibri" w:cs="Calibri" w:eastAsia="Calibri" w:hAnsi="Calibri"/>
                <w:b/>
                <w:bCs/>
                <w:color w:val="006B75"/>
                <w:sz w:val="21"/>
                <w:szCs w:val="21"/>
              </w:rPr>
              <w:t xml:space="preserve">Paper in One Sentence: </w:t>
            </w:r>
            <w:r>
              <w:rPr>
                <w:rFonts w:ascii="Calibri" w:cs="Calibri" w:eastAsia="Calibri" w:hAnsi="Calibri"/>
                <w:sz w:val="21"/>
                <w:szCs w:val="21"/>
              </w:rPr>
              <w:t xml:space="preserve">Demonstrates that the CMED IoT+AI platform is usable and effective for rural NCD screening, uncovering 15.8% diabetes (vs. 2.7% self-reported) and 11.5% hypertension (vs. 6.5%) across 7,000+ households.</w:t>
            </w:r>
          </w:p>
          <w:p>
            <w:pPr>
              <w:spacing w:after="40" w:before="20"/>
            </w:pPr>
            <w:r>
              <w:rPr>
                <w:rFonts w:ascii="Calibri" w:cs="Calibri" w:eastAsia="Calibri" w:hAnsi="Calibri"/>
                <w:b/>
                <w:bCs/>
                <w:color w:val="006B75"/>
                <w:sz w:val="21"/>
                <w:szCs w:val="21"/>
              </w:rPr>
              <w:t xml:space="preserve">Theme: </w:t>
            </w:r>
            <w:r>
              <w:rPr>
                <w:rFonts w:ascii="Calibri" w:cs="Calibri" w:eastAsia="Calibri" w:hAnsi="Calibri"/>
                <w:sz w:val="21"/>
                <w:szCs w:val="21"/>
              </w:rPr>
              <w:t xml:space="preserve">Action Research · IoT Digital Health · NCD Prevention Feasibility</w:t>
            </w:r>
          </w:p>
        </w:tc>
      </w:tr>
    </w:tbl>
    <w:p>
      <w:pPr>
        <w:spacing w:after="20" w:before="60"/>
      </w:pPr>
    </w:p>
    <w:p>
      <w:pPr>
        <w:spacing w:after="80" w:before="240"/>
      </w:pPr>
      <w:r>
        <w:rPr>
          <w:rFonts w:ascii="Calibri" w:cs="Calibri" w:eastAsia="Calibri" w:hAnsi="Calibri"/>
          <w:b/>
          <w:bCs/>
          <w:color w:val="006B75"/>
          <w:sz w:val="26"/>
          <w:szCs w:val="26"/>
        </w:rPr>
        <w:t xml:space="preserve">Paper 2 — CMED Feasibility: Paper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7667"/>
      </w:tblGrid>
      <w:tr>
        <w:trPr>
          <w:tblHeader/>
        </w:trPr>
        <w:tc>
          <w:tcPr>
            <w:tcW w:type="dxa" w:w="1683"/>
            <w:shd w:fill="006B75" w:val="clear"/>
          </w:tcPr>
          <w:p>
            <w:pPr>
              <w:spacing w:after="40" w:before="40"/>
            </w:pPr>
            <w:r>
              <w:rPr>
                <w:rFonts w:ascii="Calibri" w:cs="Calibri" w:eastAsia="Calibri" w:hAnsi="Calibri"/>
                <w:b/>
                <w:bCs/>
                <w:color w:val="FFFFFF"/>
                <w:sz w:val="18"/>
                <w:szCs w:val="18"/>
              </w:rPr>
              <w:t xml:space="preserve">Dimension</w:t>
            </w:r>
          </w:p>
        </w:tc>
        <w:tc>
          <w:tcPr>
            <w:tcW w:type="dxa" w:w="7667"/>
            <w:shd w:fill="006B75" w:val="clear"/>
          </w:tcPr>
          <w:p>
            <w:pPr>
              <w:spacing w:after="40" w:before="40"/>
            </w:pPr>
            <w:r>
              <w:rPr>
                <w:rFonts w:ascii="Calibri" w:cs="Calibri" w:eastAsia="Calibri" w:hAnsi="Calibri"/>
                <w:b/>
                <w:bCs/>
                <w:color w:val="FFFFFF"/>
                <w:sz w:val="18"/>
                <w:szCs w:val="18"/>
              </w:rPr>
              <w:t xml:space="preserve">Details</w:t>
            </w:r>
          </w:p>
        </w:tc>
      </w:tr>
      <w:tr>
        <w:tc>
          <w:tcPr>
            <w:tcW w:type="dxa" w:w="1683"/>
            <w:shd w:fill="E2EFDA" w:val="clear"/>
          </w:tcPr>
          <w:p>
            <w:pPr>
              <w:spacing w:after="30" w:before="30"/>
            </w:pPr>
            <w:r>
              <w:rPr>
                <w:rFonts w:ascii="Calibri" w:cs="Calibri" w:eastAsia="Calibri" w:hAnsi="Calibri"/>
                <w:b/>
                <w:bCs/>
                <w:color w:val="2E74B5"/>
                <w:sz w:val="18"/>
                <w:szCs w:val="18"/>
              </w:rPr>
              <w:t xml:space="preserve">Problem</w:t>
            </w:r>
          </w:p>
        </w:tc>
        <w:tc>
          <w:tcPr>
            <w:tcW w:type="dxa" w:w="7667"/>
            <w:shd w:fill="E2EFDA" w:val="clear"/>
          </w:tcPr>
          <w:p>
            <w:pPr>
              <w:spacing w:after="30" w:before="30"/>
            </w:pPr>
            <w:r>
              <w:rPr>
                <w:rFonts w:ascii="Calibri" w:cs="Calibri" w:eastAsia="Calibri" w:hAnsi="Calibri"/>
                <w:b w:val="false"/>
                <w:bCs w:val="false"/>
                <w:color w:val="000000"/>
                <w:sz w:val="18"/>
                <w:szCs w:val="18"/>
              </w:rPr>
              <w:t xml:space="preserve">NCDs cause 67% of Bangladesh deaths; rural communities lack preventive care; mHealth apps not tested for NCD community-level prevention</w:t>
            </w:r>
          </w:p>
        </w:tc>
      </w:tr>
      <w:tr>
        <w:tc>
          <w:tcPr>
            <w:tcW w:type="dxa" w:w="1683"/>
          </w:tcPr>
          <w:p>
            <w:pPr>
              <w:spacing w:after="30" w:before="30"/>
            </w:pPr>
            <w:r>
              <w:rPr>
                <w:rFonts w:ascii="Calibri" w:cs="Calibri" w:eastAsia="Calibri" w:hAnsi="Calibri"/>
                <w:b/>
                <w:bCs/>
                <w:color w:val="2E74B5"/>
                <w:sz w:val="18"/>
                <w:szCs w:val="18"/>
              </w:rPr>
              <w:t xml:space="preserve">Research Gap</w:t>
            </w:r>
          </w:p>
        </w:tc>
        <w:tc>
          <w:tcPr>
            <w:tcW w:type="dxa" w:w="7667"/>
          </w:tcPr>
          <w:p>
            <w:pPr>
              <w:spacing w:after="30" w:before="30"/>
            </w:pPr>
            <w:r>
              <w:rPr>
                <w:rFonts w:ascii="Calibri" w:cs="Calibri" w:eastAsia="Calibri" w:hAnsi="Calibri"/>
                <w:b w:val="false"/>
                <w:bCs w:val="false"/>
                <w:color w:val="000000"/>
                <w:sz w:val="18"/>
                <w:szCs w:val="18"/>
              </w:rPr>
              <w:t xml:space="preserve">No published evidence on usability/efficacy of commercially deployed digital health platforms for NCD prevention in rural Bangladesh</w:t>
            </w:r>
          </w:p>
        </w:tc>
      </w:tr>
      <w:tr>
        <w:tc>
          <w:tcPr>
            <w:tcW w:type="dxa" w:w="1683"/>
            <w:shd w:fill="E2EFDA" w:val="clear"/>
          </w:tcPr>
          <w:p>
            <w:pPr>
              <w:spacing w:after="30" w:before="30"/>
            </w:pPr>
            <w:r>
              <w:rPr>
                <w:rFonts w:ascii="Calibri" w:cs="Calibri" w:eastAsia="Calibri" w:hAnsi="Calibri"/>
                <w:b/>
                <w:bCs/>
                <w:color w:val="2E74B5"/>
                <w:sz w:val="18"/>
                <w:szCs w:val="18"/>
              </w:rPr>
              <w:t xml:space="preserve">Methodology</w:t>
            </w:r>
          </w:p>
        </w:tc>
        <w:tc>
          <w:tcPr>
            <w:tcW w:type="dxa" w:w="7667"/>
            <w:shd w:fill="E2EFDA" w:val="clear"/>
          </w:tcPr>
          <w:p>
            <w:pPr>
              <w:spacing w:after="30" w:before="30"/>
            </w:pPr>
            <w:r>
              <w:rPr>
                <w:rFonts w:ascii="Calibri" w:cs="Calibri" w:eastAsia="Calibri" w:hAnsi="Calibri"/>
                <w:b w:val="false"/>
                <w:bCs w:val="false"/>
                <w:color w:val="000000"/>
                <w:sz w:val="18"/>
                <w:szCs w:val="18"/>
              </w:rPr>
              <w:t xml:space="preserve">Action Research; mixed-methods (quantitative questionnaire + KII + 4 FGDs + participant observation); 4 evaluation components: content, usability, observational, efficacy</w:t>
            </w:r>
          </w:p>
        </w:tc>
      </w:tr>
      <w:tr>
        <w:tc>
          <w:tcPr>
            <w:tcW w:type="dxa" w:w="1683"/>
          </w:tcPr>
          <w:p>
            <w:pPr>
              <w:spacing w:after="30" w:before="30"/>
            </w:pPr>
            <w:r>
              <w:rPr>
                <w:rFonts w:ascii="Calibri" w:cs="Calibri" w:eastAsia="Calibri" w:hAnsi="Calibri"/>
                <w:b/>
                <w:bCs/>
                <w:color w:val="2E74B5"/>
                <w:sz w:val="18"/>
                <w:szCs w:val="18"/>
              </w:rPr>
              <w:t xml:space="preserve">Data</w:t>
            </w:r>
          </w:p>
        </w:tc>
        <w:tc>
          <w:tcPr>
            <w:tcW w:type="dxa" w:w="7667"/>
          </w:tcPr>
          <w:p>
            <w:pPr>
              <w:spacing w:after="30" w:before="30"/>
            </w:pPr>
            <w:r>
              <w:rPr>
                <w:rFonts w:ascii="Calibri" w:cs="Calibri" w:eastAsia="Calibri" w:hAnsi="Calibri"/>
                <w:b w:val="false"/>
                <w:bCs w:val="false"/>
                <w:color w:val="000000"/>
                <w:sz w:val="18"/>
                <w:szCs w:val="18"/>
              </w:rPr>
              <w:t xml:space="preserve">393 questionnaires; 17,907 adults screened; health data from &gt;7,000 households over 6 months</w:t>
            </w:r>
          </w:p>
        </w:tc>
      </w:tr>
      <w:tr>
        <w:tc>
          <w:tcPr>
            <w:tcW w:type="dxa" w:w="1683"/>
            <w:shd w:fill="E2EFDA" w:val="clear"/>
          </w:tcPr>
          <w:p>
            <w:pPr>
              <w:spacing w:after="30" w:before="30"/>
            </w:pPr>
            <w:r>
              <w:rPr>
                <w:rFonts w:ascii="Calibri" w:cs="Calibri" w:eastAsia="Calibri" w:hAnsi="Calibri"/>
                <w:b/>
                <w:bCs/>
                <w:color w:val="2E74B5"/>
                <w:sz w:val="18"/>
                <w:szCs w:val="18"/>
              </w:rPr>
              <w:t xml:space="preserve">Evaluation</w:t>
            </w:r>
          </w:p>
        </w:tc>
        <w:tc>
          <w:tcPr>
            <w:tcW w:type="dxa" w:w="7667"/>
            <w:shd w:fill="E2EFDA" w:val="clear"/>
          </w:tcPr>
          <w:p>
            <w:pPr>
              <w:spacing w:after="30" w:before="30"/>
            </w:pPr>
            <w:r>
              <w:rPr>
                <w:rFonts w:ascii="Calibri" w:cs="Calibri" w:eastAsia="Calibri" w:hAnsi="Calibri"/>
                <w:b w:val="false"/>
                <w:bCs w:val="false"/>
                <w:color w:val="000000"/>
                <w:sz w:val="18"/>
                <w:szCs w:val="18"/>
              </w:rPr>
              <w:t xml:space="preserve">Content vs. National Protocol; usability testing-and-fixing; NCD detection rates; acceptance rate</w:t>
            </w:r>
          </w:p>
        </w:tc>
      </w:tr>
      <w:tr>
        <w:tc>
          <w:tcPr>
            <w:tcW w:type="dxa" w:w="1683"/>
          </w:tcPr>
          <w:p>
            <w:pPr>
              <w:spacing w:after="30" w:before="30"/>
            </w:pPr>
            <w:r>
              <w:rPr>
                <w:rFonts w:ascii="Calibri" w:cs="Calibri" w:eastAsia="Calibri" w:hAnsi="Calibri"/>
                <w:b/>
                <w:bCs/>
                <w:color w:val="2E74B5"/>
                <w:sz w:val="18"/>
                <w:szCs w:val="18"/>
              </w:rPr>
              <w:t xml:space="preserve">Impact</w:t>
            </w:r>
          </w:p>
        </w:tc>
        <w:tc>
          <w:tcPr>
            <w:tcW w:type="dxa" w:w="7667"/>
          </w:tcPr>
          <w:p>
            <w:pPr>
              <w:spacing w:after="30" w:before="30"/>
            </w:pPr>
            <w:r>
              <w:rPr>
                <w:rFonts w:ascii="Calibri" w:cs="Calibri" w:eastAsia="Calibri" w:hAnsi="Calibri"/>
                <w:b w:val="false"/>
                <w:bCs w:val="false"/>
                <w:color w:val="000000"/>
                <w:sz w:val="18"/>
                <w:szCs w:val="18"/>
              </w:rPr>
              <w:t xml:space="preserve">Recommended as feasible NCD prevention model for rural/urban Bangladesh communities</w:t>
            </w:r>
          </w:p>
        </w:tc>
      </w:tr>
    </w:tbl>
    <w:p>
      <w:pPr>
        <w:spacing w:after="20" w:before="80"/>
      </w:pPr>
    </w:p>
    <w:p>
      <w:pPr>
        <w:spacing w:after="80" w:before="240"/>
      </w:pPr>
      <w:r>
        <w:rPr>
          <w:rFonts w:ascii="Calibri" w:cs="Calibri" w:eastAsia="Calibri" w:hAnsi="Calibri"/>
          <w:b/>
          <w:bCs/>
          <w:color w:val="006B75"/>
          <w:sz w:val="26"/>
          <w:szCs w:val="26"/>
        </w:rPr>
        <w:t xml:space="preserve">Key Numbers — Paper 2 — CMED Feasibility</w:t>
      </w:r>
    </w:p>
    <w:p>
      <w:pPr>
        <w:spacing w:after="60" w:before="40"/>
        <w:jc w:val="left"/>
      </w:pPr>
      <w:r>
        <w:rPr>
          <w:rFonts w:ascii="Calibri" w:cs="Calibri" w:eastAsia="Calibri" w:hAnsi="Calibri"/>
          <w:b w:val="false"/>
          <w:bCs w:val="false"/>
          <w:i/>
          <w:iCs/>
          <w:color w:val="595959"/>
          <w:sz w:val="20"/>
          <w:szCs w:val="20"/>
        </w:rPr>
        <w:t xml:space="preserve">Memorise these numbers. They are the most likely to appear in exam questions.</w:t>
      </w:r>
    </w:p>
    <w:p>
      <w:pPr>
        <w:spacing w:after="20" w:before="40"/>
      </w:pPr>
    </w:p>
    <w:tbl>
      <w:tblPr>
        <w:tblW w:type="dxa" w:w="6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tblGrid>
      <w:tr>
        <w:tc>
          <w:tcPr>
            <w:tcW w:type="dxa" w:w="2300"/>
            <w:shd w:fill="DEEAF1" w:val="clear"/>
          </w:tcPr>
          <w:p>
            <w:pPr>
              <w:spacing w:after="30" w:before="30"/>
            </w:pPr>
            <w:r>
              <w:rPr>
                <w:rFonts w:ascii="Calibri" w:cs="Calibri" w:eastAsia="Calibri" w:hAnsi="Calibri"/>
                <w:b/>
                <w:bCs/>
                <w:color w:val="1F3864"/>
                <w:sz w:val="19"/>
                <w:szCs w:val="19"/>
              </w:rPr>
              <w:t xml:space="preserve">Pilot Location</w:t>
            </w:r>
          </w:p>
        </w:tc>
        <w:tc>
          <w:tcPr>
            <w:tcW w:type="dxa" w:w="4600"/>
            <w:shd w:fill="F2F8FD" w:val="clear"/>
          </w:tcPr>
          <w:p>
            <w:pPr>
              <w:spacing w:after="30" w:before="30"/>
            </w:pPr>
            <w:r>
              <w:rPr>
                <w:rFonts w:ascii="Calibri" w:cs="Calibri" w:eastAsia="Calibri" w:hAnsi="Calibri"/>
                <w:color w:val="000000"/>
                <w:sz w:val="19"/>
                <w:szCs w:val="19"/>
              </w:rPr>
              <w:t xml:space="preserve">Dhamrai upazila, Dhaka district — 21 villages</w:t>
            </w:r>
          </w:p>
        </w:tc>
      </w:tr>
      <w:tr>
        <w:tc>
          <w:tcPr>
            <w:tcW w:type="dxa" w:w="2300"/>
            <w:shd w:fill="DEEAF1" w:val="clear"/>
          </w:tcPr>
          <w:p>
            <w:pPr>
              <w:spacing w:after="30" w:before="30"/>
            </w:pPr>
            <w:r>
              <w:rPr>
                <w:rFonts w:ascii="Calibri" w:cs="Calibri" w:eastAsia="Calibri" w:hAnsi="Calibri"/>
                <w:b/>
                <w:bCs/>
                <w:color w:val="1F3864"/>
                <w:sz w:val="19"/>
                <w:szCs w:val="19"/>
              </w:rPr>
              <w:t xml:space="preserve">Households Covered</w:t>
            </w:r>
          </w:p>
        </w:tc>
        <w:tc>
          <w:tcPr>
            <w:tcW w:type="dxa" w:w="4600"/>
            <w:shd w:fill="F2F2F2" w:val="clear"/>
          </w:tcPr>
          <w:p>
            <w:pPr>
              <w:spacing w:after="30" w:before="30"/>
            </w:pPr>
            <w:r>
              <w:rPr>
                <w:rFonts w:ascii="Calibri" w:cs="Calibri" w:eastAsia="Calibri" w:hAnsi="Calibri"/>
                <w:color w:val="000000"/>
                <w:sz w:val="19"/>
                <w:szCs w:val="19"/>
              </w:rPr>
              <w:t xml:space="preserve">&gt;7,000 households</w:t>
            </w:r>
          </w:p>
        </w:tc>
      </w:tr>
      <w:tr>
        <w:tc>
          <w:tcPr>
            <w:tcW w:type="dxa" w:w="2300"/>
            <w:shd w:fill="DEEAF1" w:val="clear"/>
          </w:tcPr>
          <w:p>
            <w:pPr>
              <w:spacing w:after="30" w:before="30"/>
            </w:pPr>
            <w:r>
              <w:rPr>
                <w:rFonts w:ascii="Calibri" w:cs="Calibri" w:eastAsia="Calibri" w:hAnsi="Calibri"/>
                <w:b/>
                <w:bCs/>
                <w:color w:val="1F3864"/>
                <w:sz w:val="19"/>
                <w:szCs w:val="19"/>
              </w:rPr>
              <w:t xml:space="preserve">Service Receivers Surveyed</w:t>
            </w:r>
          </w:p>
        </w:tc>
        <w:tc>
          <w:tcPr>
            <w:tcW w:type="dxa" w:w="4600"/>
            <w:shd w:fill="F2F8FD" w:val="clear"/>
          </w:tcPr>
          <w:p>
            <w:pPr>
              <w:spacing w:after="30" w:before="30"/>
            </w:pPr>
            <w:r>
              <w:rPr>
                <w:rFonts w:ascii="Calibri" w:cs="Calibri" w:eastAsia="Calibri" w:hAnsi="Calibri"/>
                <w:color w:val="000000"/>
                <w:sz w:val="19"/>
                <w:szCs w:val="19"/>
              </w:rPr>
              <w:t xml:space="preserve">393 (semi-structured questionnaire)</w:t>
            </w:r>
          </w:p>
        </w:tc>
      </w:tr>
      <w:tr>
        <w:tc>
          <w:tcPr>
            <w:tcW w:type="dxa" w:w="2300"/>
            <w:shd w:fill="DEEAF1" w:val="clear"/>
          </w:tcPr>
          <w:p>
            <w:pPr>
              <w:spacing w:after="30" w:before="30"/>
            </w:pPr>
            <w:r>
              <w:rPr>
                <w:rFonts w:ascii="Calibri" w:cs="Calibri" w:eastAsia="Calibri" w:hAnsi="Calibri"/>
                <w:b/>
                <w:bCs/>
                <w:color w:val="1F3864"/>
                <w:sz w:val="19"/>
                <w:szCs w:val="19"/>
              </w:rPr>
              <w:t xml:space="preserve">Adults Screened</w:t>
            </w:r>
          </w:p>
        </w:tc>
        <w:tc>
          <w:tcPr>
            <w:tcW w:type="dxa" w:w="4600"/>
            <w:shd w:fill="F2F2F2" w:val="clear"/>
          </w:tcPr>
          <w:p>
            <w:pPr>
              <w:spacing w:after="30" w:before="30"/>
            </w:pPr>
            <w:r>
              <w:rPr>
                <w:rFonts w:ascii="Calibri" w:cs="Calibri" w:eastAsia="Calibri" w:hAnsi="Calibri"/>
                <w:color w:val="000000"/>
                <w:sz w:val="19"/>
                <w:szCs w:val="19"/>
              </w:rPr>
              <w:t xml:space="preserve">17,907 out of 32,122 total population</w:t>
            </w:r>
          </w:p>
        </w:tc>
      </w:tr>
      <w:tr>
        <w:tc>
          <w:tcPr>
            <w:tcW w:type="dxa" w:w="2300"/>
            <w:shd w:fill="DEEAF1" w:val="clear"/>
          </w:tcPr>
          <w:p>
            <w:pPr>
              <w:spacing w:after="30" w:before="30"/>
            </w:pPr>
            <w:r>
              <w:rPr>
                <w:rFonts w:ascii="Calibri" w:cs="Calibri" w:eastAsia="Calibri" w:hAnsi="Calibri"/>
                <w:b/>
                <w:bCs/>
                <w:color w:val="1F3864"/>
                <w:sz w:val="19"/>
                <w:szCs w:val="19"/>
              </w:rPr>
              <w:t xml:space="preserve">Acceptance Rate</w:t>
            </w:r>
          </w:p>
        </w:tc>
        <w:tc>
          <w:tcPr>
            <w:tcW w:type="dxa" w:w="4600"/>
            <w:shd w:fill="F2F8FD" w:val="clear"/>
          </w:tcPr>
          <w:p>
            <w:pPr>
              <w:spacing w:after="30" w:before="30"/>
            </w:pPr>
            <w:r>
              <w:rPr>
                <w:rFonts w:ascii="Calibri" w:cs="Calibri" w:eastAsia="Calibri" w:hAnsi="Calibri"/>
                <w:color w:val="000000"/>
                <w:sz w:val="19"/>
                <w:szCs w:val="19"/>
              </w:rPr>
              <w:t xml:space="preserve">99.5% of respondents satisfied with CMED services</w:t>
            </w:r>
          </w:p>
        </w:tc>
      </w:tr>
      <w:tr>
        <w:tc>
          <w:tcPr>
            <w:tcW w:type="dxa" w:w="2300"/>
            <w:shd w:fill="DEEAF1" w:val="clear"/>
          </w:tcPr>
          <w:p>
            <w:pPr>
              <w:spacing w:after="30" w:before="30"/>
            </w:pPr>
            <w:r>
              <w:rPr>
                <w:rFonts w:ascii="Calibri" w:cs="Calibri" w:eastAsia="Calibri" w:hAnsi="Calibri"/>
                <w:b/>
                <w:bCs/>
                <w:color w:val="1F3864"/>
                <w:sz w:val="19"/>
                <w:szCs w:val="19"/>
              </w:rPr>
              <w:t xml:space="preserve">Diabetes (pre-screening known)</w:t>
            </w:r>
          </w:p>
        </w:tc>
        <w:tc>
          <w:tcPr>
            <w:tcW w:type="dxa" w:w="4600"/>
            <w:shd w:fill="F2F2F2" w:val="clear"/>
          </w:tcPr>
          <w:p>
            <w:pPr>
              <w:spacing w:after="30" w:before="30"/>
            </w:pPr>
            <w:r>
              <w:rPr>
                <w:rFonts w:ascii="Calibri" w:cs="Calibri" w:eastAsia="Calibri" w:hAnsi="Calibri"/>
                <w:color w:val="000000"/>
                <w:sz w:val="19"/>
                <w:szCs w:val="19"/>
              </w:rPr>
              <w:t xml:space="preserve">2.7% knew they had diabetes</w:t>
            </w:r>
          </w:p>
        </w:tc>
      </w:tr>
      <w:tr>
        <w:tc>
          <w:tcPr>
            <w:tcW w:type="dxa" w:w="2300"/>
            <w:shd w:fill="DEEAF1" w:val="clear"/>
          </w:tcPr>
          <w:p>
            <w:pPr>
              <w:spacing w:after="30" w:before="30"/>
            </w:pPr>
            <w:r>
              <w:rPr>
                <w:rFonts w:ascii="Calibri" w:cs="Calibri" w:eastAsia="Calibri" w:hAnsi="Calibri"/>
                <w:b/>
                <w:bCs/>
                <w:color w:val="1F3864"/>
                <w:sz w:val="19"/>
                <w:szCs w:val="19"/>
              </w:rPr>
              <w:t xml:space="preserve">Diabetes (post-screening found)</w:t>
            </w:r>
          </w:p>
        </w:tc>
        <w:tc>
          <w:tcPr>
            <w:tcW w:type="dxa" w:w="4600"/>
            <w:shd w:fill="F2F8FD" w:val="clear"/>
          </w:tcPr>
          <w:p>
            <w:pPr>
              <w:spacing w:after="30" w:before="30"/>
            </w:pPr>
            <w:r>
              <w:rPr>
                <w:rFonts w:ascii="Calibri" w:cs="Calibri" w:eastAsia="Calibri" w:hAnsi="Calibri"/>
                <w:color w:val="000000"/>
                <w:sz w:val="19"/>
                <w:szCs w:val="19"/>
              </w:rPr>
              <w:t xml:space="preserve">15.8% found to have diabetes</w:t>
            </w:r>
          </w:p>
        </w:tc>
      </w:tr>
      <w:tr>
        <w:tc>
          <w:tcPr>
            <w:tcW w:type="dxa" w:w="2300"/>
            <w:shd w:fill="DEEAF1" w:val="clear"/>
          </w:tcPr>
          <w:p>
            <w:pPr>
              <w:spacing w:after="30" w:before="30"/>
            </w:pPr>
            <w:r>
              <w:rPr>
                <w:rFonts w:ascii="Calibri" w:cs="Calibri" w:eastAsia="Calibri" w:hAnsi="Calibri"/>
                <w:b/>
                <w:bCs/>
                <w:color w:val="1F3864"/>
                <w:sz w:val="19"/>
                <w:szCs w:val="19"/>
              </w:rPr>
              <w:t xml:space="preserve">Hypertension (pre-screening)</w:t>
            </w:r>
          </w:p>
        </w:tc>
        <w:tc>
          <w:tcPr>
            <w:tcW w:type="dxa" w:w="4600"/>
            <w:shd w:fill="F2F2F2" w:val="clear"/>
          </w:tcPr>
          <w:p>
            <w:pPr>
              <w:spacing w:after="30" w:before="30"/>
            </w:pPr>
            <w:r>
              <w:rPr>
                <w:rFonts w:ascii="Calibri" w:cs="Calibri" w:eastAsia="Calibri" w:hAnsi="Calibri"/>
                <w:color w:val="000000"/>
                <w:sz w:val="19"/>
                <w:szCs w:val="19"/>
              </w:rPr>
              <w:t xml:space="preserve">6.5% knew they had hypertension</w:t>
            </w:r>
          </w:p>
        </w:tc>
      </w:tr>
      <w:tr>
        <w:tc>
          <w:tcPr>
            <w:tcW w:type="dxa" w:w="2300"/>
            <w:shd w:fill="DEEAF1" w:val="clear"/>
          </w:tcPr>
          <w:p>
            <w:pPr>
              <w:spacing w:after="30" w:before="30"/>
            </w:pPr>
            <w:r>
              <w:rPr>
                <w:rFonts w:ascii="Calibri" w:cs="Calibri" w:eastAsia="Calibri" w:hAnsi="Calibri"/>
                <w:b/>
                <w:bCs/>
                <w:color w:val="1F3864"/>
                <w:sz w:val="19"/>
                <w:szCs w:val="19"/>
              </w:rPr>
              <w:t xml:space="preserve">Hypertension (post-screening)</w:t>
            </w:r>
          </w:p>
        </w:tc>
        <w:tc>
          <w:tcPr>
            <w:tcW w:type="dxa" w:w="4600"/>
            <w:shd w:fill="F2F8FD" w:val="clear"/>
          </w:tcPr>
          <w:p>
            <w:pPr>
              <w:spacing w:after="30" w:before="30"/>
            </w:pPr>
            <w:r>
              <w:rPr>
                <w:rFonts w:ascii="Calibri" w:cs="Calibri" w:eastAsia="Calibri" w:hAnsi="Calibri"/>
                <w:color w:val="000000"/>
                <w:sz w:val="19"/>
                <w:szCs w:val="19"/>
              </w:rPr>
              <w:t xml:space="preserve">11.5% identified as hypertensive</w:t>
            </w:r>
          </w:p>
        </w:tc>
      </w:tr>
      <w:tr>
        <w:tc>
          <w:tcPr>
            <w:tcW w:type="dxa" w:w="2300"/>
            <w:shd w:fill="DEEAF1" w:val="clear"/>
          </w:tcPr>
          <w:p>
            <w:pPr>
              <w:spacing w:after="30" w:before="30"/>
            </w:pPr>
            <w:r>
              <w:rPr>
                <w:rFonts w:ascii="Calibri" w:cs="Calibri" w:eastAsia="Calibri" w:hAnsi="Calibri"/>
                <w:b/>
                <w:bCs/>
                <w:color w:val="1F3864"/>
                <w:sz w:val="19"/>
                <w:szCs w:val="19"/>
              </w:rPr>
              <w:t xml:space="preserve">BP Measurements</w:t>
            </w:r>
          </w:p>
        </w:tc>
        <w:tc>
          <w:tcPr>
            <w:tcW w:type="dxa" w:w="4600"/>
            <w:shd w:fill="F2F2F2" w:val="clear"/>
          </w:tcPr>
          <w:p>
            <w:pPr>
              <w:spacing w:after="30" w:before="30"/>
            </w:pPr>
            <w:r>
              <w:rPr>
                <w:rFonts w:ascii="Calibri" w:cs="Calibri" w:eastAsia="Calibri" w:hAnsi="Calibri"/>
                <w:color w:val="000000"/>
                <w:sz w:val="19"/>
                <w:szCs w:val="19"/>
              </w:rPr>
              <w:t xml:space="preserve">36,326</w:t>
            </w:r>
          </w:p>
        </w:tc>
      </w:tr>
      <w:tr>
        <w:tc>
          <w:tcPr>
            <w:tcW w:type="dxa" w:w="2300"/>
            <w:shd w:fill="DEEAF1" w:val="clear"/>
          </w:tcPr>
          <w:p>
            <w:pPr>
              <w:spacing w:after="30" w:before="30"/>
            </w:pPr>
            <w:r>
              <w:rPr>
                <w:rFonts w:ascii="Calibri" w:cs="Calibri" w:eastAsia="Calibri" w:hAnsi="Calibri"/>
                <w:b/>
                <w:bCs/>
                <w:color w:val="1F3864"/>
                <w:sz w:val="19"/>
                <w:szCs w:val="19"/>
              </w:rPr>
              <w:t xml:space="preserve">SpO₂ Measurements</w:t>
            </w:r>
          </w:p>
        </w:tc>
        <w:tc>
          <w:tcPr>
            <w:tcW w:type="dxa" w:w="4600"/>
            <w:shd w:fill="F2F8FD" w:val="clear"/>
          </w:tcPr>
          <w:p>
            <w:pPr>
              <w:spacing w:after="30" w:before="30"/>
            </w:pPr>
            <w:r>
              <w:rPr>
                <w:rFonts w:ascii="Calibri" w:cs="Calibri" w:eastAsia="Calibri" w:hAnsi="Calibri"/>
                <w:color w:val="000000"/>
                <w:sz w:val="19"/>
                <w:szCs w:val="19"/>
              </w:rPr>
              <w:t xml:space="preserve">38,400 (highest)</w:t>
            </w:r>
          </w:p>
        </w:tc>
      </w:tr>
      <w:tr>
        <w:tc>
          <w:tcPr>
            <w:tcW w:type="dxa" w:w="2300"/>
            <w:shd w:fill="DEEAF1" w:val="clear"/>
          </w:tcPr>
          <w:p>
            <w:pPr>
              <w:spacing w:after="30" w:before="30"/>
            </w:pPr>
            <w:r>
              <w:rPr>
                <w:rFonts w:ascii="Calibri" w:cs="Calibri" w:eastAsia="Calibri" w:hAnsi="Calibri"/>
                <w:b/>
                <w:bCs/>
                <w:color w:val="1F3864"/>
                <w:sz w:val="19"/>
                <w:szCs w:val="19"/>
              </w:rPr>
              <w:t xml:space="preserve">BMI Measurements</w:t>
            </w:r>
          </w:p>
        </w:tc>
        <w:tc>
          <w:tcPr>
            <w:tcW w:type="dxa" w:w="4600"/>
            <w:shd w:fill="F2F2F2" w:val="clear"/>
          </w:tcPr>
          <w:p>
            <w:pPr>
              <w:spacing w:after="30" w:before="30"/>
            </w:pPr>
            <w:r>
              <w:rPr>
                <w:rFonts w:ascii="Calibri" w:cs="Calibri" w:eastAsia="Calibri" w:hAnsi="Calibri"/>
                <w:color w:val="000000"/>
                <w:sz w:val="19"/>
                <w:szCs w:val="19"/>
              </w:rPr>
              <w:t xml:space="preserve">34,721</w:t>
            </w:r>
          </w:p>
        </w:tc>
      </w:tr>
      <w:tr>
        <w:tc>
          <w:tcPr>
            <w:tcW w:type="dxa" w:w="2300"/>
            <w:shd w:fill="DEEAF1" w:val="clear"/>
          </w:tcPr>
          <w:p>
            <w:pPr>
              <w:spacing w:after="30" w:before="30"/>
            </w:pPr>
            <w:r>
              <w:rPr>
                <w:rFonts w:ascii="Calibri" w:cs="Calibri" w:eastAsia="Calibri" w:hAnsi="Calibri"/>
                <w:b/>
                <w:bCs/>
                <w:color w:val="1F3864"/>
                <w:sz w:val="19"/>
                <w:szCs w:val="19"/>
              </w:rPr>
              <w:t xml:space="preserve">Qualitative Methods</w:t>
            </w:r>
          </w:p>
        </w:tc>
        <w:tc>
          <w:tcPr>
            <w:tcW w:type="dxa" w:w="4600"/>
            <w:shd w:fill="F2F8FD" w:val="clear"/>
          </w:tcPr>
          <w:p>
            <w:pPr>
              <w:spacing w:after="30" w:before="30"/>
            </w:pPr>
            <w:r>
              <w:rPr>
                <w:rFonts w:ascii="Calibri" w:cs="Calibri" w:eastAsia="Calibri" w:hAnsi="Calibri"/>
                <w:color w:val="000000"/>
                <w:sz w:val="19"/>
                <w:szCs w:val="19"/>
              </w:rPr>
              <w:t xml:space="preserve">KII + 4 FGDs</w:t>
            </w:r>
          </w:p>
        </w:tc>
      </w:tr>
    </w:tbl>
    <w:p>
      <w:pPr>
        <w:spacing w:after="20" w:before="80"/>
      </w:pPr>
    </w:p>
    <w:p>
      <w:pPr>
        <w:spacing w:after="80" w:before="240"/>
      </w:pPr>
      <w:r>
        <w:rPr>
          <w:rFonts w:ascii="Calibri" w:cs="Calibri" w:eastAsia="Calibri" w:hAnsi="Calibri"/>
          <w:b/>
          <w:bCs/>
          <w:color w:val="C00000"/>
          <w:sz w:val="26"/>
          <w:szCs w:val="26"/>
        </w:rPr>
        <w:t xml:space="preserve">Common Exam Traps — Paper 2 — CMED Feasibility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CE4D6" w:val="clear"/>
            <w:tcMar>
              <w:top w:type="dxa" w:w="80"/>
              <w:left w:type="dxa" w:w="120"/>
              <w:bottom w:type="dxa" w:w="80"/>
              <w:right w:type="dxa" w:w="120"/>
            </w:tcMar>
          </w:tcPr>
          <w:p>
            <w:pPr>
              <w:spacing w:after="60" w:before="20"/>
            </w:pPr>
            <w:r>
              <w:rPr>
                <w:rFonts w:ascii="Calibri" w:cs="Calibri" w:eastAsia="Calibri" w:hAnsi="Calibri"/>
                <w:i/>
                <w:iCs/>
                <w:color w:val="C00000"/>
                <w:sz w:val="20"/>
                <w:szCs w:val="20"/>
              </w:rPr>
              <w:t xml:space="preserve">Watch out for these misconceptions — they appear frequently in exam questions.</w:t>
            </w:r>
          </w:p>
          <w:p>
            <w:pPr>
              <w:spacing w:after="40" w:before="40"/>
              <w:ind w:left="288"/>
            </w:pPr>
            <w:r>
              <w:rPr>
                <w:rFonts w:ascii="Calibri" w:cs="Calibri" w:eastAsia="Calibri" w:hAnsi="Calibri"/>
                <w:b/>
                <w:bCs/>
                <w:color w:val="C00000"/>
                <w:sz w:val="22"/>
                <w:szCs w:val="22"/>
              </w:rPr>
              <w:t xml:space="preserve">1. </w:t>
            </w:r>
            <w:r>
              <w:rPr>
                <w:rFonts w:ascii="Calibri" w:cs="Calibri" w:eastAsia="Calibri" w:hAnsi="Calibri"/>
                <w:color w:val="C00000"/>
                <w:sz w:val="22"/>
                <w:szCs w:val="22"/>
              </w:rPr>
              <w:t xml:space="preserve">SpO₂ had the MOST measurements (38,400) — more than BP (36,326) — though the paper groups BP, BMI, and SpO₂ together as the three highest.</w:t>
            </w:r>
          </w:p>
          <w:p>
            <w:pPr>
              <w:spacing w:after="40" w:before="40"/>
              <w:ind w:left="288"/>
            </w:pPr>
            <w:r>
              <w:rPr>
                <w:rFonts w:ascii="Calibri" w:cs="Calibri" w:eastAsia="Calibri" w:hAnsi="Calibri"/>
                <w:b/>
                <w:bCs/>
                <w:color w:val="C00000"/>
                <w:sz w:val="22"/>
                <w:szCs w:val="22"/>
              </w:rPr>
              <w:t xml:space="preserve">2. </w:t>
            </w:r>
            <w:r>
              <w:rPr>
                <w:rFonts w:ascii="Calibri" w:cs="Calibri" w:eastAsia="Calibri" w:hAnsi="Calibri"/>
                <w:color w:val="C00000"/>
                <w:sz w:val="22"/>
                <w:szCs w:val="22"/>
              </w:rPr>
              <w:t xml:space="preserve">99.5% is the ACCEPTANCE/SATISFACTION rate (from questionnaire). The 17,907 is the number of ADULTS SCREENED — do not confuse these two numbers.</w:t>
            </w:r>
          </w:p>
          <w:p>
            <w:pPr>
              <w:spacing w:after="40" w:before="40"/>
              <w:ind w:left="288"/>
            </w:pPr>
            <w:r>
              <w:rPr>
                <w:rFonts w:ascii="Calibri" w:cs="Calibri" w:eastAsia="Calibri" w:hAnsi="Calibri"/>
                <w:b/>
                <w:bCs/>
                <w:color w:val="C00000"/>
                <w:sz w:val="22"/>
                <w:szCs w:val="22"/>
              </w:rPr>
              <w:t xml:space="preserve">3. </w:t>
            </w:r>
            <w:r>
              <w:rPr>
                <w:rFonts w:ascii="Calibri" w:cs="Calibri" w:eastAsia="Calibri" w:hAnsi="Calibri"/>
                <w:color w:val="C00000"/>
                <w:sz w:val="22"/>
                <w:szCs w:val="22"/>
              </w:rPr>
              <w:t xml:space="preserve">2.7% → 15.8% (diabetes) and 6.5% → 11.5% (hypertension): these are pre-screening SELF-KNOWLEDGE vs. post-screening DETECTION RATES.</w:t>
            </w:r>
          </w:p>
          <w:p>
            <w:pPr>
              <w:spacing w:after="40" w:before="40"/>
              <w:ind w:left="288"/>
            </w:pPr>
            <w:r>
              <w:rPr>
                <w:rFonts w:ascii="Calibri" w:cs="Calibri" w:eastAsia="Calibri" w:hAnsi="Calibri"/>
                <w:b/>
                <w:bCs/>
                <w:color w:val="C00000"/>
                <w:sz w:val="22"/>
                <w:szCs w:val="22"/>
              </w:rPr>
              <w:t xml:space="preserve">4. </w:t>
            </w:r>
            <w:r>
              <w:rPr>
                <w:rFonts w:ascii="Calibri" w:cs="Calibri" w:eastAsia="Calibri" w:hAnsi="Calibri"/>
                <w:color w:val="C00000"/>
                <w:sz w:val="22"/>
                <w:szCs w:val="22"/>
              </w:rPr>
              <w:t xml:space="preserve">The methodology is Action Research (not RCT, not cohort) — a common exam trap. There is no randomised control group.</w:t>
            </w:r>
          </w:p>
          <w:p>
            <w:pPr>
              <w:spacing w:after="40" w:before="40"/>
              <w:ind w:left="288"/>
            </w:pPr>
            <w:r>
              <w:rPr>
                <w:rFonts w:ascii="Calibri" w:cs="Calibri" w:eastAsia="Calibri" w:hAnsi="Calibri"/>
                <w:b/>
                <w:bCs/>
                <w:color w:val="C00000"/>
                <w:sz w:val="22"/>
                <w:szCs w:val="22"/>
              </w:rPr>
              <w:t xml:space="preserve">5. </w:t>
            </w:r>
            <w:r>
              <w:rPr>
                <w:rFonts w:ascii="Calibri" w:cs="Calibri" w:eastAsia="Calibri" w:hAnsi="Calibri"/>
                <w:color w:val="C00000"/>
                <w:sz w:val="22"/>
                <w:szCs w:val="22"/>
              </w:rPr>
              <w:t xml:space="preserve">The study is from 2019 (HCII 2019) and is classified as a FEASIBILITY study — Paper 4 (2025) is the EFFICACY/outcome study of the same platform.</w:t>
            </w:r>
          </w:p>
          <w:p>
            <w:pPr>
              <w:spacing w:before="20"/>
            </w:pPr>
          </w:p>
        </w:tc>
      </w:tr>
    </w:tbl>
    <w:p>
      <w:pPr>
        <w:spacing w:after="20" w:before="80"/>
      </w:pPr>
    </w:p>
    <w:p>
      <w:pPr>
        <w:spacing w:after="80" w:before="240"/>
      </w:pPr>
      <w:r>
        <w:rPr>
          <w:rFonts w:ascii="Calibri" w:cs="Calibri" w:eastAsia="Calibri" w:hAnsi="Calibri"/>
          <w:b/>
          <w:bCs/>
          <w:color w:val="006B75"/>
          <w:sz w:val="26"/>
          <w:szCs w:val="26"/>
        </w:rPr>
        <w:t xml:space="preserve">15 Exam Questions &amp; Answers — Paper 2 — CMED Feasibility</w:t>
      </w:r>
    </w:p>
    <w:p>
      <w:pPr>
        <w:spacing w:after="40" w:before="120"/>
      </w:pPr>
      <w:r>
        <w:rPr>
          <w:rFonts w:ascii="Calibri" w:cs="Calibri" w:eastAsia="Calibri" w:hAnsi="Calibri"/>
          <w:b/>
          <w:bCs/>
          <w:color w:val="006B75"/>
          <w:sz w:val="22"/>
          <w:szCs w:val="22"/>
        </w:rPr>
        <w:t xml:space="preserve">Q1. </w:t>
      </w:r>
      <w:r>
        <w:rPr>
          <w:rFonts w:ascii="Calibri" w:cs="Calibri" w:eastAsia="Calibri" w:hAnsi="Calibri"/>
          <w:b/>
          <w:bCs/>
          <w:color w:val="1F3864"/>
          <w:sz w:val="22"/>
          <w:szCs w:val="22"/>
        </w:rPr>
        <w:t xml:space="preserve">What is the core problem this paper addresses?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Non-communicable diseases (NCDs) such as cardiovascular disease, hypertension, and diabetes are a major health crisis in Bangladesh, responsible for 67% of total deaths. The rural population lacks access to affordable and timely preventive healthcare, and most available mHealth apps focus on specific medical conditions rather than community-level NCD prevention. There is a large gap between academic mHealth research and the practical deployment of commercially viable digital health tools in rural public health settings.</w:t>
      </w:r>
    </w:p>
    <w:p>
      <w:pPr>
        <w:spacing w:after="40" w:before="120"/>
      </w:pPr>
      <w:r>
        <w:rPr>
          <w:rFonts w:ascii="Calibri" w:cs="Calibri" w:eastAsia="Calibri" w:hAnsi="Calibri"/>
          <w:b/>
          <w:bCs/>
          <w:color w:val="006B75"/>
          <w:sz w:val="22"/>
          <w:szCs w:val="22"/>
        </w:rPr>
        <w:t xml:space="preserve">Q2. </w:t>
      </w:r>
      <w:r>
        <w:rPr>
          <w:rFonts w:ascii="Calibri" w:cs="Calibri" w:eastAsia="Calibri" w:hAnsi="Calibri"/>
          <w:b/>
          <w:bCs/>
          <w:color w:val="1F3864"/>
          <w:sz w:val="22"/>
          <w:szCs w:val="22"/>
        </w:rPr>
        <w:t xml:space="preserve">What specific research gap does the paper fill?</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Although commercial mobile health applications exist, there is limited published evidence on the content accuracy, usability, and real-world efficacy of commercially launched digital healthcare platforms in rural, low-resource settings in Bangladesh. Most mHealth studies focus on wellness promotion for the general public rather than field-tested NCD prevention in rural communities. This paper evaluates the commercially deployed CMED Health platform in an actual community pilot, directly addressing this evidence gap.</w:t>
      </w:r>
    </w:p>
    <w:p>
      <w:pPr>
        <w:spacing w:after="40" w:before="120"/>
      </w:pPr>
      <w:r>
        <w:rPr>
          <w:rFonts w:ascii="Calibri" w:cs="Calibri" w:eastAsia="Calibri" w:hAnsi="Calibri"/>
          <w:b/>
          <w:bCs/>
          <w:color w:val="006B75"/>
          <w:sz w:val="22"/>
          <w:szCs w:val="22"/>
        </w:rPr>
        <w:t xml:space="preserve">Q3. </w:t>
      </w:r>
      <w:r>
        <w:rPr>
          <w:rFonts w:ascii="Calibri" w:cs="Calibri" w:eastAsia="Calibri" w:hAnsi="Calibri"/>
          <w:b/>
          <w:bCs/>
          <w:color w:val="1F3864"/>
          <w:sz w:val="22"/>
          <w:szCs w:val="22"/>
        </w:rPr>
        <w:t xml:space="preserve">What are the main objectives and purpose of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aims to assess the content quality, usability, and efficacy of the CMED Health digital healthcare platform for preventing major NCDs (cardiovascular diseases, hypertension, and diabetes) and improving primary healthcare in rural communities of Bangladesh. The purpose is to determine whether the CMED digital health service model is feasible for deployment at rural and urban community levels throughout the country.</w:t>
      </w:r>
    </w:p>
    <w:p>
      <w:pPr>
        <w:spacing w:after="40" w:before="120"/>
      </w:pPr>
      <w:r>
        <w:rPr>
          <w:rFonts w:ascii="Calibri" w:cs="Calibri" w:eastAsia="Calibri" w:hAnsi="Calibri"/>
          <w:b/>
          <w:bCs/>
          <w:color w:val="006B75"/>
          <w:sz w:val="22"/>
          <w:szCs w:val="22"/>
        </w:rPr>
        <w:t xml:space="preserve">Q4. </w:t>
      </w:r>
      <w:r>
        <w:rPr>
          <w:rFonts w:ascii="Calibri" w:cs="Calibri" w:eastAsia="Calibri" w:hAnsi="Calibri"/>
          <w:b/>
          <w:bCs/>
          <w:color w:val="1F3864"/>
          <w:sz w:val="22"/>
          <w:szCs w:val="22"/>
        </w:rPr>
        <w:t xml:space="preserve">What is the CMED platform and how does it function?</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CMED (a commercial product of CMED Health Limited) is an IoT-enabled, AI-driven, cloud-based preventive and primary healthcare platform. It uses portable smart medical sensors (measuring BP, blood glucose, SpO₂, pulse, temperature, height, weight, BMI) connected to a smartphone app. The app's Clinical Decision Support System (CDSS) performs health risk assessments, provides instant colour-coded advice, connects users to doctors when risks are detected, and stores sharable cloud-based health records.</w:t>
      </w:r>
    </w:p>
    <w:p>
      <w:pPr>
        <w:spacing w:after="40" w:before="120"/>
      </w:pPr>
      <w:r>
        <w:rPr>
          <w:rFonts w:ascii="Calibri" w:cs="Calibri" w:eastAsia="Calibri" w:hAnsi="Calibri"/>
          <w:b/>
          <w:bCs/>
          <w:color w:val="006B75"/>
          <w:sz w:val="22"/>
          <w:szCs w:val="22"/>
        </w:rPr>
        <w:t xml:space="preserve">Q5. </w:t>
      </w:r>
      <w:r>
        <w:rPr>
          <w:rFonts w:ascii="Calibri" w:cs="Calibri" w:eastAsia="Calibri" w:hAnsi="Calibri"/>
          <w:b/>
          <w:bCs/>
          <w:color w:val="1F3864"/>
          <w:sz w:val="22"/>
          <w:szCs w:val="22"/>
        </w:rPr>
        <w:t xml:space="preserve">What data was used and how was it collected?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Quantitative data were collected via a semi-structured questionnaire from 393 service receivers during a 6-month pilot in Dhamrai upazila, Dhaka district, covering more than 7,000 households in 21 villages. Qualitative data were gathered through Key Informant Interviews (KII) with service-providing team members, senior staff, and village opinion leaders, and through four Focus Group Discussions (FGDs). Health measurement data were generated automatically by the CMED platform during service delivery over the 6-month period.</w:t>
      </w:r>
    </w:p>
    <w:p>
      <w:pPr>
        <w:spacing w:after="40" w:before="120"/>
      </w:pPr>
      <w:r>
        <w:rPr>
          <w:rFonts w:ascii="Calibri" w:cs="Calibri" w:eastAsia="Calibri" w:hAnsi="Calibri"/>
          <w:b/>
          <w:bCs/>
          <w:color w:val="006B75"/>
          <w:sz w:val="22"/>
          <w:szCs w:val="22"/>
        </w:rPr>
        <w:t xml:space="preserve">Q6. </w:t>
      </w:r>
      <w:r>
        <w:rPr>
          <w:rFonts w:ascii="Calibri" w:cs="Calibri" w:eastAsia="Calibri" w:hAnsi="Calibri"/>
          <w:b/>
          <w:bCs/>
          <w:color w:val="1F3864"/>
          <w:sz w:val="22"/>
          <w:szCs w:val="22"/>
        </w:rPr>
        <w:t xml:space="preserve">What research methodology is used in this paper?</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follows the principles and process of Action Research Methodology, combining triangulation of quantitative data, qualitative data, and participant observation. This methodology was chosen because it involves iterative cycles of planning, action, observation, and reflection, making it suitable for evaluating a commercially deployed digital health service in a real-world community setting. Four evaluation components were performed: content analysis, usability testing, health observational study, and efficacy testing.</w:t>
      </w:r>
    </w:p>
    <w:p>
      <w:pPr>
        <w:spacing w:after="40" w:before="120"/>
      </w:pPr>
      <w:r>
        <w:rPr>
          <w:rFonts w:ascii="Calibri" w:cs="Calibri" w:eastAsia="Calibri" w:hAnsi="Calibri"/>
          <w:b/>
          <w:bCs/>
          <w:color w:val="006B75"/>
          <w:sz w:val="22"/>
          <w:szCs w:val="22"/>
        </w:rPr>
        <w:t xml:space="preserve">Q7. </w:t>
      </w:r>
      <w:r>
        <w:rPr>
          <w:rFonts w:ascii="Calibri" w:cs="Calibri" w:eastAsia="Calibri" w:hAnsi="Calibri"/>
          <w:b/>
          <w:bCs/>
          <w:color w:val="1F3864"/>
          <w:sz w:val="22"/>
          <w:szCs w:val="22"/>
        </w:rPr>
        <w:t xml:space="preserve">How was the content of the CDSS evaluated?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CDSS content was evaluated by comparing its cut-off values and interpretations with the National Protocol on Diabetes and Hypertension. Medical professionals, health service providers, service supervisors, and NGO management staff evaluated it against national standards as the guiding framework for pilot implementation. Health information incorporated in the digital healthcare model was also validated through an expert consultation workshop held at the policy level.</w:t>
      </w:r>
    </w:p>
    <w:p>
      <w:pPr>
        <w:spacing w:after="40" w:before="120"/>
      </w:pPr>
      <w:r>
        <w:rPr>
          <w:rFonts w:ascii="Calibri" w:cs="Calibri" w:eastAsia="Calibri" w:hAnsi="Calibri"/>
          <w:b/>
          <w:bCs/>
          <w:color w:val="006B75"/>
          <w:sz w:val="22"/>
          <w:szCs w:val="22"/>
        </w:rPr>
        <w:t xml:space="preserve">Q8. </w:t>
      </w:r>
      <w:r>
        <w:rPr>
          <w:rFonts w:ascii="Calibri" w:cs="Calibri" w:eastAsia="Calibri" w:hAnsi="Calibri"/>
          <w:b/>
          <w:bCs/>
          <w:color w:val="1F3864"/>
          <w:sz w:val="22"/>
          <w:szCs w:val="22"/>
        </w:rPr>
        <w:t xml:space="preserve">How was usability assessed and what were the findings?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Usability was assessed through a testing-and-fixing process where field health service providers and management staff evaluated app interfaces in real working conditions, determining how well the app functioned for its intended purpose. All respondents reported positive feedback about usability, and both smart devices and the app were found more effective than manual methods, particularly for identifying diabetic and hypertensive patients. Respondents appreciated instant on-screen results, access to previous records, and real-time CDSS health advice.</w:t>
      </w:r>
    </w:p>
    <w:p>
      <w:pPr>
        <w:spacing w:after="40" w:before="120"/>
      </w:pPr>
      <w:r>
        <w:rPr>
          <w:rFonts w:ascii="Calibri" w:cs="Calibri" w:eastAsia="Calibri" w:hAnsi="Calibri"/>
          <w:b/>
          <w:bCs/>
          <w:color w:val="006B75"/>
          <w:sz w:val="22"/>
          <w:szCs w:val="22"/>
        </w:rPr>
        <w:t xml:space="preserve">Q9. </w:t>
      </w:r>
      <w:r>
        <w:rPr>
          <w:rFonts w:ascii="Calibri" w:cs="Calibri" w:eastAsia="Calibri" w:hAnsi="Calibri"/>
          <w:b/>
          <w:bCs/>
          <w:color w:val="1F3864"/>
          <w:sz w:val="22"/>
          <w:szCs w:val="22"/>
        </w:rPr>
        <w:t xml:space="preserve">What quantitative health findings were reported during the pilot?</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During the 6-month pilot, 17,907 adults out of 32,122 received primary health screening. Among all measurements, BP, BMI, and SpO₂ were the three most frequently taken (SpO₂=38,400; BP=36,326; BMI=34,721), while glucose (1,348) and MUAC (1,229) were less frequent. About 99.5% of the respondents exhibited satisfaction with CMED digital health services, indicating very high acceptance.</w:t>
      </w:r>
    </w:p>
    <w:p>
      <w:pPr>
        <w:spacing w:after="40" w:before="120"/>
      </w:pPr>
      <w:r>
        <w:rPr>
          <w:rFonts w:ascii="Calibri" w:cs="Calibri" w:eastAsia="Calibri" w:hAnsi="Calibri"/>
          <w:b/>
          <w:bCs/>
          <w:color w:val="006B75"/>
          <w:sz w:val="22"/>
          <w:szCs w:val="22"/>
        </w:rPr>
        <w:t xml:space="preserve">Q10. </w:t>
      </w:r>
      <w:r>
        <w:rPr>
          <w:rFonts w:ascii="Calibri" w:cs="Calibri" w:eastAsia="Calibri" w:hAnsi="Calibri"/>
          <w:b/>
          <w:bCs/>
          <w:color w:val="1F3864"/>
          <w:sz w:val="22"/>
          <w:szCs w:val="22"/>
        </w:rPr>
        <w:t xml:space="preserve">What were the key efficacy findings related to NCD detection?</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Before screening, only 2.7% of the population knew they had diabetes, but after blood glucose measurement with CMED, 15.8% were found to have diabetes — revealing a large undetected burden. Similarly, only 6.5% knew they had hypertension, but after screening 11.5% were identified as hypertensive. These findings demonstrate the platform's significant efficacy in uncovering previously undiagnosed NCDs in rural communities.</w:t>
      </w:r>
    </w:p>
    <w:p>
      <w:pPr>
        <w:spacing w:after="40" w:before="120"/>
      </w:pPr>
      <w:r>
        <w:rPr>
          <w:rFonts w:ascii="Calibri" w:cs="Calibri" w:eastAsia="Calibri" w:hAnsi="Calibri"/>
          <w:b/>
          <w:bCs/>
          <w:color w:val="006B75"/>
          <w:sz w:val="22"/>
          <w:szCs w:val="22"/>
        </w:rPr>
        <w:t xml:space="preserve">Q11. </w:t>
      </w:r>
      <w:r>
        <w:rPr>
          <w:rFonts w:ascii="Calibri" w:cs="Calibri" w:eastAsia="Calibri" w:hAnsi="Calibri"/>
          <w:b/>
          <w:bCs/>
          <w:color w:val="1F3864"/>
          <w:sz w:val="22"/>
          <w:szCs w:val="22"/>
        </w:rPr>
        <w:t xml:space="preserve">What type of analysis was used in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uses a mixed-methods analysis combining quantitative analysis of health screening data (descriptive statistics and questionnaire responses) with qualitative analysis of KII and FGD transcripts. Qualitative data were recorded, transcribed, and presented as direct speech-mark quotes to illustrate community perspectives. This triangulated approach follows Action Research principles, allowing both statistical and narrative insights.</w:t>
      </w:r>
    </w:p>
    <w:p>
      <w:pPr>
        <w:spacing w:after="40" w:before="120"/>
      </w:pPr>
      <w:r>
        <w:rPr>
          <w:rFonts w:ascii="Calibri" w:cs="Calibri" w:eastAsia="Calibri" w:hAnsi="Calibri"/>
          <w:b/>
          <w:bCs/>
          <w:color w:val="006B75"/>
          <w:sz w:val="22"/>
          <w:szCs w:val="22"/>
        </w:rPr>
        <w:t xml:space="preserve">Q12. </w:t>
      </w:r>
      <w:r>
        <w:rPr>
          <w:rFonts w:ascii="Calibri" w:cs="Calibri" w:eastAsia="Calibri" w:hAnsi="Calibri"/>
          <w:b/>
          <w:bCs/>
          <w:color w:val="1F3864"/>
          <w:sz w:val="22"/>
          <w:szCs w:val="22"/>
        </w:rPr>
        <w:t xml:space="preserve">What were the qualitative findings from health workers and service receivers?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Health visitors reported that before CMED they could not measure BMI manually, struggled to track data efficiently, and now give accurate advice and earn greater community trust. Service receivers reported that visible on-screen results allowed them to trust health data they previously could not verify, and that CDSS advice changed their health behaviour (e.g., starting regular exercise after health alerts). Villagers noted that the digital system is feasible for detecting hypertension and diabetes at the community level.</w:t>
      </w:r>
    </w:p>
    <w:p>
      <w:pPr>
        <w:spacing w:after="40" w:before="120"/>
      </w:pPr>
      <w:r>
        <w:rPr>
          <w:rFonts w:ascii="Calibri" w:cs="Calibri" w:eastAsia="Calibri" w:hAnsi="Calibri"/>
          <w:b/>
          <w:bCs/>
          <w:color w:val="006B75"/>
          <w:sz w:val="22"/>
          <w:szCs w:val="22"/>
        </w:rPr>
        <w:t xml:space="preserve">Q13. </w:t>
      </w:r>
      <w:r>
        <w:rPr>
          <w:rFonts w:ascii="Calibri" w:cs="Calibri" w:eastAsia="Calibri" w:hAnsi="Calibri"/>
          <w:b/>
          <w:bCs/>
          <w:color w:val="1F3864"/>
          <w:sz w:val="22"/>
          <w:szCs w:val="22"/>
        </w:rPr>
        <w:t xml:space="preserve">What were the main advantages identified for the CMED platform?</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Seven advantages were identified: (1) supervisors can monitor health workers and identify service gaps; (2) increased data usability for socioeconomic and disease research; (3) health administrators access population-level data via dashboard; (4) simultaneous data collection and storage reduces workload; (5) offline functionality enables uninterrupted service without internet; (6) reduced health worker workload increased efficiency; and (7) real-time CDSS advice increased community NCD awareness and preventive behaviour.</w:t>
      </w:r>
    </w:p>
    <w:p>
      <w:pPr>
        <w:spacing w:after="40" w:before="120"/>
      </w:pPr>
      <w:r>
        <w:rPr>
          <w:rFonts w:ascii="Calibri" w:cs="Calibri" w:eastAsia="Calibri" w:hAnsi="Calibri"/>
          <w:b/>
          <w:bCs/>
          <w:color w:val="006B75"/>
          <w:sz w:val="22"/>
          <w:szCs w:val="22"/>
        </w:rPr>
        <w:t xml:space="preserve">Q14. </w:t>
      </w:r>
      <w:r>
        <w:rPr>
          <w:rFonts w:ascii="Calibri" w:cs="Calibri" w:eastAsia="Calibri" w:hAnsi="Calibri"/>
          <w:b/>
          <w:bCs/>
          <w:color w:val="1F3864"/>
          <w:sz w:val="22"/>
          <w:szCs w:val="22"/>
        </w:rPr>
        <w:t xml:space="preserve">What are the limitations of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acknowledges that actual community behaviour change could not be fully measured due to the short 6-month duration of the pilot. The pilot was conducted in a limited geographic area (Dhamrai upazila), which may limit generalisability to other rural contexts. Additionally, reliance on self-reporting for some efficacy measures and the commercial nature of the platform (not independently validated via a randomised controlled trial) are notable methodological constraints.</w:t>
      </w:r>
    </w:p>
    <w:p>
      <w:pPr>
        <w:spacing w:after="40" w:before="120"/>
      </w:pPr>
      <w:r>
        <w:rPr>
          <w:rFonts w:ascii="Calibri" w:cs="Calibri" w:eastAsia="Calibri" w:hAnsi="Calibri"/>
          <w:b/>
          <w:bCs/>
          <w:color w:val="006B75"/>
          <w:sz w:val="22"/>
          <w:szCs w:val="22"/>
        </w:rPr>
        <w:t xml:space="preserve">Q15. </w:t>
      </w:r>
      <w:r>
        <w:rPr>
          <w:rFonts w:ascii="Calibri" w:cs="Calibri" w:eastAsia="Calibri" w:hAnsi="Calibri"/>
          <w:b/>
          <w:bCs/>
          <w:color w:val="1F3864"/>
          <w:sz w:val="22"/>
          <w:szCs w:val="22"/>
        </w:rPr>
        <w:t xml:space="preserve">What is the real-world impact and recommendation of this paper?</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paper concludes that the CMED digital preventive and primary healthcare platform is suitable and feasible for use at rural and urban community levels across Bangladesh, as confirmed by both service providers and receivers. It can serve as a primary prevention model to reduce exposure to NCD risk factors and decrease the burden of chronic diseases in low-resource settings. The authors recommend CMED as a cost-effective community health intervention for early-stage disease identification, reducing diagnostic time, follow-up costs, and hospitalisation costs.</w:t>
      </w:r>
    </w:p>
    <w:p>
      <w:pPr>
        <w:spacing w:after="20" w:before="60"/>
      </w:pPr>
    </w:p>
    <w:p>
      <w:pPr>
        <w:spacing w:after="80" w:before="240"/>
      </w:pPr>
      <w:r>
        <w:rPr>
          <w:rFonts w:ascii="Calibri" w:cs="Calibri" w:eastAsia="Calibri" w:hAnsi="Calibri"/>
          <w:b/>
          <w:bCs/>
          <w:color w:val="006B75"/>
          <w:sz w:val="26"/>
          <w:szCs w:val="26"/>
        </w:rPr>
        <w:t xml:space="preserve">Glossary of Key Terms — Paper 2 — CMED Feasibility</w:t>
      </w:r>
    </w:p>
    <w:p>
      <w:pPr>
        <w:spacing w:after="40" w:before="60"/>
        <w:ind w:left="144"/>
      </w:pPr>
      <w:r>
        <w:rPr>
          <w:rFonts w:ascii="Calibri" w:cs="Calibri" w:eastAsia="Calibri" w:hAnsi="Calibri"/>
          <w:b/>
          <w:bCs/>
          <w:i w:val="false"/>
          <w:iCs w:val="false"/>
          <w:color w:val="006B75"/>
          <w:sz w:val="21"/>
          <w:szCs w:val="21"/>
        </w:rPr>
        <w:t xml:space="preserve">CMED Health Platform: </w:t>
      </w:r>
      <w:r>
        <w:rPr>
          <w:rFonts w:ascii="Calibri" w:cs="Calibri" w:eastAsia="Calibri" w:hAnsi="Calibri"/>
          <w:b w:val="false"/>
          <w:bCs w:val="false"/>
          <w:i w:val="false"/>
          <w:iCs w:val="false"/>
          <w:color w:val="000000"/>
          <w:sz w:val="21"/>
          <w:szCs w:val="21"/>
        </w:rPr>
        <w:t xml:space="preserve">IoT-enabled, AI-driven, cloud-based preventive and primary healthcare platform using portable smart medical sensors and a smartphone app with CDSS-driven risk assessment and doctor connectivity.</w:t>
      </w:r>
    </w:p>
    <w:p>
      <w:pPr>
        <w:spacing w:after="40" w:before="60"/>
        <w:ind w:left="144"/>
      </w:pPr>
      <w:r>
        <w:rPr>
          <w:rFonts w:ascii="Calibri" w:cs="Calibri" w:eastAsia="Calibri" w:hAnsi="Calibri"/>
          <w:b/>
          <w:bCs/>
          <w:i w:val="false"/>
          <w:iCs w:val="false"/>
          <w:color w:val="006B75"/>
          <w:sz w:val="21"/>
          <w:szCs w:val="21"/>
        </w:rPr>
        <w:t xml:space="preserve">CDSS (Clinical Decision Support System): </w:t>
      </w:r>
      <w:r>
        <w:rPr>
          <w:rFonts w:ascii="Calibri" w:cs="Calibri" w:eastAsia="Calibri" w:hAnsi="Calibri"/>
          <w:b w:val="false"/>
          <w:bCs w:val="false"/>
          <w:i w:val="false"/>
          <w:iCs w:val="false"/>
          <w:color w:val="000000"/>
          <w:sz w:val="21"/>
          <w:szCs w:val="21"/>
        </w:rPr>
        <w:t xml:space="preserve">Software embedded in the CMED app that analyses health parameter measurements and provides instant, colour-coded health status feedback, alerting users when NCD risk factors are detected.</w:t>
      </w:r>
    </w:p>
    <w:p>
      <w:pPr>
        <w:spacing w:after="40" w:before="60"/>
        <w:ind w:left="144"/>
      </w:pPr>
      <w:r>
        <w:rPr>
          <w:rFonts w:ascii="Calibri" w:cs="Calibri" w:eastAsia="Calibri" w:hAnsi="Calibri"/>
          <w:b/>
          <w:bCs/>
          <w:i w:val="false"/>
          <w:iCs w:val="false"/>
          <w:color w:val="006B75"/>
          <w:sz w:val="21"/>
          <w:szCs w:val="21"/>
        </w:rPr>
        <w:t xml:space="preserve">NCD (Noncommunicable Disease): </w:t>
      </w:r>
      <w:r>
        <w:rPr>
          <w:rFonts w:ascii="Calibri" w:cs="Calibri" w:eastAsia="Calibri" w:hAnsi="Calibri"/>
          <w:b w:val="false"/>
          <w:bCs w:val="false"/>
          <w:i w:val="false"/>
          <w:iCs w:val="false"/>
          <w:color w:val="000000"/>
          <w:sz w:val="21"/>
          <w:szCs w:val="21"/>
        </w:rPr>
        <w:t xml:space="preserve">Chronic diseases not transmitted between people (CVD, diabetes, hypertension, cancer); responsible for approximately 67% of total deaths in Bangladesh.</w:t>
      </w:r>
    </w:p>
    <w:p>
      <w:pPr>
        <w:spacing w:after="40" w:before="60"/>
        <w:ind w:left="144"/>
      </w:pPr>
      <w:r>
        <w:rPr>
          <w:rFonts w:ascii="Calibri" w:cs="Calibri" w:eastAsia="Calibri" w:hAnsi="Calibri"/>
          <w:b/>
          <w:bCs/>
          <w:i w:val="false"/>
          <w:iCs w:val="false"/>
          <w:color w:val="006B75"/>
          <w:sz w:val="21"/>
          <w:szCs w:val="21"/>
        </w:rPr>
        <w:t xml:space="preserve">Action Research Methodology: </w:t>
      </w:r>
      <w:r>
        <w:rPr>
          <w:rFonts w:ascii="Calibri" w:cs="Calibri" w:eastAsia="Calibri" w:hAnsi="Calibri"/>
          <w:b w:val="false"/>
          <w:bCs w:val="false"/>
          <w:i w:val="false"/>
          <w:iCs w:val="false"/>
          <w:color w:val="000000"/>
          <w:sz w:val="21"/>
          <w:szCs w:val="21"/>
        </w:rPr>
        <w:t xml:space="preserve">A cyclical, participatory research approach combining planning, action, observation, and reflection — used here to iteratively evaluate and improve the CMED digital health service.</w:t>
      </w:r>
    </w:p>
    <w:p>
      <w:pPr>
        <w:spacing w:after="40" w:before="60"/>
        <w:ind w:left="144"/>
      </w:pPr>
      <w:r>
        <w:rPr>
          <w:rFonts w:ascii="Calibri" w:cs="Calibri" w:eastAsia="Calibri" w:hAnsi="Calibri"/>
          <w:b/>
          <w:bCs/>
          <w:i w:val="false"/>
          <w:iCs w:val="false"/>
          <w:color w:val="006B75"/>
          <w:sz w:val="21"/>
          <w:szCs w:val="21"/>
        </w:rPr>
        <w:t xml:space="preserve">KII (Key Informant Interview): </w:t>
      </w:r>
      <w:r>
        <w:rPr>
          <w:rFonts w:ascii="Calibri" w:cs="Calibri" w:eastAsia="Calibri" w:hAnsi="Calibri"/>
          <w:b w:val="false"/>
          <w:bCs w:val="false"/>
          <w:i w:val="false"/>
          <w:iCs w:val="false"/>
          <w:color w:val="000000"/>
          <w:sz w:val="21"/>
          <w:szCs w:val="21"/>
        </w:rPr>
        <w:t xml:space="preserve">Qualitative in-depth interviews with key informants (team members, senior staff, village leaders) to gather expert perspectives on health service feasibility and effectiveness.</w:t>
      </w:r>
    </w:p>
    <w:p>
      <w:pPr>
        <w:spacing w:after="40" w:before="60"/>
        <w:ind w:left="144"/>
      </w:pPr>
      <w:r>
        <w:rPr>
          <w:rFonts w:ascii="Calibri" w:cs="Calibri" w:eastAsia="Calibri" w:hAnsi="Calibri"/>
          <w:b/>
          <w:bCs/>
          <w:i w:val="false"/>
          <w:iCs w:val="false"/>
          <w:color w:val="006B75"/>
          <w:sz w:val="21"/>
          <w:szCs w:val="21"/>
        </w:rPr>
        <w:t xml:space="preserve">MUAC (Mid-Upper Arm Circumference): </w:t>
      </w:r>
      <w:r>
        <w:rPr>
          <w:rFonts w:ascii="Calibri" w:cs="Calibri" w:eastAsia="Calibri" w:hAnsi="Calibri"/>
          <w:b w:val="false"/>
          <w:bCs w:val="false"/>
          <w:i w:val="false"/>
          <w:iCs w:val="false"/>
          <w:color w:val="000000"/>
          <w:sz w:val="21"/>
          <w:szCs w:val="21"/>
        </w:rPr>
        <w:t xml:space="preserve">Circumference of the left upper arm used as a proxy nutritional indicator, particularly for detecting malnutrition in children under age 7.</w:t>
      </w:r>
    </w:p>
    <w:p>
      <w:r>
        <w:br w:type="page"/>
      </w:r>
    </w:p>
    <w:p>
      <w:pPr>
        <w:pBdr>
          <w:bottom w:val="single" w:color="C55A11" w:sz="8" w:space="1"/>
        </w:pBdr>
        <w:spacing w:after="60" w:before="100"/>
      </w:pPr>
      <w:r>
        <w:rPr>
          <w:rFonts w:ascii="Calibri" w:cs="Calibri" w:eastAsia="Calibri" w:hAnsi="Calibri"/>
          <w:b/>
          <w:bCs/>
          <w:color w:val="C55A11"/>
          <w:sz w:val="28"/>
          <w:szCs w:val="28"/>
        </w:rPr>
        <w:t xml:space="preserve">PART 3 — Paper 3 — SuSastho.AI</w:t>
      </w:r>
    </w:p>
    <w:p>
      <w:pPr>
        <w:spacing w:after="30" w:before="100"/>
      </w:pPr>
      <w:r>
        <w:rPr>
          <w:rFonts w:ascii="Calibri" w:cs="Calibri" w:eastAsia="Calibri" w:hAnsi="Calibri"/>
          <w:b/>
          <w:bCs/>
          <w:color w:val="1F3864"/>
          <w:sz w:val="22"/>
          <w:szCs w:val="22"/>
        </w:rPr>
        <w:t xml:space="preserve">SuSastho.AI: A Multimodal Medical Copilot for Adolescents Using Evidence-Based Medicine and Large Language Models</w:t>
      </w:r>
    </w:p>
    <w:p>
      <w:pPr>
        <w:spacing w:after="100" w:before="0"/>
      </w:pPr>
      <w:r>
        <w:rPr>
          <w:rFonts w:ascii="Calibri" w:cs="Calibri" w:eastAsia="Calibri" w:hAnsi="Calibri"/>
          <w:i/>
          <w:iCs/>
          <w:color w:val="595959"/>
          <w:sz w:val="20"/>
          <w:szCs w:val="20"/>
        </w:rPr>
        <w:t xml:space="preserve">Ahamed, Chowdhury, Zaman et al. | Informatics in Medicine Unlocked |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CE4D6" w:val="clear"/>
            <w:tcMar>
              <w:top w:type="dxa" w:w="80"/>
              <w:left w:type="dxa" w:w="120"/>
              <w:bottom w:type="dxa" w:w="80"/>
              <w:right w:type="dxa" w:w="120"/>
            </w:tcMar>
          </w:tcPr>
          <w:p>
            <w:pPr>
              <w:spacing w:after="40" w:before="40"/>
            </w:pPr>
            <w:r>
              <w:rPr>
                <w:rFonts w:ascii="Calibri" w:cs="Calibri" w:eastAsia="Calibri" w:hAnsi="Calibri"/>
                <w:b/>
                <w:bCs/>
                <w:color w:val="C55A11"/>
                <w:sz w:val="21"/>
                <w:szCs w:val="21"/>
              </w:rPr>
              <w:t xml:space="preserve">Paper in One Sentence: </w:t>
            </w:r>
            <w:r>
              <w:rPr>
                <w:rFonts w:ascii="Calibri" w:cs="Calibri" w:eastAsia="Calibri" w:hAnsi="Calibri"/>
                <w:sz w:val="21"/>
                <w:szCs w:val="21"/>
              </w:rPr>
              <w:t xml:space="preserve">Develops and evaluates a voice-text LLM copilot (fine-tuned Llama 3 8B + Multilingual E5 + EBM + CoT) achieving 86.68% accuracy and 61.9% correctness vs. RAG 40.4% and Llama 3 45.8% for adolescent SRMH in Bangladesh.</w:t>
            </w:r>
          </w:p>
          <w:p>
            <w:pPr>
              <w:spacing w:after="40" w:before="20"/>
            </w:pPr>
            <w:r>
              <w:rPr>
                <w:rFonts w:ascii="Calibri" w:cs="Calibri" w:eastAsia="Calibri" w:hAnsi="Calibri"/>
                <w:b/>
                <w:bCs/>
                <w:color w:val="C55A11"/>
                <w:sz w:val="21"/>
                <w:szCs w:val="21"/>
              </w:rPr>
              <w:t xml:space="preserve">Theme: </w:t>
            </w:r>
            <w:r>
              <w:rPr>
                <w:rFonts w:ascii="Calibri" w:cs="Calibri" w:eastAsia="Calibri" w:hAnsi="Calibri"/>
                <w:sz w:val="21"/>
                <w:szCs w:val="21"/>
              </w:rPr>
              <w:t xml:space="preserve">LLM + RAG + EBM · Adolescent SRMH · Bangla NLP</w:t>
            </w:r>
          </w:p>
        </w:tc>
      </w:tr>
    </w:tbl>
    <w:p>
      <w:pPr>
        <w:spacing w:after="20" w:before="60"/>
      </w:pPr>
    </w:p>
    <w:p>
      <w:pPr>
        <w:spacing w:after="80" w:before="240"/>
      </w:pPr>
      <w:r>
        <w:rPr>
          <w:rFonts w:ascii="Calibri" w:cs="Calibri" w:eastAsia="Calibri" w:hAnsi="Calibri"/>
          <w:b/>
          <w:bCs/>
          <w:color w:val="C55A11"/>
          <w:sz w:val="26"/>
          <w:szCs w:val="26"/>
        </w:rPr>
        <w:t xml:space="preserve">Paper 3 — SuSastho.AI: Paper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7667"/>
      </w:tblGrid>
      <w:tr>
        <w:trPr>
          <w:tblHeader/>
        </w:trPr>
        <w:tc>
          <w:tcPr>
            <w:tcW w:type="dxa" w:w="1683"/>
            <w:shd w:fill="C55A11" w:val="clear"/>
          </w:tcPr>
          <w:p>
            <w:pPr>
              <w:spacing w:after="40" w:before="40"/>
            </w:pPr>
            <w:r>
              <w:rPr>
                <w:rFonts w:ascii="Calibri" w:cs="Calibri" w:eastAsia="Calibri" w:hAnsi="Calibri"/>
                <w:b/>
                <w:bCs/>
                <w:color w:val="FFFFFF"/>
                <w:sz w:val="18"/>
                <w:szCs w:val="18"/>
              </w:rPr>
              <w:t xml:space="preserve">Dimension</w:t>
            </w:r>
          </w:p>
        </w:tc>
        <w:tc>
          <w:tcPr>
            <w:tcW w:type="dxa" w:w="7667"/>
            <w:shd w:fill="C55A11" w:val="clear"/>
          </w:tcPr>
          <w:p>
            <w:pPr>
              <w:spacing w:after="40" w:before="40"/>
            </w:pPr>
            <w:r>
              <w:rPr>
                <w:rFonts w:ascii="Calibri" w:cs="Calibri" w:eastAsia="Calibri" w:hAnsi="Calibri"/>
                <w:b/>
                <w:bCs/>
                <w:color w:val="FFFFFF"/>
                <w:sz w:val="18"/>
                <w:szCs w:val="18"/>
              </w:rPr>
              <w:t xml:space="preserve">Details</w:t>
            </w:r>
          </w:p>
        </w:tc>
      </w:tr>
      <w:tr>
        <w:tc>
          <w:tcPr>
            <w:tcW w:type="dxa" w:w="1683"/>
            <w:shd w:fill="FCE4D6" w:val="clear"/>
          </w:tcPr>
          <w:p>
            <w:pPr>
              <w:spacing w:after="30" w:before="30"/>
            </w:pPr>
            <w:r>
              <w:rPr>
                <w:rFonts w:ascii="Calibri" w:cs="Calibri" w:eastAsia="Calibri" w:hAnsi="Calibri"/>
                <w:b/>
                <w:bCs/>
                <w:color w:val="2E74B5"/>
                <w:sz w:val="18"/>
                <w:szCs w:val="18"/>
              </w:rPr>
              <w:t xml:space="preserve">Problem</w:t>
            </w:r>
          </w:p>
        </w:tc>
        <w:tc>
          <w:tcPr>
            <w:tcW w:type="dxa" w:w="7667"/>
            <w:shd w:fill="FCE4D6" w:val="clear"/>
          </w:tcPr>
          <w:p>
            <w:pPr>
              <w:spacing w:after="30" w:before="30"/>
            </w:pPr>
            <w:r>
              <w:rPr>
                <w:rFonts w:ascii="Calibri" w:cs="Calibri" w:eastAsia="Calibri" w:hAnsi="Calibri"/>
                <w:b w:val="false"/>
                <w:bCs w:val="false"/>
                <w:color w:val="000000"/>
                <w:sz w:val="18"/>
                <w:szCs w:val="18"/>
              </w:rPr>
              <w:t xml:space="preserve">63% Bangladeshi adolescents lack SRH services; only 13% receive mental health support; cultural stigma + poverty = no access to SRMH information</w:t>
            </w:r>
          </w:p>
        </w:tc>
      </w:tr>
      <w:tr>
        <w:tc>
          <w:tcPr>
            <w:tcW w:type="dxa" w:w="1683"/>
          </w:tcPr>
          <w:p>
            <w:pPr>
              <w:spacing w:after="30" w:before="30"/>
            </w:pPr>
            <w:r>
              <w:rPr>
                <w:rFonts w:ascii="Calibri" w:cs="Calibri" w:eastAsia="Calibri" w:hAnsi="Calibri"/>
                <w:b/>
                <w:bCs/>
                <w:color w:val="2E74B5"/>
                <w:sz w:val="18"/>
                <w:szCs w:val="18"/>
              </w:rPr>
              <w:t xml:space="preserve">Research Gap</w:t>
            </w:r>
          </w:p>
        </w:tc>
        <w:tc>
          <w:tcPr>
            <w:tcW w:type="dxa" w:w="7667"/>
          </w:tcPr>
          <w:p>
            <w:pPr>
              <w:spacing w:after="30" w:before="30"/>
            </w:pPr>
            <w:r>
              <w:rPr>
                <w:rFonts w:ascii="Calibri" w:cs="Calibri" w:eastAsia="Calibri" w:hAnsi="Calibri"/>
                <w:b w:val="false"/>
                <w:bCs w:val="false"/>
                <w:color w:val="000000"/>
                <w:sz w:val="18"/>
                <w:szCs w:val="18"/>
              </w:rPr>
              <w:t xml:space="preserve">No voice-activated, LLM-based, evidence-grounded, Bengali-language copilot for adolescent SRMH; existing bots use predefined rules, not personalised generation</w:t>
            </w:r>
          </w:p>
        </w:tc>
      </w:tr>
      <w:tr>
        <w:tc>
          <w:tcPr>
            <w:tcW w:type="dxa" w:w="1683"/>
            <w:shd w:fill="FCE4D6" w:val="clear"/>
          </w:tcPr>
          <w:p>
            <w:pPr>
              <w:spacing w:after="30" w:before="30"/>
            </w:pPr>
            <w:r>
              <w:rPr>
                <w:rFonts w:ascii="Calibri" w:cs="Calibri" w:eastAsia="Calibri" w:hAnsi="Calibri"/>
                <w:b/>
                <w:bCs/>
                <w:color w:val="2E74B5"/>
                <w:sz w:val="18"/>
                <w:szCs w:val="18"/>
              </w:rPr>
              <w:t xml:space="preserve">Methodology</w:t>
            </w:r>
          </w:p>
        </w:tc>
        <w:tc>
          <w:tcPr>
            <w:tcW w:type="dxa" w:w="7667"/>
            <w:shd w:fill="FCE4D6" w:val="clear"/>
          </w:tcPr>
          <w:p>
            <w:pPr>
              <w:spacing w:after="30" w:before="30"/>
            </w:pPr>
            <w:r>
              <w:rPr>
                <w:rFonts w:ascii="Calibri" w:cs="Calibri" w:eastAsia="Calibri" w:hAnsi="Calibri"/>
                <w:b w:val="false"/>
                <w:bCs w:val="false"/>
                <w:color w:val="000000"/>
                <w:sz w:val="18"/>
                <w:szCs w:val="18"/>
              </w:rPr>
              <w:t xml:space="preserve">4-step EBM protocol + CoT prompting + RAG; fine-tuning Llama 3 8B (Task-QG + Task-AG); human evaluation by SRMH experts</w:t>
            </w:r>
          </w:p>
        </w:tc>
      </w:tr>
      <w:tr>
        <w:tc>
          <w:tcPr>
            <w:tcW w:type="dxa" w:w="1683"/>
          </w:tcPr>
          <w:p>
            <w:pPr>
              <w:spacing w:after="30" w:before="30"/>
            </w:pPr>
            <w:r>
              <w:rPr>
                <w:rFonts w:ascii="Calibri" w:cs="Calibri" w:eastAsia="Calibri" w:hAnsi="Calibri"/>
                <w:b/>
                <w:bCs/>
                <w:color w:val="2E74B5"/>
                <w:sz w:val="18"/>
                <w:szCs w:val="18"/>
              </w:rPr>
              <w:t xml:space="preserve">Data</w:t>
            </w:r>
          </w:p>
        </w:tc>
        <w:tc>
          <w:tcPr>
            <w:tcW w:type="dxa" w:w="7667"/>
          </w:tcPr>
          <w:p>
            <w:pPr>
              <w:spacing w:after="30" w:before="30"/>
            </w:pPr>
            <w:r>
              <w:rPr>
                <w:rFonts w:ascii="Calibri" w:cs="Calibri" w:eastAsia="Calibri" w:hAnsi="Calibri"/>
                <w:b w:val="false"/>
                <w:bCs w:val="false"/>
                <w:color w:val="000000"/>
                <w:sz w:val="18"/>
                <w:szCs w:val="18"/>
              </w:rPr>
              <w:t xml:space="preserve">2,063 KB docs, 8,614 fine-tuning examples; 428 pilot questions from 32 participants</w:t>
            </w:r>
          </w:p>
        </w:tc>
      </w:tr>
      <w:tr>
        <w:tc>
          <w:tcPr>
            <w:tcW w:type="dxa" w:w="1683"/>
            <w:shd w:fill="FCE4D6" w:val="clear"/>
          </w:tcPr>
          <w:p>
            <w:pPr>
              <w:spacing w:after="30" w:before="30"/>
            </w:pPr>
            <w:r>
              <w:rPr>
                <w:rFonts w:ascii="Calibri" w:cs="Calibri" w:eastAsia="Calibri" w:hAnsi="Calibri"/>
                <w:b/>
                <w:bCs/>
                <w:color w:val="2E74B5"/>
                <w:sz w:val="18"/>
                <w:szCs w:val="18"/>
              </w:rPr>
              <w:t xml:space="preserve">Evaluation</w:t>
            </w:r>
          </w:p>
        </w:tc>
        <w:tc>
          <w:tcPr>
            <w:tcW w:type="dxa" w:w="7667"/>
            <w:shd w:fill="FCE4D6" w:val="clear"/>
          </w:tcPr>
          <w:p>
            <w:pPr>
              <w:spacing w:after="30" w:before="30"/>
            </w:pPr>
            <w:r>
              <w:rPr>
                <w:rFonts w:ascii="Calibri" w:cs="Calibri" w:eastAsia="Calibri" w:hAnsi="Calibri"/>
                <w:b w:val="false"/>
                <w:bCs w:val="false"/>
                <w:color w:val="000000"/>
                <w:sz w:val="18"/>
                <w:szCs w:val="18"/>
              </w:rPr>
              <w:t xml:space="preserve">Human assessment (accuracy/correctness/relevance); comparison vs. RAG+Llama3 and baseline Llama3</w:t>
            </w:r>
          </w:p>
        </w:tc>
      </w:tr>
      <w:tr>
        <w:tc>
          <w:tcPr>
            <w:tcW w:type="dxa" w:w="1683"/>
          </w:tcPr>
          <w:p>
            <w:pPr>
              <w:spacing w:after="30" w:before="30"/>
            </w:pPr>
            <w:r>
              <w:rPr>
                <w:rFonts w:ascii="Calibri" w:cs="Calibri" w:eastAsia="Calibri" w:hAnsi="Calibri"/>
                <w:b/>
                <w:bCs/>
                <w:color w:val="2E74B5"/>
                <w:sz w:val="18"/>
                <w:szCs w:val="18"/>
              </w:rPr>
              <w:t xml:space="preserve">Impact</w:t>
            </w:r>
          </w:p>
        </w:tc>
        <w:tc>
          <w:tcPr>
            <w:tcW w:type="dxa" w:w="7667"/>
          </w:tcPr>
          <w:p>
            <w:pPr>
              <w:spacing w:after="30" w:before="30"/>
            </w:pPr>
            <w:r>
              <w:rPr>
                <w:rFonts w:ascii="Calibri" w:cs="Calibri" w:eastAsia="Calibri" w:hAnsi="Calibri"/>
                <w:b w:val="false"/>
                <w:bCs w:val="false"/>
                <w:color w:val="000000"/>
                <w:sz w:val="18"/>
                <w:szCs w:val="18"/>
              </w:rPr>
              <w:t xml:space="preserve">Replicable LLM health copilot framework for 36M Bangladeshi adolescents and similar low-resource populations globally</w:t>
            </w:r>
          </w:p>
        </w:tc>
      </w:tr>
    </w:tbl>
    <w:p>
      <w:pPr>
        <w:spacing w:after="20" w:before="80"/>
      </w:pPr>
    </w:p>
    <w:p>
      <w:pPr>
        <w:spacing w:after="80" w:before="240"/>
      </w:pPr>
      <w:r>
        <w:rPr>
          <w:rFonts w:ascii="Calibri" w:cs="Calibri" w:eastAsia="Calibri" w:hAnsi="Calibri"/>
          <w:b/>
          <w:bCs/>
          <w:color w:val="C55A11"/>
          <w:sz w:val="26"/>
          <w:szCs w:val="26"/>
        </w:rPr>
        <w:t xml:space="preserve">Key Numbers — Paper 3 — SuSastho.AI</w:t>
      </w:r>
    </w:p>
    <w:p>
      <w:pPr>
        <w:spacing w:after="60" w:before="40"/>
        <w:jc w:val="left"/>
      </w:pPr>
      <w:r>
        <w:rPr>
          <w:rFonts w:ascii="Calibri" w:cs="Calibri" w:eastAsia="Calibri" w:hAnsi="Calibri"/>
          <w:b w:val="false"/>
          <w:bCs w:val="false"/>
          <w:i/>
          <w:iCs/>
          <w:color w:val="595959"/>
          <w:sz w:val="20"/>
          <w:szCs w:val="20"/>
        </w:rPr>
        <w:t xml:space="preserve">Memorise these numbers. They are the most likely to appear in exam questions.</w:t>
      </w:r>
    </w:p>
    <w:p>
      <w:pPr>
        <w:spacing w:after="20" w:before="40"/>
      </w:pPr>
    </w:p>
    <w:tbl>
      <w:tblPr>
        <w:tblW w:type="dxa" w:w="6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tblGrid>
      <w:tr>
        <w:tc>
          <w:tcPr>
            <w:tcW w:type="dxa" w:w="2300"/>
            <w:shd w:fill="DEEAF1" w:val="clear"/>
          </w:tcPr>
          <w:p>
            <w:pPr>
              <w:spacing w:after="30" w:before="30"/>
            </w:pPr>
            <w:r>
              <w:rPr>
                <w:rFonts w:ascii="Calibri" w:cs="Calibri" w:eastAsia="Calibri" w:hAnsi="Calibri"/>
                <w:b/>
                <w:bCs/>
                <w:color w:val="1F3864"/>
                <w:sz w:val="19"/>
                <w:szCs w:val="19"/>
              </w:rPr>
              <w:t xml:space="preserve">KB Size</w:t>
            </w:r>
          </w:p>
        </w:tc>
        <w:tc>
          <w:tcPr>
            <w:tcW w:type="dxa" w:w="4600"/>
            <w:shd w:fill="F2F8FD" w:val="clear"/>
          </w:tcPr>
          <w:p>
            <w:pPr>
              <w:spacing w:after="30" w:before="30"/>
            </w:pPr>
            <w:r>
              <w:rPr>
                <w:rFonts w:ascii="Calibri" w:cs="Calibri" w:eastAsia="Calibri" w:hAnsi="Calibri"/>
                <w:color w:val="000000"/>
                <w:sz w:val="19"/>
                <w:szCs w:val="19"/>
              </w:rPr>
              <w:t xml:space="preserve">2,063 medical documents across 20 SRMH categories</w:t>
            </w:r>
          </w:p>
        </w:tc>
      </w:tr>
      <w:tr>
        <w:tc>
          <w:tcPr>
            <w:tcW w:type="dxa" w:w="2300"/>
            <w:shd w:fill="DEEAF1" w:val="clear"/>
          </w:tcPr>
          <w:p>
            <w:pPr>
              <w:spacing w:after="30" w:before="30"/>
            </w:pPr>
            <w:r>
              <w:rPr>
                <w:rFonts w:ascii="Calibri" w:cs="Calibri" w:eastAsia="Calibri" w:hAnsi="Calibri"/>
                <w:b/>
                <w:bCs/>
                <w:color w:val="1F3864"/>
                <w:sz w:val="19"/>
                <w:szCs w:val="19"/>
              </w:rPr>
              <w:t xml:space="preserve">Fine-tuning Dataset</w:t>
            </w:r>
          </w:p>
        </w:tc>
        <w:tc>
          <w:tcPr>
            <w:tcW w:type="dxa" w:w="4600"/>
            <w:shd w:fill="F2F2F2" w:val="clear"/>
          </w:tcPr>
          <w:p>
            <w:pPr>
              <w:spacing w:after="30" w:before="30"/>
            </w:pPr>
            <w:r>
              <w:rPr>
                <w:rFonts w:ascii="Calibri" w:cs="Calibri" w:eastAsia="Calibri" w:hAnsi="Calibri"/>
                <w:color w:val="000000"/>
                <w:sz w:val="19"/>
                <w:szCs w:val="19"/>
              </w:rPr>
              <w:t xml:space="preserve">8,614 examples (5,396 Task-QG + 3,218 Task-AG)</w:t>
            </w:r>
          </w:p>
        </w:tc>
      </w:tr>
      <w:tr>
        <w:tc>
          <w:tcPr>
            <w:tcW w:type="dxa" w:w="2300"/>
            <w:shd w:fill="DEEAF1" w:val="clear"/>
          </w:tcPr>
          <w:p>
            <w:pPr>
              <w:spacing w:after="30" w:before="30"/>
            </w:pPr>
            <w:r>
              <w:rPr>
                <w:rFonts w:ascii="Calibri" w:cs="Calibri" w:eastAsia="Calibri" w:hAnsi="Calibri"/>
                <w:b/>
                <w:bCs/>
                <w:color w:val="1F3864"/>
                <w:sz w:val="19"/>
                <w:szCs w:val="19"/>
              </w:rPr>
              <w:t xml:space="preserve">Core LLM</w:t>
            </w:r>
          </w:p>
        </w:tc>
        <w:tc>
          <w:tcPr>
            <w:tcW w:type="dxa" w:w="4600"/>
            <w:shd w:fill="F2F8FD" w:val="clear"/>
          </w:tcPr>
          <w:p>
            <w:pPr>
              <w:spacing w:after="30" w:before="30"/>
            </w:pPr>
            <w:r>
              <w:rPr>
                <w:rFonts w:ascii="Calibri" w:cs="Calibri" w:eastAsia="Calibri" w:hAnsi="Calibri"/>
                <w:color w:val="000000"/>
                <w:sz w:val="19"/>
                <w:szCs w:val="19"/>
              </w:rPr>
              <w:t xml:space="preserve">Fine-tuned Llama 3 8B Instruct model</w:t>
            </w:r>
          </w:p>
        </w:tc>
      </w:tr>
      <w:tr>
        <w:tc>
          <w:tcPr>
            <w:tcW w:type="dxa" w:w="2300"/>
            <w:shd w:fill="DEEAF1" w:val="clear"/>
          </w:tcPr>
          <w:p>
            <w:pPr>
              <w:spacing w:after="30" w:before="30"/>
            </w:pPr>
            <w:r>
              <w:rPr>
                <w:rFonts w:ascii="Calibri" w:cs="Calibri" w:eastAsia="Calibri" w:hAnsi="Calibri"/>
                <w:b/>
                <w:bCs/>
                <w:color w:val="1F3864"/>
                <w:sz w:val="19"/>
                <w:szCs w:val="19"/>
              </w:rPr>
              <w:t xml:space="preserve">Retrieval Model</w:t>
            </w:r>
          </w:p>
        </w:tc>
        <w:tc>
          <w:tcPr>
            <w:tcW w:type="dxa" w:w="4600"/>
            <w:shd w:fill="F2F2F2" w:val="clear"/>
          </w:tcPr>
          <w:p>
            <w:pPr>
              <w:spacing w:after="30" w:before="30"/>
            </w:pPr>
            <w:r>
              <w:rPr>
                <w:rFonts w:ascii="Calibri" w:cs="Calibri" w:eastAsia="Calibri" w:hAnsi="Calibri"/>
                <w:color w:val="000000"/>
                <w:sz w:val="19"/>
                <w:szCs w:val="19"/>
              </w:rPr>
              <w:t xml:space="preserve">Multilingual E5 (for semantic similarity search)</w:t>
            </w:r>
          </w:p>
        </w:tc>
      </w:tr>
      <w:tr>
        <w:tc>
          <w:tcPr>
            <w:tcW w:type="dxa" w:w="2300"/>
            <w:shd w:fill="DEEAF1" w:val="clear"/>
          </w:tcPr>
          <w:p>
            <w:pPr>
              <w:spacing w:after="30" w:before="30"/>
            </w:pPr>
            <w:r>
              <w:rPr>
                <w:rFonts w:ascii="Calibri" w:cs="Calibri" w:eastAsia="Calibri" w:hAnsi="Calibri"/>
                <w:b/>
                <w:bCs/>
                <w:color w:val="1F3864"/>
                <w:sz w:val="19"/>
                <w:szCs w:val="19"/>
              </w:rPr>
              <w:t xml:space="preserve">Speech Recognition</w:t>
            </w:r>
          </w:p>
        </w:tc>
        <w:tc>
          <w:tcPr>
            <w:tcW w:type="dxa" w:w="4600"/>
            <w:shd w:fill="F2F8FD" w:val="clear"/>
          </w:tcPr>
          <w:p>
            <w:pPr>
              <w:spacing w:after="30" w:before="30"/>
            </w:pPr>
            <w:r>
              <w:rPr>
                <w:rFonts w:ascii="Calibri" w:cs="Calibri" w:eastAsia="Calibri" w:hAnsi="Calibri"/>
                <w:color w:val="000000"/>
                <w:sz w:val="19"/>
                <w:szCs w:val="19"/>
              </w:rPr>
              <w:t xml:space="preserve">Wav2Vec + 5-gram language model</w:t>
            </w:r>
          </w:p>
        </w:tc>
      </w:tr>
      <w:tr>
        <w:tc>
          <w:tcPr>
            <w:tcW w:type="dxa" w:w="2300"/>
            <w:shd w:fill="DEEAF1" w:val="clear"/>
          </w:tcPr>
          <w:p>
            <w:pPr>
              <w:spacing w:after="30" w:before="30"/>
            </w:pPr>
            <w:r>
              <w:rPr>
                <w:rFonts w:ascii="Calibri" w:cs="Calibri" w:eastAsia="Calibri" w:hAnsi="Calibri"/>
                <w:b/>
                <w:bCs/>
                <w:color w:val="1F3864"/>
                <w:sz w:val="19"/>
                <w:szCs w:val="19"/>
              </w:rPr>
              <w:t xml:space="preserve">Speech Synthesis</w:t>
            </w:r>
          </w:p>
        </w:tc>
        <w:tc>
          <w:tcPr>
            <w:tcW w:type="dxa" w:w="4600"/>
            <w:shd w:fill="F2F2F2" w:val="clear"/>
          </w:tcPr>
          <w:p>
            <w:pPr>
              <w:spacing w:after="30" w:before="30"/>
            </w:pPr>
            <w:r>
              <w:rPr>
                <w:rFonts w:ascii="Calibri" w:cs="Calibri" w:eastAsia="Calibri" w:hAnsi="Calibri"/>
                <w:color w:val="000000"/>
                <w:sz w:val="19"/>
                <w:szCs w:val="19"/>
              </w:rPr>
              <w:t xml:space="preserve">VITS (Voice model)</w:t>
            </w:r>
          </w:p>
        </w:tc>
      </w:tr>
      <w:tr>
        <w:tc>
          <w:tcPr>
            <w:tcW w:type="dxa" w:w="2300"/>
            <w:shd w:fill="DEEAF1" w:val="clear"/>
          </w:tcPr>
          <w:p>
            <w:pPr>
              <w:spacing w:after="30" w:before="30"/>
            </w:pPr>
            <w:r>
              <w:rPr>
                <w:rFonts w:ascii="Calibri" w:cs="Calibri" w:eastAsia="Calibri" w:hAnsi="Calibri"/>
                <w:b/>
                <w:bCs/>
                <w:color w:val="1F3864"/>
                <w:sz w:val="19"/>
                <w:szCs w:val="19"/>
              </w:rPr>
              <w:t xml:space="preserve">Frontend</w:t>
            </w:r>
          </w:p>
        </w:tc>
        <w:tc>
          <w:tcPr>
            <w:tcW w:type="dxa" w:w="4600"/>
            <w:shd w:fill="F2F8FD" w:val="clear"/>
          </w:tcPr>
          <w:p>
            <w:pPr>
              <w:spacing w:after="30" w:before="30"/>
            </w:pPr>
            <w:r>
              <w:rPr>
                <w:rFonts w:ascii="Calibri" w:cs="Calibri" w:eastAsia="Calibri" w:hAnsi="Calibri"/>
                <w:color w:val="000000"/>
                <w:sz w:val="19"/>
                <w:szCs w:val="19"/>
              </w:rPr>
              <w:t xml:space="preserve">Flutter (mobile + web compatible)</w:t>
            </w:r>
          </w:p>
        </w:tc>
      </w:tr>
      <w:tr>
        <w:tc>
          <w:tcPr>
            <w:tcW w:type="dxa" w:w="2300"/>
            <w:shd w:fill="DEEAF1" w:val="clear"/>
          </w:tcPr>
          <w:p>
            <w:pPr>
              <w:spacing w:after="30" w:before="30"/>
            </w:pPr>
            <w:r>
              <w:rPr>
                <w:rFonts w:ascii="Calibri" w:cs="Calibri" w:eastAsia="Calibri" w:hAnsi="Calibri"/>
                <w:b/>
                <w:bCs/>
                <w:color w:val="1F3864"/>
                <w:sz w:val="19"/>
                <w:szCs w:val="19"/>
              </w:rPr>
              <w:t xml:space="preserve">Backend</w:t>
            </w:r>
          </w:p>
        </w:tc>
        <w:tc>
          <w:tcPr>
            <w:tcW w:type="dxa" w:w="4600"/>
            <w:shd w:fill="F2F2F2" w:val="clear"/>
          </w:tcPr>
          <w:p>
            <w:pPr>
              <w:spacing w:after="30" w:before="30"/>
            </w:pPr>
            <w:r>
              <w:rPr>
                <w:rFonts w:ascii="Calibri" w:cs="Calibri" w:eastAsia="Calibri" w:hAnsi="Calibri"/>
                <w:color w:val="000000"/>
                <w:sz w:val="19"/>
                <w:szCs w:val="19"/>
              </w:rPr>
              <w:t xml:space="preserve">Spring Boot</w:t>
            </w:r>
          </w:p>
        </w:tc>
      </w:tr>
      <w:tr>
        <w:tc>
          <w:tcPr>
            <w:tcW w:type="dxa" w:w="2300"/>
            <w:shd w:fill="DEEAF1" w:val="clear"/>
          </w:tcPr>
          <w:p>
            <w:pPr>
              <w:spacing w:after="30" w:before="30"/>
            </w:pPr>
            <w:r>
              <w:rPr>
                <w:rFonts w:ascii="Calibri" w:cs="Calibri" w:eastAsia="Calibri" w:hAnsi="Calibri"/>
                <w:b/>
                <w:bCs/>
                <w:color w:val="1F3864"/>
                <w:sz w:val="19"/>
                <w:szCs w:val="19"/>
              </w:rPr>
              <w:t xml:space="preserve">Pilot Questions</w:t>
            </w:r>
          </w:p>
        </w:tc>
        <w:tc>
          <w:tcPr>
            <w:tcW w:type="dxa" w:w="4600"/>
            <w:shd w:fill="F2F8FD" w:val="clear"/>
          </w:tcPr>
          <w:p>
            <w:pPr>
              <w:spacing w:after="30" w:before="30"/>
            </w:pPr>
            <w:r>
              <w:rPr>
                <w:rFonts w:ascii="Calibri" w:cs="Calibri" w:eastAsia="Calibri" w:hAnsi="Calibri"/>
                <w:color w:val="000000"/>
                <w:sz w:val="19"/>
                <w:szCs w:val="19"/>
              </w:rPr>
              <w:t xml:space="preserve">428 questions, 32 adolescent health professionals</w:t>
            </w:r>
          </w:p>
        </w:tc>
      </w:tr>
      <w:tr>
        <w:tc>
          <w:tcPr>
            <w:tcW w:type="dxa" w:w="2300"/>
            <w:shd w:fill="DEEAF1" w:val="clear"/>
          </w:tcPr>
          <w:p>
            <w:pPr>
              <w:spacing w:after="30" w:before="30"/>
            </w:pPr>
            <w:r>
              <w:rPr>
                <w:rFonts w:ascii="Calibri" w:cs="Calibri" w:eastAsia="Calibri" w:hAnsi="Calibri"/>
                <w:b/>
                <w:bCs/>
                <w:color w:val="1F3864"/>
                <w:sz w:val="19"/>
                <w:szCs w:val="19"/>
              </w:rPr>
              <w:t xml:space="preserve">Pilot Demographics</w:t>
            </w:r>
          </w:p>
        </w:tc>
        <w:tc>
          <w:tcPr>
            <w:tcW w:type="dxa" w:w="4600"/>
            <w:shd w:fill="F2F2F2" w:val="clear"/>
          </w:tcPr>
          <w:p>
            <w:pPr>
              <w:spacing w:after="30" w:before="30"/>
            </w:pPr>
            <w:r>
              <w:rPr>
                <w:rFonts w:ascii="Calibri" w:cs="Calibri" w:eastAsia="Calibri" w:hAnsi="Calibri"/>
                <w:color w:val="000000"/>
                <w:sz w:val="19"/>
                <w:szCs w:val="19"/>
              </w:rPr>
              <w:t xml:space="preserve">81.3% male, mean age 29.5 years (range 23–55)</w:t>
            </w:r>
          </w:p>
        </w:tc>
      </w:tr>
      <w:tr>
        <w:tc>
          <w:tcPr>
            <w:tcW w:type="dxa" w:w="2300"/>
            <w:shd w:fill="DEEAF1" w:val="clear"/>
          </w:tcPr>
          <w:p>
            <w:pPr>
              <w:spacing w:after="30" w:before="30"/>
            </w:pPr>
            <w:r>
              <w:rPr>
                <w:rFonts w:ascii="Calibri" w:cs="Calibri" w:eastAsia="Calibri" w:hAnsi="Calibri"/>
                <w:b/>
                <w:bCs/>
                <w:color w:val="1F3864"/>
                <w:sz w:val="19"/>
                <w:szCs w:val="19"/>
              </w:rPr>
              <w:t xml:space="preserve">Overall Accuracy</w:t>
            </w:r>
          </w:p>
        </w:tc>
        <w:tc>
          <w:tcPr>
            <w:tcW w:type="dxa" w:w="4600"/>
            <w:shd w:fill="F2F8FD" w:val="clear"/>
          </w:tcPr>
          <w:p>
            <w:pPr>
              <w:spacing w:after="30" w:before="30"/>
            </w:pPr>
            <w:r>
              <w:rPr>
                <w:rFonts w:ascii="Calibri" w:cs="Calibri" w:eastAsia="Calibri" w:hAnsi="Calibri"/>
                <w:color w:val="000000"/>
                <w:sz w:val="19"/>
                <w:szCs w:val="19"/>
              </w:rPr>
              <w:t xml:space="preserve">86.68% correct, 2.57% partial, 10.75% incorrect</w:t>
            </w:r>
          </w:p>
        </w:tc>
      </w:tr>
      <w:tr>
        <w:tc>
          <w:tcPr>
            <w:tcW w:type="dxa" w:w="2300"/>
            <w:shd w:fill="DEEAF1" w:val="clear"/>
          </w:tcPr>
          <w:p>
            <w:pPr>
              <w:spacing w:after="30" w:before="30"/>
            </w:pPr>
            <w:r>
              <w:rPr>
                <w:rFonts w:ascii="Calibri" w:cs="Calibri" w:eastAsia="Calibri" w:hAnsi="Calibri"/>
                <w:b/>
                <w:bCs/>
                <w:color w:val="1F3864"/>
                <w:sz w:val="19"/>
                <w:szCs w:val="19"/>
              </w:rPr>
              <w:t xml:space="preserve">Correctness vs. Baselines</w:t>
            </w:r>
          </w:p>
        </w:tc>
        <w:tc>
          <w:tcPr>
            <w:tcW w:type="dxa" w:w="4600"/>
            <w:shd w:fill="F2F2F2" w:val="clear"/>
          </w:tcPr>
          <w:p>
            <w:pPr>
              <w:spacing w:after="30" w:before="30"/>
            </w:pPr>
            <w:r>
              <w:rPr>
                <w:rFonts w:ascii="Calibri" w:cs="Calibri" w:eastAsia="Calibri" w:hAnsi="Calibri"/>
                <w:color w:val="000000"/>
                <w:sz w:val="19"/>
                <w:szCs w:val="19"/>
              </w:rPr>
              <w:t xml:space="preserve">SuSastho.AI 61.9% vs. RAG 40.4% vs. Llama3 45.8%</w:t>
            </w:r>
          </w:p>
        </w:tc>
      </w:tr>
      <w:tr>
        <w:tc>
          <w:tcPr>
            <w:tcW w:type="dxa" w:w="2300"/>
            <w:shd w:fill="DEEAF1" w:val="clear"/>
          </w:tcPr>
          <w:p>
            <w:pPr>
              <w:spacing w:after="30" w:before="30"/>
            </w:pPr>
            <w:r>
              <w:rPr>
                <w:rFonts w:ascii="Calibri" w:cs="Calibri" w:eastAsia="Calibri" w:hAnsi="Calibri"/>
                <w:b/>
                <w:bCs/>
                <w:color w:val="1F3864"/>
                <w:sz w:val="19"/>
                <w:szCs w:val="19"/>
              </w:rPr>
              <w:t xml:space="preserve">No-answer Rate</w:t>
            </w:r>
          </w:p>
        </w:tc>
        <w:tc>
          <w:tcPr>
            <w:tcW w:type="dxa" w:w="4600"/>
            <w:shd w:fill="F2F8FD" w:val="clear"/>
          </w:tcPr>
          <w:p>
            <w:pPr>
              <w:spacing w:after="30" w:before="30"/>
            </w:pPr>
            <w:r>
              <w:rPr>
                <w:rFonts w:ascii="Calibri" w:cs="Calibri" w:eastAsia="Calibri" w:hAnsi="Calibri"/>
                <w:color w:val="000000"/>
                <w:sz w:val="19"/>
                <w:szCs w:val="19"/>
              </w:rPr>
              <w:t xml:space="preserve">SuSastho.AI 26.9% vs. RAG 42.3%</w:t>
            </w:r>
          </w:p>
        </w:tc>
      </w:tr>
      <w:tr>
        <w:tc>
          <w:tcPr>
            <w:tcW w:type="dxa" w:w="2300"/>
            <w:shd w:fill="DEEAF1" w:val="clear"/>
          </w:tcPr>
          <w:p>
            <w:pPr>
              <w:spacing w:after="30" w:before="30"/>
            </w:pPr>
            <w:r>
              <w:rPr>
                <w:rFonts w:ascii="Calibri" w:cs="Calibri" w:eastAsia="Calibri" w:hAnsi="Calibri"/>
                <w:b/>
                <w:bCs/>
                <w:color w:val="1F3864"/>
                <w:sz w:val="19"/>
                <w:szCs w:val="19"/>
              </w:rPr>
              <w:t xml:space="preserve">Cost</w:t>
            </w:r>
          </w:p>
        </w:tc>
        <w:tc>
          <w:tcPr>
            <w:tcW w:type="dxa" w:w="4600"/>
            <w:shd w:fill="F2F2F2" w:val="clear"/>
          </w:tcPr>
          <w:p>
            <w:pPr>
              <w:spacing w:after="30" w:before="30"/>
            </w:pPr>
            <w:r>
              <w:rPr>
                <w:rFonts w:ascii="Calibri" w:cs="Calibri" w:eastAsia="Calibri" w:hAnsi="Calibri"/>
                <w:color w:val="000000"/>
                <w:sz w:val="19"/>
                <w:szCs w:val="19"/>
              </w:rPr>
              <w:t xml:space="preserve">US$0.2 per million tokens (vs. GPT-4 ~150× more expensive)</w:t>
            </w:r>
          </w:p>
        </w:tc>
      </w:tr>
    </w:tbl>
    <w:p>
      <w:pPr>
        <w:spacing w:after="20" w:before="80"/>
      </w:pPr>
    </w:p>
    <w:p>
      <w:pPr>
        <w:spacing w:after="80" w:before="240"/>
      </w:pPr>
      <w:r>
        <w:rPr>
          <w:rFonts w:ascii="Calibri" w:cs="Calibri" w:eastAsia="Calibri" w:hAnsi="Calibri"/>
          <w:b/>
          <w:bCs/>
          <w:color w:val="C00000"/>
          <w:sz w:val="26"/>
          <w:szCs w:val="26"/>
        </w:rPr>
        <w:t xml:space="preserve">Common Exam Traps — Paper 3 — SuSastho.AI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CE4D6" w:val="clear"/>
            <w:tcMar>
              <w:top w:type="dxa" w:w="80"/>
              <w:left w:type="dxa" w:w="120"/>
              <w:bottom w:type="dxa" w:w="80"/>
              <w:right w:type="dxa" w:w="120"/>
            </w:tcMar>
          </w:tcPr>
          <w:p>
            <w:pPr>
              <w:spacing w:after="60" w:before="20"/>
            </w:pPr>
            <w:r>
              <w:rPr>
                <w:rFonts w:ascii="Calibri" w:cs="Calibri" w:eastAsia="Calibri" w:hAnsi="Calibri"/>
                <w:i/>
                <w:iCs/>
                <w:color w:val="C00000"/>
                <w:sz w:val="20"/>
                <w:szCs w:val="20"/>
              </w:rPr>
              <w:t xml:space="preserve">Watch out for these misconceptions — they appear frequently in exam questions.</w:t>
            </w:r>
          </w:p>
          <w:p>
            <w:pPr>
              <w:spacing w:after="40" w:before="40"/>
              <w:ind w:left="288"/>
            </w:pPr>
            <w:r>
              <w:rPr>
                <w:rFonts w:ascii="Calibri" w:cs="Calibri" w:eastAsia="Calibri" w:hAnsi="Calibri"/>
                <w:b/>
                <w:bCs/>
                <w:color w:val="C00000"/>
                <w:sz w:val="22"/>
                <w:szCs w:val="22"/>
              </w:rPr>
              <w:t xml:space="preserve">1. </w:t>
            </w:r>
            <w:r>
              <w:rPr>
                <w:rFonts w:ascii="Calibri" w:cs="Calibri" w:eastAsia="Calibri" w:hAnsi="Calibri"/>
                <w:color w:val="C00000"/>
                <w:sz w:val="22"/>
                <w:szCs w:val="22"/>
              </w:rPr>
              <w:t xml:space="preserve">86.68% is the OVERALL ACCURACY (own questions); 61.9% is the CORRECTNESS in the COMPARATIVE TEST (same 428 questions across all three systems).</w:t>
            </w:r>
          </w:p>
          <w:p>
            <w:pPr>
              <w:spacing w:after="40" w:before="40"/>
              <w:ind w:left="288"/>
            </w:pPr>
            <w:r>
              <w:rPr>
                <w:rFonts w:ascii="Calibri" w:cs="Calibri" w:eastAsia="Calibri" w:hAnsi="Calibri"/>
                <w:b/>
                <w:bCs/>
                <w:color w:val="C00000"/>
                <w:sz w:val="22"/>
                <w:szCs w:val="22"/>
              </w:rPr>
              <w:t xml:space="preserve">2. </w:t>
            </w:r>
            <w:r>
              <w:rPr>
                <w:rFonts w:ascii="Calibri" w:cs="Calibri" w:eastAsia="Calibri" w:hAnsi="Calibri"/>
                <w:color w:val="C00000"/>
                <w:sz w:val="22"/>
                <w:szCs w:val="22"/>
              </w:rPr>
              <w:t xml:space="preserve">The no-answer rate for SuSastho.AI (26.9%) is actually classified as CORRECT behaviour — the system safely refuses when the KB has no relevant answer.</w:t>
            </w:r>
          </w:p>
          <w:p>
            <w:pPr>
              <w:spacing w:after="40" w:before="40"/>
              <w:ind w:left="288"/>
            </w:pPr>
            <w:r>
              <w:rPr>
                <w:rFonts w:ascii="Calibri" w:cs="Calibri" w:eastAsia="Calibri" w:hAnsi="Calibri"/>
                <w:b/>
                <w:bCs/>
                <w:color w:val="C00000"/>
                <w:sz w:val="22"/>
                <w:szCs w:val="22"/>
              </w:rPr>
              <w:t xml:space="preserve">3. </w:t>
            </w:r>
            <w:r>
              <w:rPr>
                <w:rFonts w:ascii="Calibri" w:cs="Calibri" w:eastAsia="Calibri" w:hAnsi="Calibri"/>
                <w:color w:val="C00000"/>
                <w:sz w:val="22"/>
                <w:szCs w:val="22"/>
              </w:rPr>
              <w:t xml:space="preserve">The pilot had 32 participants who were HEALTH PROFESSIONALS, not actual adolescents — this is a key limitation.</w:t>
            </w:r>
          </w:p>
          <w:p>
            <w:pPr>
              <w:spacing w:after="40" w:before="40"/>
              <w:ind w:left="288"/>
            </w:pPr>
            <w:r>
              <w:rPr>
                <w:rFonts w:ascii="Calibri" w:cs="Calibri" w:eastAsia="Calibri" w:hAnsi="Calibri"/>
                <w:b/>
                <w:bCs/>
                <w:color w:val="C00000"/>
                <w:sz w:val="22"/>
                <w:szCs w:val="22"/>
              </w:rPr>
              <w:t xml:space="preserve">4. </w:t>
            </w:r>
            <w:r>
              <w:rPr>
                <w:rFonts w:ascii="Calibri" w:cs="Calibri" w:eastAsia="Calibri" w:hAnsi="Calibri"/>
                <w:color w:val="C00000"/>
                <w:sz w:val="22"/>
                <w:szCs w:val="22"/>
              </w:rPr>
              <w:t xml:space="preserve">EBM protocol has 4 steps (formulate → find → assess → apply); CoT is layered ON TOP of the EBM protocol, not a replacement.</w:t>
            </w:r>
          </w:p>
          <w:p>
            <w:pPr>
              <w:spacing w:after="40" w:before="40"/>
              <w:ind w:left="288"/>
            </w:pPr>
            <w:r>
              <w:rPr>
                <w:rFonts w:ascii="Calibri" w:cs="Calibri" w:eastAsia="Calibri" w:hAnsi="Calibri"/>
                <w:b/>
                <w:bCs/>
                <w:color w:val="C00000"/>
                <w:sz w:val="22"/>
                <w:szCs w:val="22"/>
              </w:rPr>
              <w:t xml:space="preserve">5. </w:t>
            </w:r>
            <w:r>
              <w:rPr>
                <w:rFonts w:ascii="Calibri" w:cs="Calibri" w:eastAsia="Calibri" w:hAnsi="Calibri"/>
                <w:color w:val="C00000"/>
                <w:sz w:val="22"/>
                <w:szCs w:val="22"/>
              </w:rPr>
              <w:t xml:space="preserve">Model evolution: RASA + Chatterbot (used together, not sequential) → Bloom → Bloom+RAG → Llama 3 (final). RASA and Chatterbot were both initial tools trialled simultaneously, not sequential steps. The switch to Llama 3 was driven by Bengali comprehension.</w:t>
            </w:r>
          </w:p>
          <w:p>
            <w:pPr>
              <w:spacing w:before="20"/>
            </w:pPr>
          </w:p>
        </w:tc>
      </w:tr>
    </w:tbl>
    <w:p>
      <w:pPr>
        <w:spacing w:after="20" w:before="80"/>
      </w:pPr>
    </w:p>
    <w:p>
      <w:pPr>
        <w:spacing w:after="80" w:before="240"/>
      </w:pPr>
      <w:r>
        <w:rPr>
          <w:rFonts w:ascii="Calibri" w:cs="Calibri" w:eastAsia="Calibri" w:hAnsi="Calibri"/>
          <w:b/>
          <w:bCs/>
          <w:color w:val="C55A11"/>
          <w:sz w:val="26"/>
          <w:szCs w:val="26"/>
        </w:rPr>
        <w:t xml:space="preserve">15 Exam Questions &amp; Answers — Paper 3 — SuSastho.AI</w:t>
      </w:r>
    </w:p>
    <w:p>
      <w:pPr>
        <w:spacing w:after="40" w:before="120"/>
      </w:pPr>
      <w:r>
        <w:rPr>
          <w:rFonts w:ascii="Calibri" w:cs="Calibri" w:eastAsia="Calibri" w:hAnsi="Calibri"/>
          <w:b/>
          <w:bCs/>
          <w:color w:val="C55A11"/>
          <w:sz w:val="22"/>
          <w:szCs w:val="22"/>
        </w:rPr>
        <w:t xml:space="preserve">Q1. </w:t>
      </w:r>
      <w:r>
        <w:rPr>
          <w:rFonts w:ascii="Calibri" w:cs="Calibri" w:eastAsia="Calibri" w:hAnsi="Calibri"/>
          <w:b/>
          <w:bCs/>
          <w:color w:val="1F3864"/>
          <w:sz w:val="22"/>
          <w:szCs w:val="22"/>
        </w:rPr>
        <w:t xml:space="preserve">What is the problem this paper addresses?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Bangladeshi adolescents face serious sexual, reproductive, and mental health (SRMH) challenges driven by cultural stigma, poverty, and limited healthcare access. Only 63% have comprehensive SRH knowledge and 63% lack SRH services; only 13% receive mental health support. These deficits lead to high rates of STIs, unintended pregnancies, and serious mental health issues among young people.</w:t>
      </w:r>
    </w:p>
    <w:p>
      <w:pPr>
        <w:spacing w:after="40" w:before="120"/>
      </w:pPr>
      <w:r>
        <w:rPr>
          <w:rFonts w:ascii="Calibri" w:cs="Calibri" w:eastAsia="Calibri" w:hAnsi="Calibri"/>
          <w:b/>
          <w:bCs/>
          <w:color w:val="C55A11"/>
          <w:sz w:val="22"/>
          <w:szCs w:val="22"/>
        </w:rPr>
        <w:t xml:space="preserve">Q2. </w:t>
      </w:r>
      <w:r>
        <w:rPr>
          <w:rFonts w:ascii="Calibri" w:cs="Calibri" w:eastAsia="Calibri" w:hAnsi="Calibri"/>
          <w:b/>
          <w:bCs/>
          <w:color w:val="1F3864"/>
          <w:sz w:val="22"/>
          <w:szCs w:val="22"/>
        </w:rPr>
        <w:t xml:space="preserve">What research gap does SuSastho.AI fill?</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Existing chatbots like AdolescentBot and SnehAI relied primarily on predefined rules and limited Q&amp;A formats, could not generate personalised responses, and lacked voice-based interaction. No prior LLM-based, voice-activated, evidence-grounded, and culturally sensitive medical copilot existed specifically for Bangladeshi adolescent SRMH in Bengali and English. SuSastho.AI also addresses common LLM pitfalls — hallucination and bias — by combining RAG, EBM, and Chain of Thought (CoT) reasoning.</w:t>
      </w:r>
    </w:p>
    <w:p>
      <w:pPr>
        <w:spacing w:after="40" w:before="120"/>
      </w:pPr>
      <w:r>
        <w:rPr>
          <w:rFonts w:ascii="Calibri" w:cs="Calibri" w:eastAsia="Calibri" w:hAnsi="Calibri"/>
          <w:b/>
          <w:bCs/>
          <w:color w:val="C55A11"/>
          <w:sz w:val="22"/>
          <w:szCs w:val="22"/>
        </w:rPr>
        <w:t xml:space="preserve">Q3. </w:t>
      </w:r>
      <w:r>
        <w:rPr>
          <w:rFonts w:ascii="Calibri" w:cs="Calibri" w:eastAsia="Calibri" w:hAnsi="Calibri"/>
          <w:b/>
          <w:bCs/>
          <w:color w:val="1F3864"/>
          <w:sz w:val="22"/>
          <w:szCs w:val="22"/>
        </w:rPr>
        <w:t xml:space="preserve">What are the main objectives of the SuSastho.AI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aims to develop SuSastho.AI, a multimodal (voice and text), evidence-based healthcare copilot for Bangladeshi adolescents addressing SRMH issues. A secondary objective is to evaluate its performance through a pilot study comparing it with RAG + Llama 3 8B and baseline Llama 3 8B. The study also aims to demonstrate a replicable framework for deploying AI health copilots in culturally sensitive, low-resource contexts.</w:t>
      </w:r>
    </w:p>
    <w:p>
      <w:pPr>
        <w:spacing w:after="40" w:before="120"/>
      </w:pPr>
      <w:r>
        <w:rPr>
          <w:rFonts w:ascii="Calibri" w:cs="Calibri" w:eastAsia="Calibri" w:hAnsi="Calibri"/>
          <w:b/>
          <w:bCs/>
          <w:color w:val="C55A11"/>
          <w:sz w:val="22"/>
          <w:szCs w:val="22"/>
        </w:rPr>
        <w:t xml:space="preserve">Q4. </w:t>
      </w:r>
      <w:r>
        <w:rPr>
          <w:rFonts w:ascii="Calibri" w:cs="Calibri" w:eastAsia="Calibri" w:hAnsi="Calibri"/>
          <w:b/>
          <w:bCs/>
          <w:color w:val="1F3864"/>
          <w:sz w:val="22"/>
          <w:szCs w:val="22"/>
        </w:rPr>
        <w:t xml:space="preserve">What data and Knowledge Base were used?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Knowledge Base (KB) contains 2,063 medical documents spanning 20 SRMH categories, sourced from the Bangladesh Ministry of Health, national NGOs, WHO/UNICEF materials, peer-reviewed literature, and locally produced community-engagement resources. A task-specific fine-tuning dataset of 8,614 examples was curated: 5,396 Task-QG (query generation) and 3,218 Task-AG (answer generation) instances. These examples were developed by clinical experts drawing on FGDs and commonly observed adolescent communication patterns, including colloquial and indirect phrasing.</w:t>
      </w:r>
    </w:p>
    <w:p>
      <w:pPr>
        <w:spacing w:after="40" w:before="120"/>
      </w:pPr>
      <w:r>
        <w:rPr>
          <w:rFonts w:ascii="Calibri" w:cs="Calibri" w:eastAsia="Calibri" w:hAnsi="Calibri"/>
          <w:b/>
          <w:bCs/>
          <w:color w:val="C55A11"/>
          <w:sz w:val="22"/>
          <w:szCs w:val="22"/>
        </w:rPr>
        <w:t xml:space="preserve">Q5. </w:t>
      </w:r>
      <w:r>
        <w:rPr>
          <w:rFonts w:ascii="Calibri" w:cs="Calibri" w:eastAsia="Calibri" w:hAnsi="Calibri"/>
          <w:b/>
          <w:bCs/>
          <w:color w:val="1F3864"/>
          <w:sz w:val="22"/>
          <w:szCs w:val="22"/>
        </w:rPr>
        <w:t xml:space="preserve">Why was a task-specific dataset created rather than using a general dataset?</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General datasets do not capture the cultural nuances, colloquial language (including Banglish — Bengali written in English characters), indirect phrasing, and SRMH-specific terminology used by Bangladeshi adolescents. Standard NLP datasets also lack culturally appropriate clinical context for this population. A task-specific dataset grounded in authentic adolescent communication ensures the LLM accurately interprets ambiguous, indirect, and locally phrased queries — a critical challenge in this domain.</w:t>
      </w:r>
    </w:p>
    <w:p>
      <w:pPr>
        <w:spacing w:after="40" w:before="120"/>
      </w:pPr>
      <w:r>
        <w:rPr>
          <w:rFonts w:ascii="Calibri" w:cs="Calibri" w:eastAsia="Calibri" w:hAnsi="Calibri"/>
          <w:b/>
          <w:bCs/>
          <w:color w:val="C55A11"/>
          <w:sz w:val="22"/>
          <w:szCs w:val="22"/>
        </w:rPr>
        <w:t xml:space="preserve">Q6. </w:t>
      </w:r>
      <w:r>
        <w:rPr>
          <w:rFonts w:ascii="Calibri" w:cs="Calibri" w:eastAsia="Calibri" w:hAnsi="Calibri"/>
          <w:b/>
          <w:bCs/>
          <w:color w:val="1F3864"/>
          <w:sz w:val="22"/>
          <w:szCs w:val="22"/>
        </w:rPr>
        <w:t xml:space="preserve">What methodology underpins SuSastho.AI's response generation?</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response generation follows a four-step Evidence-Based Medicine (EBM) protocol: (1) formulate a clinical question from user input, (2) find the best available evidence from the validated KB using semantic similarity search (Multilingual E5), (3) critically assess the evidence for validity and applicability, and (4) integrate the appraised evidence into a tailored response. Chain of Thought (CoT) prompting is embedded in the protocol to guide the LLM through step-by-step clinical reasoning, preventing hallucinations and logical leaps.</w:t>
      </w:r>
    </w:p>
    <w:p>
      <w:pPr>
        <w:spacing w:after="40" w:before="120"/>
      </w:pPr>
      <w:r>
        <w:rPr>
          <w:rFonts w:ascii="Calibri" w:cs="Calibri" w:eastAsia="Calibri" w:hAnsi="Calibri"/>
          <w:b/>
          <w:bCs/>
          <w:color w:val="C55A11"/>
          <w:sz w:val="22"/>
          <w:szCs w:val="22"/>
        </w:rPr>
        <w:t xml:space="preserve">Q7. </w:t>
      </w:r>
      <w:r>
        <w:rPr>
          <w:rFonts w:ascii="Calibri" w:cs="Calibri" w:eastAsia="Calibri" w:hAnsi="Calibri"/>
          <w:b/>
          <w:bCs/>
          <w:color w:val="1F3864"/>
          <w:sz w:val="22"/>
          <w:szCs w:val="22"/>
        </w:rPr>
        <w:t xml:space="preserve">What is the system architecture of SuSastho.AI?</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backend is built with Spring Boot, managing response generation, user profiles, logs, and a real-time monitoring dashboard. The LLM module uses a fine-tuned Llama 3 8B Instruct model for both Task-QG and Task-AG; supporting models include Multilingual E5 for document embedding and retrieval, Wav2Vec and a 5-gram language model for speech recognition, and VITS for speech synthesis. The frontend is built with Flutter, making it compatible with both mobile devices and web applications.</w:t>
      </w:r>
    </w:p>
    <w:p>
      <w:pPr>
        <w:spacing w:after="40" w:before="120"/>
      </w:pPr>
      <w:r>
        <w:rPr>
          <w:rFonts w:ascii="Calibri" w:cs="Calibri" w:eastAsia="Calibri" w:hAnsi="Calibri"/>
          <w:b/>
          <w:bCs/>
          <w:color w:val="C55A11"/>
          <w:sz w:val="22"/>
          <w:szCs w:val="22"/>
        </w:rPr>
        <w:t xml:space="preserve">Q8. </w:t>
      </w:r>
      <w:r>
        <w:rPr>
          <w:rFonts w:ascii="Calibri" w:cs="Calibri" w:eastAsia="Calibri" w:hAnsi="Calibri"/>
          <w:b/>
          <w:bCs/>
          <w:color w:val="1F3864"/>
          <w:sz w:val="22"/>
          <w:szCs w:val="22"/>
        </w:rPr>
        <w:t xml:space="preserve">How was the model selected and evolved over the course of the research?</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team initially experimented with RASA and Chatterbot, which could not handle comprehensive question-answering tasks. Then Bloom was tried but failed due to its focus on text generation only and lack of a conversational variant. RAG with Bloom improved quality but did not fully resolve context recognition issues. The team then adopted Llama 3, whose enhanced Bengali comprehension significantly improved accuracy, leading to the final fine-tuned Llama 3 8B Instruct model.</w:t>
      </w:r>
    </w:p>
    <w:p>
      <w:pPr>
        <w:spacing w:after="40" w:before="120"/>
      </w:pPr>
      <w:r>
        <w:rPr>
          <w:rFonts w:ascii="Calibri" w:cs="Calibri" w:eastAsia="Calibri" w:hAnsi="Calibri"/>
          <w:b/>
          <w:bCs/>
          <w:color w:val="C55A11"/>
          <w:sz w:val="22"/>
          <w:szCs w:val="22"/>
        </w:rPr>
        <w:t xml:space="preserve">Q9. </w:t>
      </w:r>
      <w:r>
        <w:rPr>
          <w:rFonts w:ascii="Calibri" w:cs="Calibri" w:eastAsia="Calibri" w:hAnsi="Calibri"/>
          <w:b/>
          <w:bCs/>
          <w:color w:val="1F3864"/>
          <w:sz w:val="22"/>
          <w:szCs w:val="22"/>
        </w:rPr>
        <w:t xml:space="preserve">How was the solution evaluated, and what baselines were used?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Evaluation used human assessment by SRMH experts and QA experts applying a checklist for accuracy, factual consistency, and relevance; two independent evaluators were used, with a third to resolve disagreements. The pilot study involved 32 adolescent health professionals (81.3% male, mean age 29.5 years) who interacted with the copilot using 428 questions. SuSastho.AI was compared against two baselines: RAG + Llama 3 8B with the validated KB, and baseline Llama 3 8B with no external KB.</w:t>
      </w:r>
    </w:p>
    <w:p>
      <w:pPr>
        <w:spacing w:after="40" w:before="120"/>
      </w:pPr>
      <w:r>
        <w:rPr>
          <w:rFonts w:ascii="Calibri" w:cs="Calibri" w:eastAsia="Calibri" w:hAnsi="Calibri"/>
          <w:b/>
          <w:bCs/>
          <w:color w:val="C55A11"/>
          <w:sz w:val="22"/>
          <w:szCs w:val="22"/>
        </w:rPr>
        <w:t xml:space="preserve">Q10. </w:t>
      </w:r>
      <w:r>
        <w:rPr>
          <w:rFonts w:ascii="Calibri" w:cs="Calibri" w:eastAsia="Calibri" w:hAnsi="Calibri"/>
          <w:b/>
          <w:bCs/>
          <w:color w:val="1F3864"/>
          <w:sz w:val="22"/>
          <w:szCs w:val="22"/>
        </w:rPr>
        <w:t xml:space="preserve">What are the main quantitative results?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SuSastho.AI achieved an overall accuracy of 86.68% correct, 2.57% partially correct, and 10.75% incorrect across 428 questions. In the comparative analysis using the same 428 questions, SuSastho.AI achieved 61.9% correctness, substantially outperforming RAG + Llama 3 (40.4%) and baseline Llama 3 (45.8%). The system reduced incorrect responses by 26.9% compared to RAG and by 16.1% compared to Llama 3, and had a lower no-answer rate (26.9%) than RAG (42.3%).</w:t>
      </w:r>
    </w:p>
    <w:p>
      <w:pPr>
        <w:spacing w:after="40" w:before="120"/>
      </w:pPr>
      <w:r>
        <w:rPr>
          <w:rFonts w:ascii="Calibri" w:cs="Calibri" w:eastAsia="Calibri" w:hAnsi="Calibri"/>
          <w:b/>
          <w:bCs/>
          <w:color w:val="C55A11"/>
          <w:sz w:val="22"/>
          <w:szCs w:val="22"/>
        </w:rPr>
        <w:t xml:space="preserve">Q11. </w:t>
      </w:r>
      <w:r>
        <w:rPr>
          <w:rFonts w:ascii="Calibri" w:cs="Calibri" w:eastAsia="Calibri" w:hAnsi="Calibri"/>
          <w:b/>
          <w:bCs/>
          <w:color w:val="1F3864"/>
          <w:sz w:val="22"/>
          <w:szCs w:val="22"/>
        </w:rPr>
        <w:t xml:space="preserve">What were the user satisfaction findings from the usability questionnaire?</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87% of participants found answers to their questions and 90.7% found answers relevant. Overall satisfaction was 62.5% agreed and 21.9% strongly agreed. Response time satisfaction was 71.9% agreed, and 65.6% found the chatbot friendly. However, 25% felt responses seemed robotic and 21.9% disagreed that the copilot fully understood their question, highlighting areas for further improvement.</w:t>
      </w:r>
    </w:p>
    <w:p>
      <w:pPr>
        <w:spacing w:after="40" w:before="120"/>
      </w:pPr>
      <w:r>
        <w:rPr>
          <w:rFonts w:ascii="Calibri" w:cs="Calibri" w:eastAsia="Calibri" w:hAnsi="Calibri"/>
          <w:b/>
          <w:bCs/>
          <w:color w:val="C55A11"/>
          <w:sz w:val="22"/>
          <w:szCs w:val="22"/>
        </w:rPr>
        <w:t xml:space="preserve">Q12. </w:t>
      </w:r>
      <w:r>
        <w:rPr>
          <w:rFonts w:ascii="Calibri" w:cs="Calibri" w:eastAsia="Calibri" w:hAnsi="Calibri"/>
          <w:b/>
          <w:bCs/>
          <w:color w:val="1F3864"/>
          <w:sz w:val="22"/>
          <w:szCs w:val="22"/>
        </w:rPr>
        <w:t xml:space="preserve">What were the error patterns identified?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For questions explicitly covered by the KB, incorrect answers mainly occurred due to the LLM misunderstanding the question or providing irrelevant general solutions. For fictitious (fabricated) answers, 7 out of 8 were asked in Banglish, indicating difficulty with mixed-language input. For questions not covered by the KB, the system correctly refused to answer in most cases (100% system-refusal rate), which was classified as correct behaviour since safety was prioritised.</w:t>
      </w:r>
    </w:p>
    <w:p>
      <w:pPr>
        <w:spacing w:after="40" w:before="120"/>
      </w:pPr>
      <w:r>
        <w:rPr>
          <w:rFonts w:ascii="Calibri" w:cs="Calibri" w:eastAsia="Calibri" w:hAnsi="Calibri"/>
          <w:b/>
          <w:bCs/>
          <w:color w:val="C55A11"/>
          <w:sz w:val="22"/>
          <w:szCs w:val="22"/>
        </w:rPr>
        <w:t xml:space="preserve">Q13. </w:t>
      </w:r>
      <w:r>
        <w:rPr>
          <w:rFonts w:ascii="Calibri" w:cs="Calibri" w:eastAsia="Calibri" w:hAnsi="Calibri"/>
          <w:b/>
          <w:bCs/>
          <w:color w:val="1F3864"/>
          <w:sz w:val="22"/>
          <w:szCs w:val="22"/>
        </w:rPr>
        <w:t xml:space="preserve">What are the key limitations of SuSastho.AI?</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pilot study involved only 32 participants (adolescent health professionals, not actual adolescents), limiting generalisability to the real target user group. The evaluation was entirely human-based, making it time-intensive and difficult to scale. The copilot struggled with Banglish input and culturally indirect language due to limited multilingual training data. Additionally, using the current Llama 3 8B model costs US$0.2 per million tokens, which is cost-effective compared to GPT-4 (approximately 150 times more expensive).</w:t>
      </w:r>
    </w:p>
    <w:p>
      <w:pPr>
        <w:spacing w:after="40" w:before="120"/>
      </w:pPr>
      <w:r>
        <w:rPr>
          <w:rFonts w:ascii="Calibri" w:cs="Calibri" w:eastAsia="Calibri" w:hAnsi="Calibri"/>
          <w:b/>
          <w:bCs/>
          <w:color w:val="C55A11"/>
          <w:sz w:val="22"/>
          <w:szCs w:val="22"/>
        </w:rPr>
        <w:t xml:space="preserve">Q14. </w:t>
      </w:r>
      <w:r>
        <w:rPr>
          <w:rFonts w:ascii="Calibri" w:cs="Calibri" w:eastAsia="Calibri" w:hAnsi="Calibri"/>
          <w:b/>
          <w:bCs/>
          <w:color w:val="1F3864"/>
          <w:sz w:val="22"/>
          <w:szCs w:val="22"/>
        </w:rPr>
        <w:t xml:space="preserve">What ethical considerations are discussed?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Ethical approval was obtained from the Bangladesh Medical Research Council (BMRC) and the Institutional Research Ethics Board (IREB) of United International University before the pilot was conducted. All participants provided informed consent, and data were anonymised. The copilot includes mechanisms to block answers when confidence is low and informs users not to replace professional medical advice with the copilot's responses. Clear disclaimers about potential inaccuracies in medical advice are discussed as an essential requirement.</w:t>
      </w:r>
    </w:p>
    <w:p>
      <w:pPr>
        <w:spacing w:after="40" w:before="120"/>
      </w:pPr>
      <w:r>
        <w:rPr>
          <w:rFonts w:ascii="Calibri" w:cs="Calibri" w:eastAsia="Calibri" w:hAnsi="Calibri"/>
          <w:b/>
          <w:bCs/>
          <w:color w:val="C55A11"/>
          <w:sz w:val="22"/>
          <w:szCs w:val="22"/>
        </w:rPr>
        <w:t xml:space="preserve">Q15. </w:t>
      </w:r>
      <w:r>
        <w:rPr>
          <w:rFonts w:ascii="Calibri" w:cs="Calibri" w:eastAsia="Calibri" w:hAnsi="Calibri"/>
          <w:b/>
          <w:bCs/>
          <w:color w:val="1F3864"/>
          <w:sz w:val="22"/>
          <w:szCs w:val="22"/>
        </w:rPr>
        <w:t xml:space="preserve">What are the societal impact and future directions?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SuSastho.AI has potential to democratise SRMH information access for the 36 million Bangladeshi adolescents who face structural barriers to healthcare, particularly those in urban slums, with disabilities, or in refugee situations. Future work includes expanding capabilities to newborns and elderly care, adding a risk detection system, integrating Clinical Standard Operating Procedures (SOPs), and exploring Reinforcement Learning from Human Feedback (RLHF) and Direct Preference Optimisation (DPO) for quality improvement. The research presents a replicable model for LLM-based health copilots in low-resource, culturally sensitive settings globally.</w:t>
      </w:r>
    </w:p>
    <w:p>
      <w:pPr>
        <w:spacing w:after="20" w:before="60"/>
      </w:pPr>
    </w:p>
    <w:p>
      <w:pPr>
        <w:spacing w:after="80" w:before="240"/>
      </w:pPr>
      <w:r>
        <w:rPr>
          <w:rFonts w:ascii="Calibri" w:cs="Calibri" w:eastAsia="Calibri" w:hAnsi="Calibri"/>
          <w:b/>
          <w:bCs/>
          <w:color w:val="C55A11"/>
          <w:sz w:val="26"/>
          <w:szCs w:val="26"/>
        </w:rPr>
        <w:t xml:space="preserve">Glossary of Key Terms — Paper 3 — SuSastho.AI</w:t>
      </w:r>
    </w:p>
    <w:p>
      <w:pPr>
        <w:spacing w:after="40" w:before="60"/>
        <w:ind w:left="144"/>
      </w:pPr>
      <w:r>
        <w:rPr>
          <w:rFonts w:ascii="Calibri" w:cs="Calibri" w:eastAsia="Calibri" w:hAnsi="Calibri"/>
          <w:b/>
          <w:bCs/>
          <w:i w:val="false"/>
          <w:iCs w:val="false"/>
          <w:color w:val="C55A11"/>
          <w:sz w:val="21"/>
          <w:szCs w:val="21"/>
        </w:rPr>
        <w:t xml:space="preserve">LLM (Large Language Model): </w:t>
      </w:r>
      <w:r>
        <w:rPr>
          <w:rFonts w:ascii="Calibri" w:cs="Calibri" w:eastAsia="Calibri" w:hAnsi="Calibri"/>
          <w:b w:val="false"/>
          <w:bCs w:val="false"/>
          <w:i w:val="false"/>
          <w:iCs w:val="false"/>
          <w:color w:val="000000"/>
          <w:sz w:val="21"/>
          <w:szCs w:val="21"/>
        </w:rPr>
        <w:t xml:space="preserve">Deep learning model trained on vast text corpora capable of understanding and generating natural language; SuSastho.AI uses fine-tuned Llama 3 8B Instruct as its core reasoning and generation engine.</w:t>
      </w:r>
    </w:p>
    <w:p>
      <w:pPr>
        <w:spacing w:after="40" w:before="60"/>
        <w:ind w:left="144"/>
      </w:pPr>
      <w:r>
        <w:rPr>
          <w:rFonts w:ascii="Calibri" w:cs="Calibri" w:eastAsia="Calibri" w:hAnsi="Calibri"/>
          <w:b/>
          <w:bCs/>
          <w:i w:val="false"/>
          <w:iCs w:val="false"/>
          <w:color w:val="C55A11"/>
          <w:sz w:val="21"/>
          <w:szCs w:val="21"/>
        </w:rPr>
        <w:t xml:space="preserve">RAG (Retrieval-Augmented Generation): </w:t>
      </w:r>
      <w:r>
        <w:rPr>
          <w:rFonts w:ascii="Calibri" w:cs="Calibri" w:eastAsia="Calibri" w:hAnsi="Calibri"/>
          <w:b w:val="false"/>
          <w:bCs w:val="false"/>
          <w:i w:val="false"/>
          <w:iCs w:val="false"/>
          <w:color w:val="000000"/>
          <w:sz w:val="21"/>
          <w:szCs w:val="21"/>
        </w:rPr>
        <w:t xml:space="preserve">Framework combining a retrieval system (finding relevant KB documents via embedding similarity) with a generative LLM, producing grounded, evidence-based responses rather than purely parametric generations.</w:t>
      </w:r>
    </w:p>
    <w:p>
      <w:pPr>
        <w:spacing w:after="40" w:before="60"/>
        <w:ind w:left="144"/>
      </w:pPr>
      <w:r>
        <w:rPr>
          <w:rFonts w:ascii="Calibri" w:cs="Calibri" w:eastAsia="Calibri" w:hAnsi="Calibri"/>
          <w:b/>
          <w:bCs/>
          <w:i w:val="false"/>
          <w:iCs w:val="false"/>
          <w:color w:val="C55A11"/>
          <w:sz w:val="21"/>
          <w:szCs w:val="21"/>
        </w:rPr>
        <w:t xml:space="preserve">EBM (Evidence-Based Medicine): </w:t>
      </w:r>
      <w:r>
        <w:rPr>
          <w:rFonts w:ascii="Calibri" w:cs="Calibri" w:eastAsia="Calibri" w:hAnsi="Calibri"/>
          <w:b w:val="false"/>
          <w:bCs w:val="false"/>
          <w:i w:val="false"/>
          <w:iCs w:val="false"/>
          <w:color w:val="000000"/>
          <w:sz w:val="21"/>
          <w:szCs w:val="21"/>
        </w:rPr>
        <w:t xml:space="preserve">The clinical practice of integrating best available research evidence with clinical expertise; used in SuSastho.AI as a 4-step protocol ensuring responses are grounded in validated medical knowledge.</w:t>
      </w:r>
    </w:p>
    <w:p>
      <w:pPr>
        <w:spacing w:after="40" w:before="60"/>
        <w:ind w:left="144"/>
      </w:pPr>
      <w:r>
        <w:rPr>
          <w:rFonts w:ascii="Calibri" w:cs="Calibri" w:eastAsia="Calibri" w:hAnsi="Calibri"/>
          <w:b/>
          <w:bCs/>
          <w:i w:val="false"/>
          <w:iCs w:val="false"/>
          <w:color w:val="C55A11"/>
          <w:sz w:val="21"/>
          <w:szCs w:val="21"/>
        </w:rPr>
        <w:t xml:space="preserve">CoT (Chain of Thought) Prompting: </w:t>
      </w:r>
      <w:r>
        <w:rPr>
          <w:rFonts w:ascii="Calibri" w:cs="Calibri" w:eastAsia="Calibri" w:hAnsi="Calibri"/>
          <w:b w:val="false"/>
          <w:bCs w:val="false"/>
          <w:i w:val="false"/>
          <w:iCs w:val="false"/>
          <w:color w:val="000000"/>
          <w:sz w:val="21"/>
          <w:szCs w:val="21"/>
        </w:rPr>
        <w:t xml:space="preserve">A prompting technique instructing the LLM to reason through intermediate steps in a logical sequence before producing a final answer — reduces hallucinations and improves accuracy in complex clinical Q&amp;A.</w:t>
      </w:r>
    </w:p>
    <w:p>
      <w:pPr>
        <w:spacing w:after="40" w:before="60"/>
        <w:ind w:left="144"/>
      </w:pPr>
      <w:r>
        <w:rPr>
          <w:rFonts w:ascii="Calibri" w:cs="Calibri" w:eastAsia="Calibri" w:hAnsi="Calibri"/>
          <w:b/>
          <w:bCs/>
          <w:i w:val="false"/>
          <w:iCs w:val="false"/>
          <w:color w:val="C55A11"/>
          <w:sz w:val="21"/>
          <w:szCs w:val="21"/>
        </w:rPr>
        <w:t xml:space="preserve">SRMH (Sexual, Reproductive, and Mental Health): </w:t>
      </w:r>
      <w:r>
        <w:rPr>
          <w:rFonts w:ascii="Calibri" w:cs="Calibri" w:eastAsia="Calibri" w:hAnsi="Calibri"/>
          <w:b w:val="false"/>
          <w:bCs w:val="false"/>
          <w:i w:val="false"/>
          <w:iCs w:val="false"/>
          <w:color w:val="000000"/>
          <w:sz w:val="21"/>
          <w:szCs w:val="21"/>
        </w:rPr>
        <w:t xml:space="preserve">Domain encompassing STI prevention, family planning, pregnancy, anxiety, and depression — the primary health focus of the SuSastho.AI copilot for Bangladeshi adolescents.</w:t>
      </w:r>
    </w:p>
    <w:p>
      <w:pPr>
        <w:spacing w:after="40" w:before="60"/>
        <w:ind w:left="144"/>
      </w:pPr>
      <w:r>
        <w:rPr>
          <w:rFonts w:ascii="Calibri" w:cs="Calibri" w:eastAsia="Calibri" w:hAnsi="Calibri"/>
          <w:b/>
          <w:bCs/>
          <w:i w:val="false"/>
          <w:iCs w:val="false"/>
          <w:color w:val="C55A11"/>
          <w:sz w:val="21"/>
          <w:szCs w:val="21"/>
        </w:rPr>
        <w:t xml:space="preserve">Multilingual E5 Embedding Model: </w:t>
      </w:r>
      <w:r>
        <w:rPr>
          <w:rFonts w:ascii="Calibri" w:cs="Calibri" w:eastAsia="Calibri" w:hAnsi="Calibri"/>
          <w:b w:val="false"/>
          <w:bCs w:val="false"/>
          <w:i w:val="false"/>
          <w:iCs w:val="false"/>
          <w:color w:val="000000"/>
          <w:sz w:val="21"/>
          <w:szCs w:val="21"/>
        </w:rPr>
        <w:t xml:space="preserve">Pre-trained multilingual text embedding model converting documents and queries into fixed-length vectors for semantic similarity search; retrieves the most relevant KB chunks in English and Bengali.</w:t>
      </w:r>
    </w:p>
    <w:p>
      <w:pPr>
        <w:spacing w:after="40" w:before="60"/>
        <w:ind w:left="144"/>
      </w:pPr>
      <w:r>
        <w:rPr>
          <w:rFonts w:ascii="Calibri" w:cs="Calibri" w:eastAsia="Calibri" w:hAnsi="Calibri"/>
          <w:b/>
          <w:bCs/>
          <w:i w:val="false"/>
          <w:iCs w:val="false"/>
          <w:color w:val="C55A11"/>
          <w:sz w:val="21"/>
          <w:szCs w:val="21"/>
        </w:rPr>
        <w:t xml:space="preserve">Banglish: </w:t>
      </w:r>
      <w:r>
        <w:rPr>
          <w:rFonts w:ascii="Calibri" w:cs="Calibri" w:eastAsia="Calibri" w:hAnsi="Calibri"/>
          <w:b w:val="false"/>
          <w:bCs w:val="false"/>
          <w:i w:val="false"/>
          <w:iCs w:val="false"/>
          <w:color w:val="000000"/>
          <w:sz w:val="21"/>
          <w:szCs w:val="21"/>
        </w:rPr>
        <w:t xml:space="preserve">Bengali language written using English characters — a common informal style among Bangladeshi youth on digital platforms; posed a significant challenge to SuSastho.AI due to limited Banglish training data.</w:t>
      </w:r>
    </w:p>
    <w:p>
      <w:pPr>
        <w:spacing w:after="40" w:before="60"/>
        <w:ind w:left="144"/>
      </w:pPr>
      <w:r>
        <w:rPr>
          <w:rFonts w:ascii="Calibri" w:cs="Calibri" w:eastAsia="Calibri" w:hAnsi="Calibri"/>
          <w:b/>
          <w:bCs/>
          <w:i w:val="false"/>
          <w:iCs w:val="false"/>
          <w:color w:val="C55A11"/>
          <w:sz w:val="21"/>
          <w:szCs w:val="21"/>
        </w:rPr>
        <w:t xml:space="preserve">Task-QG / Task-AG: </w:t>
      </w:r>
      <w:r>
        <w:rPr>
          <w:rFonts w:ascii="Calibri" w:cs="Calibri" w:eastAsia="Calibri" w:hAnsi="Calibri"/>
          <w:b w:val="false"/>
          <w:bCs w:val="false"/>
          <w:i w:val="false"/>
          <w:iCs w:val="false"/>
          <w:color w:val="000000"/>
          <w:sz w:val="21"/>
          <w:szCs w:val="21"/>
        </w:rPr>
        <w:t xml:space="preserve">Two fine-tuning tasks: Task-QG (Query Generation) formulates clinical search strings from user input; Task-AG (Answer Generation) retrieves relevant medical documents and generates the final evidence-based response.</w:t>
      </w:r>
    </w:p>
    <w:p>
      <w:r>
        <w:br w:type="page"/>
      </w:r>
    </w:p>
    <w:p>
      <w:pPr>
        <w:pBdr>
          <w:bottom w:val="single" w:color="7030A0" w:sz="8" w:space="1"/>
        </w:pBdr>
        <w:spacing w:after="60" w:before="100"/>
      </w:pPr>
      <w:r>
        <w:rPr>
          <w:rFonts w:ascii="Calibri" w:cs="Calibri" w:eastAsia="Calibri" w:hAnsi="Calibri"/>
          <w:b/>
          <w:bCs/>
          <w:color w:val="7030A0"/>
          <w:sz w:val="28"/>
          <w:szCs w:val="28"/>
        </w:rPr>
        <w:t xml:space="preserve">PART 4 — Paper 4 — IGP/CHW Efficacy</w:t>
      </w:r>
    </w:p>
    <w:p>
      <w:pPr>
        <w:spacing w:after="30" w:before="100"/>
      </w:pPr>
      <w:r>
        <w:rPr>
          <w:rFonts w:ascii="Calibri" w:cs="Calibri" w:eastAsia="Calibri" w:hAnsi="Calibri"/>
          <w:b/>
          <w:bCs/>
          <w:color w:val="1F3864"/>
          <w:sz w:val="22"/>
          <w:szCs w:val="22"/>
        </w:rPr>
        <w:t xml:space="preserve">Efficacy of Using a Digital Health Intervention Model Using Community Health Workers for Primary Health Services in Bangladesh</w:t>
      </w:r>
    </w:p>
    <w:p>
      <w:pPr>
        <w:spacing w:after="100" w:before="0"/>
      </w:pPr>
      <w:r>
        <w:rPr>
          <w:rFonts w:ascii="Calibri" w:cs="Calibri" w:eastAsia="Calibri" w:hAnsi="Calibri"/>
          <w:i/>
          <w:iCs/>
          <w:color w:val="595959"/>
          <w:sz w:val="20"/>
          <w:szCs w:val="20"/>
        </w:rPr>
        <w:t xml:space="preserve">Zaman, Hridhee, Bhuiyan, Gomes, Rahman, Islam, Sarker, Mamun | BMC Public Health | 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EAD1DC" w:val="clear"/>
            <w:tcMar>
              <w:top w:type="dxa" w:w="80"/>
              <w:left w:type="dxa" w:w="120"/>
              <w:bottom w:type="dxa" w:w="80"/>
              <w:right w:type="dxa" w:w="120"/>
            </w:tcMar>
          </w:tcPr>
          <w:p>
            <w:pPr>
              <w:spacing w:after="40" w:before="40"/>
            </w:pPr>
            <w:r>
              <w:rPr>
                <w:rFonts w:ascii="Calibri" w:cs="Calibri" w:eastAsia="Calibri" w:hAnsi="Calibri"/>
                <w:b/>
                <w:bCs/>
                <w:color w:val="7030A0"/>
                <w:sz w:val="21"/>
                <w:szCs w:val="21"/>
              </w:rPr>
              <w:t xml:space="preserve">Paper in One Sentence: </w:t>
            </w:r>
            <w:r>
              <w:rPr>
                <w:rFonts w:ascii="Calibri" w:cs="Calibri" w:eastAsia="Calibri" w:hAnsi="Calibri"/>
                <w:sz w:val="21"/>
                <w:szCs w:val="21"/>
              </w:rPr>
              <w:t xml:space="preserve">Over 18 months, the CMED CHW+AI digital health model improved normal BP (72.50%→82.19%), child nutrition (82.87%→93.17%), and BMI across 32,581 individuals in 7,090 rural households; blood glucose did not improve due to economic barriers.</w:t>
            </w:r>
          </w:p>
          <w:p>
            <w:pPr>
              <w:spacing w:after="40" w:before="20"/>
            </w:pPr>
            <w:r>
              <w:rPr>
                <w:rFonts w:ascii="Calibri" w:cs="Calibri" w:eastAsia="Calibri" w:hAnsi="Calibri"/>
                <w:b/>
                <w:bCs/>
                <w:color w:val="7030A0"/>
                <w:sz w:val="21"/>
                <w:szCs w:val="21"/>
              </w:rPr>
              <w:t xml:space="preserve">Theme: </w:t>
            </w:r>
            <w:r>
              <w:rPr>
                <w:rFonts w:ascii="Calibri" w:cs="Calibri" w:eastAsia="Calibri" w:hAnsi="Calibri"/>
                <w:sz w:val="21"/>
                <w:szCs w:val="21"/>
              </w:rPr>
              <w:t xml:space="preserve">Repeated Cross-Sectional · CHW + AI · Primary Health Outcomes</w:t>
            </w:r>
          </w:p>
        </w:tc>
      </w:tr>
    </w:tbl>
    <w:p>
      <w:pPr>
        <w:spacing w:after="20" w:before="60"/>
      </w:pPr>
    </w:p>
    <w:p>
      <w:pPr>
        <w:spacing w:after="80" w:before="240"/>
      </w:pPr>
      <w:r>
        <w:rPr>
          <w:rFonts w:ascii="Calibri" w:cs="Calibri" w:eastAsia="Calibri" w:hAnsi="Calibri"/>
          <w:b/>
          <w:bCs/>
          <w:color w:val="7030A0"/>
          <w:sz w:val="26"/>
          <w:szCs w:val="26"/>
        </w:rPr>
        <w:t xml:space="preserve">Paper 4 — IGP/CHW Efficacy: Paper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7667"/>
      </w:tblGrid>
      <w:tr>
        <w:trPr>
          <w:tblHeader/>
        </w:trPr>
        <w:tc>
          <w:tcPr>
            <w:tcW w:type="dxa" w:w="1683"/>
            <w:shd w:fill="7030A0" w:val="clear"/>
          </w:tcPr>
          <w:p>
            <w:pPr>
              <w:spacing w:after="40" w:before="40"/>
            </w:pPr>
            <w:r>
              <w:rPr>
                <w:rFonts w:ascii="Calibri" w:cs="Calibri" w:eastAsia="Calibri" w:hAnsi="Calibri"/>
                <w:b/>
                <w:bCs/>
                <w:color w:val="FFFFFF"/>
                <w:sz w:val="18"/>
                <w:szCs w:val="18"/>
              </w:rPr>
              <w:t xml:space="preserve">Dimension</w:t>
            </w:r>
          </w:p>
        </w:tc>
        <w:tc>
          <w:tcPr>
            <w:tcW w:type="dxa" w:w="7667"/>
            <w:shd w:fill="7030A0" w:val="clear"/>
          </w:tcPr>
          <w:p>
            <w:pPr>
              <w:spacing w:after="40" w:before="40"/>
            </w:pPr>
            <w:r>
              <w:rPr>
                <w:rFonts w:ascii="Calibri" w:cs="Calibri" w:eastAsia="Calibri" w:hAnsi="Calibri"/>
                <w:b/>
                <w:bCs/>
                <w:color w:val="FFFFFF"/>
                <w:sz w:val="18"/>
                <w:szCs w:val="18"/>
              </w:rPr>
              <w:t xml:space="preserve">Details</w:t>
            </w:r>
          </w:p>
        </w:tc>
      </w:tr>
      <w:tr>
        <w:tc>
          <w:tcPr>
            <w:tcW w:type="dxa" w:w="1683"/>
            <w:shd w:fill="EAD1DC" w:val="clear"/>
          </w:tcPr>
          <w:p>
            <w:pPr>
              <w:spacing w:after="30" w:before="30"/>
            </w:pPr>
            <w:r>
              <w:rPr>
                <w:rFonts w:ascii="Calibri" w:cs="Calibri" w:eastAsia="Calibri" w:hAnsi="Calibri"/>
                <w:b/>
                <w:bCs/>
                <w:color w:val="2E74B5"/>
                <w:sz w:val="18"/>
                <w:szCs w:val="18"/>
              </w:rPr>
              <w:t xml:space="preserve">Problem</w:t>
            </w:r>
          </w:p>
        </w:tc>
        <w:tc>
          <w:tcPr>
            <w:tcW w:type="dxa" w:w="7667"/>
            <w:shd w:fill="EAD1DC" w:val="clear"/>
          </w:tcPr>
          <w:p>
            <w:pPr>
              <w:spacing w:after="30" w:before="30"/>
            </w:pPr>
            <w:r>
              <w:rPr>
                <w:rFonts w:ascii="Calibri" w:cs="Calibri" w:eastAsia="Calibri" w:hAnsi="Calibri"/>
                <w:b w:val="false"/>
                <w:bCs w:val="false"/>
                <w:color w:val="000000"/>
                <w:sz w:val="18"/>
                <w:szCs w:val="18"/>
              </w:rPr>
              <w:t xml:space="preserve">67% of Bangladesh deaths from NCDs; rural healthcare inaccessible; CHW shortages; self-medication common; patients reach facilities only at advanced disease stage</w:t>
            </w:r>
          </w:p>
        </w:tc>
      </w:tr>
      <w:tr>
        <w:tc>
          <w:tcPr>
            <w:tcW w:type="dxa" w:w="1683"/>
          </w:tcPr>
          <w:p>
            <w:pPr>
              <w:spacing w:after="30" w:before="30"/>
            </w:pPr>
            <w:r>
              <w:rPr>
                <w:rFonts w:ascii="Calibri" w:cs="Calibri" w:eastAsia="Calibri" w:hAnsi="Calibri"/>
                <w:b/>
                <w:bCs/>
                <w:color w:val="2E74B5"/>
                <w:sz w:val="18"/>
                <w:szCs w:val="18"/>
              </w:rPr>
              <w:t xml:space="preserve">Research Gap</w:t>
            </w:r>
          </w:p>
        </w:tc>
        <w:tc>
          <w:tcPr>
            <w:tcW w:type="dxa" w:w="7667"/>
          </w:tcPr>
          <w:p>
            <w:pPr>
              <w:spacing w:after="30" w:before="30"/>
            </w:pPr>
            <w:r>
              <w:rPr>
                <w:rFonts w:ascii="Calibri" w:cs="Calibri" w:eastAsia="Calibri" w:hAnsi="Calibri"/>
                <w:b w:val="false"/>
                <w:bCs w:val="false"/>
                <w:color w:val="000000"/>
                <w:sz w:val="18"/>
                <w:szCs w:val="18"/>
              </w:rPr>
              <w:t xml:space="preserve">No prior longitudinal study evaluated actual health outcome changes of the CMED AI+CHW model across multiple time periods with population-level data</w:t>
            </w:r>
          </w:p>
        </w:tc>
      </w:tr>
      <w:tr>
        <w:tc>
          <w:tcPr>
            <w:tcW w:type="dxa" w:w="1683"/>
            <w:shd w:fill="EAD1DC" w:val="clear"/>
          </w:tcPr>
          <w:p>
            <w:pPr>
              <w:spacing w:after="30" w:before="30"/>
            </w:pPr>
            <w:r>
              <w:rPr>
                <w:rFonts w:ascii="Calibri" w:cs="Calibri" w:eastAsia="Calibri" w:hAnsi="Calibri"/>
                <w:b/>
                <w:bCs/>
                <w:color w:val="2E74B5"/>
                <w:sz w:val="18"/>
                <w:szCs w:val="18"/>
              </w:rPr>
              <w:t xml:space="preserve">Methodology</w:t>
            </w:r>
          </w:p>
        </w:tc>
        <w:tc>
          <w:tcPr>
            <w:tcW w:type="dxa" w:w="7667"/>
            <w:shd w:fill="EAD1DC" w:val="clear"/>
          </w:tcPr>
          <w:p>
            <w:pPr>
              <w:spacing w:after="30" w:before="30"/>
            </w:pPr>
            <w:r>
              <w:rPr>
                <w:rFonts w:ascii="Calibri" w:cs="Calibri" w:eastAsia="Calibri" w:hAnsi="Calibri"/>
                <w:b w:val="false"/>
                <w:bCs w:val="false"/>
                <w:color w:val="000000"/>
                <w:sz w:val="18"/>
                <w:szCs w:val="18"/>
              </w:rPr>
              <w:t xml:space="preserve">Repeated cross-sectional observational study; descriptive statistics + multivariate logistic regression + two-proportion z-tests + Wilcoxon signed-rank test</w:t>
            </w:r>
          </w:p>
        </w:tc>
      </w:tr>
      <w:tr>
        <w:tc>
          <w:tcPr>
            <w:tcW w:type="dxa" w:w="1683"/>
          </w:tcPr>
          <w:p>
            <w:pPr>
              <w:spacing w:after="30" w:before="30"/>
            </w:pPr>
            <w:r>
              <w:rPr>
                <w:rFonts w:ascii="Calibri" w:cs="Calibri" w:eastAsia="Calibri" w:hAnsi="Calibri"/>
                <w:b/>
                <w:bCs/>
                <w:color w:val="2E74B5"/>
                <w:sz w:val="18"/>
                <w:szCs w:val="18"/>
              </w:rPr>
              <w:t xml:space="preserve">Data</w:t>
            </w:r>
          </w:p>
        </w:tc>
        <w:tc>
          <w:tcPr>
            <w:tcW w:type="dxa" w:w="7667"/>
          </w:tcPr>
          <w:p>
            <w:pPr>
              <w:spacing w:after="30" w:before="30"/>
            </w:pPr>
            <w:r>
              <w:rPr>
                <w:rFonts w:ascii="Calibri" w:cs="Calibri" w:eastAsia="Calibri" w:hAnsi="Calibri"/>
                <w:b w:val="false"/>
                <w:bCs w:val="false"/>
                <w:color w:val="000000"/>
                <w:sz w:val="18"/>
                <w:szCs w:val="18"/>
              </w:rPr>
              <w:t xml:space="preserve">32,581 individuals, 7,090 households; 3 × 6-month periods; AWS MySQL database; Python/Google Colab analysis</w:t>
            </w:r>
          </w:p>
        </w:tc>
      </w:tr>
      <w:tr>
        <w:tc>
          <w:tcPr>
            <w:tcW w:type="dxa" w:w="1683"/>
            <w:shd w:fill="EAD1DC" w:val="clear"/>
          </w:tcPr>
          <w:p>
            <w:pPr>
              <w:spacing w:after="30" w:before="30"/>
            </w:pPr>
            <w:r>
              <w:rPr>
                <w:rFonts w:ascii="Calibri" w:cs="Calibri" w:eastAsia="Calibri" w:hAnsi="Calibri"/>
                <w:b/>
                <w:bCs/>
                <w:color w:val="2E74B5"/>
                <w:sz w:val="18"/>
                <w:szCs w:val="18"/>
              </w:rPr>
              <w:t xml:space="preserve">Evaluation</w:t>
            </w:r>
          </w:p>
        </w:tc>
        <w:tc>
          <w:tcPr>
            <w:tcW w:type="dxa" w:w="7667"/>
            <w:shd w:fill="EAD1DC" w:val="clear"/>
          </w:tcPr>
          <w:p>
            <w:pPr>
              <w:spacing w:after="30" w:before="30"/>
            </w:pPr>
            <w:r>
              <w:rPr>
                <w:rFonts w:ascii="Calibri" w:cs="Calibri" w:eastAsia="Calibri" w:hAnsi="Calibri"/>
                <w:b w:val="false"/>
                <w:bCs w:val="false"/>
                <w:color w:val="000000"/>
                <w:sz w:val="18"/>
                <w:szCs w:val="18"/>
              </w:rPr>
              <w:t xml:space="preserve">Period-to-period comparison of BMI, BP, blood glucose, MUAC proportions; OR for NCD risk factors</w:t>
            </w:r>
          </w:p>
        </w:tc>
      </w:tr>
      <w:tr>
        <w:tc>
          <w:tcPr>
            <w:tcW w:type="dxa" w:w="1683"/>
          </w:tcPr>
          <w:p>
            <w:pPr>
              <w:spacing w:after="30" w:before="30"/>
            </w:pPr>
            <w:r>
              <w:rPr>
                <w:rFonts w:ascii="Calibri" w:cs="Calibri" w:eastAsia="Calibri" w:hAnsi="Calibri"/>
                <w:b/>
                <w:bCs/>
                <w:color w:val="2E74B5"/>
                <w:sz w:val="18"/>
                <w:szCs w:val="18"/>
              </w:rPr>
              <w:t xml:space="preserve">Impact</w:t>
            </w:r>
          </w:p>
        </w:tc>
        <w:tc>
          <w:tcPr>
            <w:tcW w:type="dxa" w:w="7667"/>
          </w:tcPr>
          <w:p>
            <w:pPr>
              <w:spacing w:after="30" w:before="30"/>
            </w:pPr>
            <w:r>
              <w:rPr>
                <w:rFonts w:ascii="Calibri" w:cs="Calibri" w:eastAsia="Calibri" w:hAnsi="Calibri"/>
                <w:b w:val="false"/>
                <w:bCs w:val="false"/>
                <w:color w:val="000000"/>
                <w:sz w:val="18"/>
                <w:szCs w:val="18"/>
              </w:rPr>
              <w:t xml:space="preserve">Demonstrated efficacy of AI+CHW model; recommended scaling at US$1/family/month via public-private partnerships toward Universal Health Coverage</w:t>
            </w:r>
          </w:p>
        </w:tc>
      </w:tr>
    </w:tbl>
    <w:p>
      <w:pPr>
        <w:spacing w:after="20" w:before="80"/>
      </w:pPr>
    </w:p>
    <w:p>
      <w:pPr>
        <w:spacing w:after="80" w:before="240"/>
      </w:pPr>
      <w:r>
        <w:rPr>
          <w:rFonts w:ascii="Calibri" w:cs="Calibri" w:eastAsia="Calibri" w:hAnsi="Calibri"/>
          <w:b/>
          <w:bCs/>
          <w:color w:val="7030A0"/>
          <w:sz w:val="26"/>
          <w:szCs w:val="26"/>
        </w:rPr>
        <w:t xml:space="preserve">Key Numbers — Paper 4 — IGP/CHW Efficacy</w:t>
      </w:r>
    </w:p>
    <w:p>
      <w:pPr>
        <w:spacing w:after="60" w:before="40"/>
        <w:jc w:val="left"/>
      </w:pPr>
      <w:r>
        <w:rPr>
          <w:rFonts w:ascii="Calibri" w:cs="Calibri" w:eastAsia="Calibri" w:hAnsi="Calibri"/>
          <w:b w:val="false"/>
          <w:bCs w:val="false"/>
          <w:i/>
          <w:iCs/>
          <w:color w:val="595959"/>
          <w:sz w:val="20"/>
          <w:szCs w:val="20"/>
        </w:rPr>
        <w:t xml:space="preserve">Memorise these numbers. They are the most likely to appear in exam questions.</w:t>
      </w:r>
    </w:p>
    <w:p>
      <w:pPr>
        <w:spacing w:after="20" w:before="40"/>
      </w:pPr>
    </w:p>
    <w:tbl>
      <w:tblPr>
        <w:tblW w:type="dxa" w:w="6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tblGrid>
      <w:tr>
        <w:tc>
          <w:tcPr>
            <w:tcW w:type="dxa" w:w="2300"/>
            <w:shd w:fill="DEEAF1" w:val="clear"/>
          </w:tcPr>
          <w:p>
            <w:pPr>
              <w:spacing w:after="30" w:before="30"/>
            </w:pPr>
            <w:r>
              <w:rPr>
                <w:rFonts w:ascii="Calibri" w:cs="Calibri" w:eastAsia="Calibri" w:hAnsi="Calibri"/>
                <w:b/>
                <w:bCs/>
                <w:color w:val="1F3864"/>
                <w:sz w:val="19"/>
                <w:szCs w:val="19"/>
              </w:rPr>
              <w:t xml:space="preserve">Total Population Served</w:t>
            </w:r>
          </w:p>
        </w:tc>
        <w:tc>
          <w:tcPr>
            <w:tcW w:type="dxa" w:w="4600"/>
            <w:shd w:fill="F2F8FD" w:val="clear"/>
          </w:tcPr>
          <w:p>
            <w:pPr>
              <w:spacing w:after="30" w:before="30"/>
            </w:pPr>
            <w:r>
              <w:rPr>
                <w:rFonts w:ascii="Calibri" w:cs="Calibri" w:eastAsia="Calibri" w:hAnsi="Calibri"/>
                <w:color w:val="000000"/>
                <w:sz w:val="19"/>
                <w:szCs w:val="19"/>
              </w:rPr>
              <w:t xml:space="preserve">32,581 individuals</w:t>
            </w:r>
          </w:p>
        </w:tc>
      </w:tr>
      <w:tr>
        <w:tc>
          <w:tcPr>
            <w:tcW w:type="dxa" w:w="2300"/>
            <w:shd w:fill="DEEAF1" w:val="clear"/>
          </w:tcPr>
          <w:p>
            <w:pPr>
              <w:spacing w:after="30" w:before="30"/>
            </w:pPr>
            <w:r>
              <w:rPr>
                <w:rFonts w:ascii="Calibri" w:cs="Calibri" w:eastAsia="Calibri" w:hAnsi="Calibri"/>
                <w:b/>
                <w:bCs/>
                <w:color w:val="1F3864"/>
                <w:sz w:val="19"/>
                <w:szCs w:val="19"/>
              </w:rPr>
              <w:t xml:space="preserve">Households</w:t>
            </w:r>
          </w:p>
        </w:tc>
        <w:tc>
          <w:tcPr>
            <w:tcW w:type="dxa" w:w="4600"/>
            <w:shd w:fill="F2F2F2" w:val="clear"/>
          </w:tcPr>
          <w:p>
            <w:pPr>
              <w:spacing w:after="30" w:before="30"/>
            </w:pPr>
            <w:r>
              <w:rPr>
                <w:rFonts w:ascii="Calibri" w:cs="Calibri" w:eastAsia="Calibri" w:hAnsi="Calibri"/>
                <w:color w:val="000000"/>
                <w:sz w:val="19"/>
                <w:szCs w:val="19"/>
              </w:rPr>
              <w:t xml:space="preserve">7,090 households in Somvag Union</w:t>
            </w:r>
          </w:p>
        </w:tc>
      </w:tr>
      <w:tr>
        <w:tc>
          <w:tcPr>
            <w:tcW w:type="dxa" w:w="2300"/>
            <w:shd w:fill="DEEAF1" w:val="clear"/>
          </w:tcPr>
          <w:p>
            <w:pPr>
              <w:spacing w:after="30" w:before="30"/>
            </w:pPr>
            <w:r>
              <w:rPr>
                <w:rFonts w:ascii="Calibri" w:cs="Calibri" w:eastAsia="Calibri" w:hAnsi="Calibri"/>
                <w:b/>
                <w:bCs/>
                <w:color w:val="1F3864"/>
                <w:sz w:val="19"/>
                <w:szCs w:val="19"/>
              </w:rPr>
              <w:t xml:space="preserve">Study Period</w:t>
            </w:r>
          </w:p>
        </w:tc>
        <w:tc>
          <w:tcPr>
            <w:tcW w:type="dxa" w:w="4600"/>
            <w:shd w:fill="F2F8FD" w:val="clear"/>
          </w:tcPr>
          <w:p>
            <w:pPr>
              <w:spacing w:after="30" w:before="30"/>
            </w:pPr>
            <w:r>
              <w:rPr>
                <w:rFonts w:ascii="Calibri" w:cs="Calibri" w:eastAsia="Calibri" w:hAnsi="Calibri"/>
                <w:color w:val="000000"/>
                <w:sz w:val="19"/>
                <w:szCs w:val="19"/>
              </w:rPr>
              <w:t xml:space="preserve">18 months: July 2018 – December 2019</w:t>
            </w:r>
          </w:p>
        </w:tc>
      </w:tr>
      <w:tr>
        <w:tc>
          <w:tcPr>
            <w:tcW w:type="dxa" w:w="2300"/>
            <w:shd w:fill="DEEAF1" w:val="clear"/>
          </w:tcPr>
          <w:p>
            <w:pPr>
              <w:spacing w:after="30" w:before="30"/>
            </w:pPr>
            <w:r>
              <w:rPr>
                <w:rFonts w:ascii="Calibri" w:cs="Calibri" w:eastAsia="Calibri" w:hAnsi="Calibri"/>
                <w:b/>
                <w:bCs/>
                <w:color w:val="1F3864"/>
                <w:sz w:val="19"/>
                <w:szCs w:val="19"/>
              </w:rPr>
              <w:t xml:space="preserve">Study Design</w:t>
            </w:r>
          </w:p>
        </w:tc>
        <w:tc>
          <w:tcPr>
            <w:tcW w:type="dxa" w:w="4600"/>
            <w:shd w:fill="F2F2F2" w:val="clear"/>
          </w:tcPr>
          <w:p>
            <w:pPr>
              <w:spacing w:after="30" w:before="30"/>
            </w:pPr>
            <w:r>
              <w:rPr>
                <w:rFonts w:ascii="Calibri" w:cs="Calibri" w:eastAsia="Calibri" w:hAnsi="Calibri"/>
                <w:color w:val="000000"/>
                <w:sz w:val="19"/>
                <w:szCs w:val="19"/>
              </w:rPr>
              <w:t xml:space="preserve">Repeated cross-sectional observational (3 × 6-month periods)</w:t>
            </w:r>
          </w:p>
        </w:tc>
      </w:tr>
      <w:tr>
        <w:tc>
          <w:tcPr>
            <w:tcW w:type="dxa" w:w="2300"/>
            <w:shd w:fill="DEEAF1" w:val="clear"/>
          </w:tcPr>
          <w:p>
            <w:pPr>
              <w:spacing w:after="30" w:before="30"/>
            </w:pPr>
            <w:r>
              <w:rPr>
                <w:rFonts w:ascii="Calibri" w:cs="Calibri" w:eastAsia="Calibri" w:hAnsi="Calibri"/>
                <w:b/>
                <w:bCs/>
                <w:color w:val="1F3864"/>
                <w:sz w:val="19"/>
                <w:szCs w:val="19"/>
              </w:rPr>
              <w:t xml:space="preserve">CHWs (Health Assistants)</w:t>
            </w:r>
          </w:p>
        </w:tc>
        <w:tc>
          <w:tcPr>
            <w:tcW w:type="dxa" w:w="4600"/>
            <w:shd w:fill="F2F8FD" w:val="clear"/>
          </w:tcPr>
          <w:p>
            <w:pPr>
              <w:spacing w:after="30" w:before="30"/>
            </w:pPr>
            <w:r>
              <w:rPr>
                <w:rFonts w:ascii="Calibri" w:cs="Calibri" w:eastAsia="Calibri" w:hAnsi="Calibri"/>
                <w:color w:val="000000"/>
                <w:sz w:val="19"/>
                <w:szCs w:val="19"/>
              </w:rPr>
              <w:t xml:space="preserve">14 CHWs, 1 per 500 households</w:t>
            </w:r>
          </w:p>
        </w:tc>
      </w:tr>
      <w:tr>
        <w:tc>
          <w:tcPr>
            <w:tcW w:type="dxa" w:w="2300"/>
            <w:shd w:fill="DEEAF1" w:val="clear"/>
          </w:tcPr>
          <w:p>
            <w:pPr>
              <w:spacing w:after="30" w:before="30"/>
            </w:pPr>
            <w:r>
              <w:rPr>
                <w:rFonts w:ascii="Calibri" w:cs="Calibri" w:eastAsia="Calibri" w:hAnsi="Calibri"/>
                <w:b/>
                <w:bCs/>
                <w:color w:val="1F3864"/>
                <w:sz w:val="19"/>
                <w:szCs w:val="19"/>
              </w:rPr>
              <w:t xml:space="preserve">Normal BMI trend</w:t>
            </w:r>
          </w:p>
        </w:tc>
        <w:tc>
          <w:tcPr>
            <w:tcW w:type="dxa" w:w="4600"/>
            <w:shd w:fill="F2F2F2" w:val="clear"/>
          </w:tcPr>
          <w:p>
            <w:pPr>
              <w:spacing w:after="30" w:before="30"/>
            </w:pPr>
            <w:r>
              <w:rPr>
                <w:rFonts w:ascii="Calibri" w:cs="Calibri" w:eastAsia="Calibri" w:hAnsi="Calibri"/>
                <w:color w:val="000000"/>
                <w:sz w:val="19"/>
                <w:szCs w:val="19"/>
              </w:rPr>
              <w:t xml:space="preserve">Improved across 3 periods (statistically significant)</w:t>
            </w:r>
          </w:p>
        </w:tc>
      </w:tr>
      <w:tr>
        <w:tc>
          <w:tcPr>
            <w:tcW w:type="dxa" w:w="2300"/>
            <w:shd w:fill="DEEAF1" w:val="clear"/>
          </w:tcPr>
          <w:p>
            <w:pPr>
              <w:spacing w:after="30" w:before="30"/>
            </w:pPr>
            <w:r>
              <w:rPr>
                <w:rFonts w:ascii="Calibri" w:cs="Calibri" w:eastAsia="Calibri" w:hAnsi="Calibri"/>
                <w:b/>
                <w:bCs/>
                <w:color w:val="1F3864"/>
                <w:sz w:val="19"/>
                <w:szCs w:val="19"/>
              </w:rPr>
              <w:t xml:space="preserve">Normal BP (Period 1→3)</w:t>
            </w:r>
          </w:p>
        </w:tc>
        <w:tc>
          <w:tcPr>
            <w:tcW w:type="dxa" w:w="4600"/>
            <w:shd w:fill="F2F8FD" w:val="clear"/>
          </w:tcPr>
          <w:p>
            <w:pPr>
              <w:spacing w:after="30" w:before="30"/>
            </w:pPr>
            <w:r>
              <w:rPr>
                <w:rFonts w:ascii="Calibri" w:cs="Calibri" w:eastAsia="Calibri" w:hAnsi="Calibri"/>
                <w:color w:val="000000"/>
                <w:sz w:val="19"/>
                <w:szCs w:val="19"/>
              </w:rPr>
              <w:t xml:space="preserve">72.50% → 82.19%</w:t>
            </w:r>
          </w:p>
        </w:tc>
      </w:tr>
      <w:tr>
        <w:tc>
          <w:tcPr>
            <w:tcW w:type="dxa" w:w="2300"/>
            <w:shd w:fill="DEEAF1" w:val="clear"/>
          </w:tcPr>
          <w:p>
            <w:pPr>
              <w:spacing w:after="30" w:before="30"/>
            </w:pPr>
            <w:r>
              <w:rPr>
                <w:rFonts w:ascii="Calibri" w:cs="Calibri" w:eastAsia="Calibri" w:hAnsi="Calibri"/>
                <w:b/>
                <w:bCs/>
                <w:color w:val="1F3864"/>
                <w:sz w:val="19"/>
                <w:szCs w:val="19"/>
              </w:rPr>
              <w:t xml:space="preserve">Nourished children (Period 1→3)</w:t>
            </w:r>
          </w:p>
        </w:tc>
        <w:tc>
          <w:tcPr>
            <w:tcW w:type="dxa" w:w="4600"/>
            <w:shd w:fill="F2F2F2" w:val="clear"/>
          </w:tcPr>
          <w:p>
            <w:pPr>
              <w:spacing w:after="30" w:before="30"/>
            </w:pPr>
            <w:r>
              <w:rPr>
                <w:rFonts w:ascii="Calibri" w:cs="Calibri" w:eastAsia="Calibri" w:hAnsi="Calibri"/>
                <w:color w:val="000000"/>
                <w:sz w:val="19"/>
                <w:szCs w:val="19"/>
              </w:rPr>
              <w:t xml:space="preserve">82.87% → 93.17%</w:t>
            </w:r>
          </w:p>
        </w:tc>
      </w:tr>
      <w:tr>
        <w:tc>
          <w:tcPr>
            <w:tcW w:type="dxa" w:w="2300"/>
            <w:shd w:fill="DEEAF1" w:val="clear"/>
          </w:tcPr>
          <w:p>
            <w:pPr>
              <w:spacing w:after="30" w:before="30"/>
            </w:pPr>
            <w:r>
              <w:rPr>
                <w:rFonts w:ascii="Calibri" w:cs="Calibri" w:eastAsia="Calibri" w:hAnsi="Calibri"/>
                <w:b/>
                <w:bCs/>
                <w:color w:val="1F3864"/>
                <w:sz w:val="19"/>
                <w:szCs w:val="19"/>
              </w:rPr>
              <w:t xml:space="preserve">Blood Glucose</w:t>
            </w:r>
          </w:p>
        </w:tc>
        <w:tc>
          <w:tcPr>
            <w:tcW w:type="dxa" w:w="4600"/>
            <w:shd w:fill="F2F8FD" w:val="clear"/>
          </w:tcPr>
          <w:p>
            <w:pPr>
              <w:spacing w:after="30" w:before="30"/>
            </w:pPr>
            <w:r>
              <w:rPr>
                <w:rFonts w:ascii="Calibri" w:cs="Calibri" w:eastAsia="Calibri" w:hAnsi="Calibri"/>
                <w:color w:val="000000"/>
                <w:sz w:val="19"/>
                <w:szCs w:val="19"/>
              </w:rPr>
              <w:t xml:space="preserve">No significant improvement (economic barriers)</w:t>
            </w:r>
          </w:p>
        </w:tc>
      </w:tr>
      <w:tr>
        <w:tc>
          <w:tcPr>
            <w:tcW w:type="dxa" w:w="2300"/>
            <w:shd w:fill="DEEAF1" w:val="clear"/>
          </w:tcPr>
          <w:p>
            <w:pPr>
              <w:spacing w:after="30" w:before="30"/>
            </w:pPr>
            <w:r>
              <w:rPr>
                <w:rFonts w:ascii="Calibri" w:cs="Calibri" w:eastAsia="Calibri" w:hAnsi="Calibri"/>
                <w:b/>
                <w:bCs/>
                <w:color w:val="1F3864"/>
                <w:sz w:val="19"/>
                <w:szCs w:val="19"/>
              </w:rPr>
              <w:t xml:space="preserve">Age ≥40 → Hypertension OR</w:t>
            </w:r>
          </w:p>
        </w:tc>
        <w:tc>
          <w:tcPr>
            <w:tcW w:type="dxa" w:w="4600"/>
            <w:shd w:fill="F2F2F2" w:val="clear"/>
          </w:tcPr>
          <w:p>
            <w:pPr>
              <w:spacing w:after="30" w:before="30"/>
            </w:pPr>
            <w:r>
              <w:rPr>
                <w:rFonts w:ascii="Calibri" w:cs="Calibri" w:eastAsia="Calibri" w:hAnsi="Calibri"/>
                <w:color w:val="000000"/>
                <w:sz w:val="19"/>
                <w:szCs w:val="19"/>
              </w:rPr>
              <w:t xml:space="preserve">13.56 (CI: 12.06–15.24)</w:t>
            </w:r>
          </w:p>
        </w:tc>
      </w:tr>
      <w:tr>
        <w:tc>
          <w:tcPr>
            <w:tcW w:type="dxa" w:w="2300"/>
            <w:shd w:fill="DEEAF1" w:val="clear"/>
          </w:tcPr>
          <w:p>
            <w:pPr>
              <w:spacing w:after="30" w:before="30"/>
            </w:pPr>
            <w:r>
              <w:rPr>
                <w:rFonts w:ascii="Calibri" w:cs="Calibri" w:eastAsia="Calibri" w:hAnsi="Calibri"/>
                <w:b/>
                <w:bCs/>
                <w:color w:val="1F3864"/>
                <w:sz w:val="19"/>
                <w:szCs w:val="19"/>
              </w:rPr>
              <w:t xml:space="preserve">Age ≥40 → Diabetes OR</w:t>
            </w:r>
          </w:p>
        </w:tc>
        <w:tc>
          <w:tcPr>
            <w:tcW w:type="dxa" w:w="4600"/>
            <w:shd w:fill="F2F8FD" w:val="clear"/>
          </w:tcPr>
          <w:p>
            <w:pPr>
              <w:spacing w:after="30" w:before="30"/>
            </w:pPr>
            <w:r>
              <w:rPr>
                <w:rFonts w:ascii="Calibri" w:cs="Calibri" w:eastAsia="Calibri" w:hAnsi="Calibri"/>
                <w:color w:val="000000"/>
                <w:sz w:val="19"/>
                <w:szCs w:val="19"/>
              </w:rPr>
              <w:t xml:space="preserve">3.96 (CI: 3.35–4.69)</w:t>
            </w:r>
          </w:p>
        </w:tc>
      </w:tr>
      <w:tr>
        <w:tc>
          <w:tcPr>
            <w:tcW w:type="dxa" w:w="2300"/>
            <w:shd w:fill="DEEAF1" w:val="clear"/>
          </w:tcPr>
          <w:p>
            <w:pPr>
              <w:spacing w:after="30" w:before="30"/>
            </w:pPr>
            <w:r>
              <w:rPr>
                <w:rFonts w:ascii="Calibri" w:cs="Calibri" w:eastAsia="Calibri" w:hAnsi="Calibri"/>
                <w:b/>
                <w:bCs/>
                <w:color w:val="1F3864"/>
                <w:sz w:val="19"/>
                <w:szCs w:val="19"/>
              </w:rPr>
              <w:t xml:space="preserve">CVD → Hypertension OR</w:t>
            </w:r>
          </w:p>
        </w:tc>
        <w:tc>
          <w:tcPr>
            <w:tcW w:type="dxa" w:w="4600"/>
            <w:shd w:fill="F2F2F2" w:val="clear"/>
          </w:tcPr>
          <w:p>
            <w:pPr>
              <w:spacing w:after="30" w:before="30"/>
            </w:pPr>
            <w:r>
              <w:rPr>
                <w:rFonts w:ascii="Calibri" w:cs="Calibri" w:eastAsia="Calibri" w:hAnsi="Calibri"/>
                <w:color w:val="000000"/>
                <w:sz w:val="19"/>
                <w:szCs w:val="19"/>
              </w:rPr>
              <w:t xml:space="preserve">12.50 (CI: 7.45–20.73)</w:t>
            </w:r>
          </w:p>
        </w:tc>
      </w:tr>
      <w:tr>
        <w:tc>
          <w:tcPr>
            <w:tcW w:type="dxa" w:w="2300"/>
            <w:shd w:fill="DEEAF1" w:val="clear"/>
          </w:tcPr>
          <w:p>
            <w:pPr>
              <w:spacing w:after="30" w:before="30"/>
            </w:pPr>
            <w:r>
              <w:rPr>
                <w:rFonts w:ascii="Calibri" w:cs="Calibri" w:eastAsia="Calibri" w:hAnsi="Calibri"/>
                <w:b/>
                <w:bCs/>
                <w:color w:val="1F3864"/>
                <w:sz w:val="19"/>
                <w:szCs w:val="19"/>
              </w:rPr>
              <w:t xml:space="preserve">Hypertension ↔ Diabetes OR</w:t>
            </w:r>
          </w:p>
        </w:tc>
        <w:tc>
          <w:tcPr>
            <w:tcW w:type="dxa" w:w="4600"/>
            <w:shd w:fill="F2F8FD" w:val="clear"/>
          </w:tcPr>
          <w:p>
            <w:pPr>
              <w:spacing w:after="30" w:before="30"/>
            </w:pPr>
            <w:r>
              <w:rPr>
                <w:rFonts w:ascii="Calibri" w:cs="Calibri" w:eastAsia="Calibri" w:hAnsi="Calibri"/>
                <w:color w:val="000000"/>
                <w:sz w:val="19"/>
                <w:szCs w:val="19"/>
              </w:rPr>
              <w:t xml:space="preserve">7.16 (CI: 6.13–8.36)</w:t>
            </w:r>
          </w:p>
        </w:tc>
      </w:tr>
      <w:tr>
        <w:tc>
          <w:tcPr>
            <w:tcW w:type="dxa" w:w="2300"/>
            <w:shd w:fill="DEEAF1" w:val="clear"/>
          </w:tcPr>
          <w:p>
            <w:pPr>
              <w:spacing w:after="30" w:before="30"/>
            </w:pPr>
            <w:r>
              <w:rPr>
                <w:rFonts w:ascii="Calibri" w:cs="Calibri" w:eastAsia="Calibri" w:hAnsi="Calibri"/>
                <w:b/>
                <w:bCs/>
                <w:color w:val="1F3864"/>
                <w:sz w:val="19"/>
                <w:szCs w:val="19"/>
              </w:rPr>
              <w:t xml:space="preserve">Prehypertension prevalence</w:t>
            </w:r>
          </w:p>
        </w:tc>
        <w:tc>
          <w:tcPr>
            <w:tcW w:type="dxa" w:w="4600"/>
            <w:shd w:fill="F2F2F2" w:val="clear"/>
          </w:tcPr>
          <w:p>
            <w:pPr>
              <w:spacing w:after="30" w:before="30"/>
            </w:pPr>
            <w:r>
              <w:rPr>
                <w:rFonts w:ascii="Calibri" w:cs="Calibri" w:eastAsia="Calibri" w:hAnsi="Calibri"/>
                <w:color w:val="000000"/>
                <w:sz w:val="19"/>
                <w:szCs w:val="19"/>
              </w:rPr>
              <w:t xml:space="preserve">8.18% of adults screened</w:t>
            </w:r>
          </w:p>
        </w:tc>
      </w:tr>
      <w:tr>
        <w:tc>
          <w:tcPr>
            <w:tcW w:type="dxa" w:w="2300"/>
            <w:shd w:fill="DEEAF1" w:val="clear"/>
          </w:tcPr>
          <w:p>
            <w:pPr>
              <w:spacing w:after="30" w:before="30"/>
            </w:pPr>
            <w:r>
              <w:rPr>
                <w:rFonts w:ascii="Calibri" w:cs="Calibri" w:eastAsia="Calibri" w:hAnsi="Calibri"/>
                <w:b/>
                <w:bCs/>
                <w:color w:val="1F3864"/>
                <w:sz w:val="19"/>
                <w:szCs w:val="19"/>
              </w:rPr>
              <w:t xml:space="preserve">High blood glucose prevalence</w:t>
            </w:r>
          </w:p>
        </w:tc>
        <w:tc>
          <w:tcPr>
            <w:tcW w:type="dxa" w:w="4600"/>
            <w:shd w:fill="F2F8FD" w:val="clear"/>
          </w:tcPr>
          <w:p>
            <w:pPr>
              <w:spacing w:after="30" w:before="30"/>
            </w:pPr>
            <w:r>
              <w:rPr>
                <w:rFonts w:ascii="Calibri" w:cs="Calibri" w:eastAsia="Calibri" w:hAnsi="Calibri"/>
                <w:color w:val="000000"/>
                <w:sz w:val="19"/>
                <w:szCs w:val="19"/>
              </w:rPr>
              <w:t xml:space="preserve">16.45% of adults screened</w:t>
            </w:r>
          </w:p>
        </w:tc>
      </w:tr>
      <w:tr>
        <w:tc>
          <w:tcPr>
            <w:tcW w:type="dxa" w:w="2300"/>
            <w:shd w:fill="DEEAF1" w:val="clear"/>
          </w:tcPr>
          <w:p>
            <w:pPr>
              <w:spacing w:after="30" w:before="30"/>
            </w:pPr>
            <w:r>
              <w:rPr>
                <w:rFonts w:ascii="Calibri" w:cs="Calibri" w:eastAsia="Calibri" w:hAnsi="Calibri"/>
                <w:b/>
                <w:bCs/>
                <w:color w:val="1F3864"/>
                <w:sz w:val="19"/>
                <w:szCs w:val="19"/>
              </w:rPr>
              <w:t xml:space="preserve">Child malnutrition (MUAC)</w:t>
            </w:r>
          </w:p>
        </w:tc>
        <w:tc>
          <w:tcPr>
            <w:tcW w:type="dxa" w:w="4600"/>
            <w:shd w:fill="F2F2F2" w:val="clear"/>
          </w:tcPr>
          <w:p>
            <w:pPr>
              <w:spacing w:after="30" w:before="30"/>
            </w:pPr>
            <w:r>
              <w:rPr>
                <w:rFonts w:ascii="Calibri" w:cs="Calibri" w:eastAsia="Calibri" w:hAnsi="Calibri"/>
                <w:color w:val="000000"/>
                <w:sz w:val="19"/>
                <w:szCs w:val="19"/>
              </w:rPr>
              <w:t xml:space="preserve">11% of children under age 7</w:t>
            </w:r>
          </w:p>
        </w:tc>
      </w:tr>
    </w:tbl>
    <w:p>
      <w:pPr>
        <w:spacing w:after="20" w:before="80"/>
      </w:pPr>
    </w:p>
    <w:p>
      <w:pPr>
        <w:spacing w:after="80" w:before="240"/>
      </w:pPr>
      <w:r>
        <w:rPr>
          <w:rFonts w:ascii="Calibri" w:cs="Calibri" w:eastAsia="Calibri" w:hAnsi="Calibri"/>
          <w:b/>
          <w:bCs/>
          <w:color w:val="C00000"/>
          <w:sz w:val="26"/>
          <w:szCs w:val="26"/>
        </w:rPr>
        <w:t xml:space="preserve">Common Exam Traps — Paper 4 — IGP/CHW Efficacy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CE4D6" w:val="clear"/>
            <w:tcMar>
              <w:top w:type="dxa" w:w="80"/>
              <w:left w:type="dxa" w:w="120"/>
              <w:bottom w:type="dxa" w:w="80"/>
              <w:right w:type="dxa" w:w="120"/>
            </w:tcMar>
          </w:tcPr>
          <w:p>
            <w:pPr>
              <w:spacing w:after="60" w:before="20"/>
            </w:pPr>
            <w:r>
              <w:rPr>
                <w:rFonts w:ascii="Calibri" w:cs="Calibri" w:eastAsia="Calibri" w:hAnsi="Calibri"/>
                <w:i/>
                <w:iCs/>
                <w:color w:val="C00000"/>
                <w:sz w:val="20"/>
                <w:szCs w:val="20"/>
              </w:rPr>
              <w:t xml:space="preserve">Watch out for these misconceptions — they appear frequently in exam questions.</w:t>
            </w:r>
          </w:p>
          <w:p>
            <w:pPr>
              <w:spacing w:after="40" w:before="40"/>
              <w:ind w:left="288"/>
            </w:pPr>
            <w:r>
              <w:rPr>
                <w:rFonts w:ascii="Calibri" w:cs="Calibri" w:eastAsia="Calibri" w:hAnsi="Calibri"/>
                <w:b/>
                <w:bCs/>
                <w:color w:val="C00000"/>
                <w:sz w:val="22"/>
                <w:szCs w:val="22"/>
              </w:rPr>
              <w:t xml:space="preserve">1. </w:t>
            </w:r>
            <w:r>
              <w:rPr>
                <w:rFonts w:ascii="Calibri" w:cs="Calibri" w:eastAsia="Calibri" w:hAnsi="Calibri"/>
                <w:color w:val="C00000"/>
                <w:sz w:val="22"/>
                <w:szCs w:val="22"/>
              </w:rPr>
              <w:t xml:space="preserve">Blood glucose did NOT improve — and this is NOT a failure of the AI system. The cause was economic (paid test) and behavioural (healthy people stopped testing). The AI/CHW model itself worked for BP, BMI, and MUAC.</w:t>
            </w:r>
          </w:p>
          <w:p>
            <w:pPr>
              <w:spacing w:after="40" w:before="40"/>
              <w:ind w:left="288"/>
            </w:pPr>
            <w:r>
              <w:rPr>
                <w:rFonts w:ascii="Calibri" w:cs="Calibri" w:eastAsia="Calibri" w:hAnsi="Calibri"/>
                <w:b/>
                <w:bCs/>
                <w:color w:val="C00000"/>
                <w:sz w:val="22"/>
                <w:szCs w:val="22"/>
              </w:rPr>
              <w:t xml:space="preserve">2. </w:t>
            </w:r>
            <w:r>
              <w:rPr>
                <w:rFonts w:ascii="Calibri" w:cs="Calibri" w:eastAsia="Calibri" w:hAnsi="Calibri"/>
                <w:color w:val="C00000"/>
                <w:sz w:val="22"/>
                <w:szCs w:val="22"/>
              </w:rPr>
              <w:t xml:space="preserve">Paper 4 is the EFFICACY study; Paper 2 is the FEASIBILITY study — they use the same CMED platform but different designs, time points, and outcomes.</w:t>
            </w:r>
          </w:p>
          <w:p>
            <w:pPr>
              <w:spacing w:after="40" w:before="40"/>
              <w:ind w:left="288"/>
            </w:pPr>
            <w:r>
              <w:rPr>
                <w:rFonts w:ascii="Calibri" w:cs="Calibri" w:eastAsia="Calibri" w:hAnsi="Calibri"/>
                <w:b/>
                <w:bCs/>
                <w:color w:val="C00000"/>
                <w:sz w:val="22"/>
                <w:szCs w:val="22"/>
              </w:rPr>
              <w:t xml:space="preserve">3. </w:t>
            </w:r>
            <w:r>
              <w:rPr>
                <w:rFonts w:ascii="Calibri" w:cs="Calibri" w:eastAsia="Calibri" w:hAnsi="Calibri"/>
                <w:color w:val="C00000"/>
                <w:sz w:val="22"/>
                <w:szCs w:val="22"/>
              </w:rPr>
              <w:t xml:space="preserve">Normal BP: 72.50% (Period 1) → 82.19% (Period 3). Nourished children: 82.87% → 93.17%. Memorise these pairs exactly.</w:t>
            </w:r>
          </w:p>
          <w:p>
            <w:pPr>
              <w:spacing w:after="40" w:before="40"/>
              <w:ind w:left="288"/>
            </w:pPr>
            <w:r>
              <w:rPr>
                <w:rFonts w:ascii="Calibri" w:cs="Calibri" w:eastAsia="Calibri" w:hAnsi="Calibri"/>
                <w:b/>
                <w:bCs/>
                <w:color w:val="C00000"/>
                <w:sz w:val="22"/>
                <w:szCs w:val="22"/>
              </w:rPr>
              <w:t xml:space="preserve">4. </w:t>
            </w:r>
            <w:r>
              <w:rPr>
                <w:rFonts w:ascii="Calibri" w:cs="Calibri" w:eastAsia="Calibri" w:hAnsi="Calibri"/>
                <w:color w:val="C00000"/>
                <w:sz w:val="22"/>
                <w:szCs w:val="22"/>
              </w:rPr>
              <w:t xml:space="preserve">OR for age ≥40 and hypertension = 13.56 — the HIGHEST odds ratio in the study. Hypertension–diabetes comorbidity OR = 7.16.</w:t>
            </w:r>
          </w:p>
          <w:p>
            <w:pPr>
              <w:spacing w:after="40" w:before="40"/>
              <w:ind w:left="288"/>
            </w:pPr>
            <w:r>
              <w:rPr>
                <w:rFonts w:ascii="Calibri" w:cs="Calibri" w:eastAsia="Calibri" w:hAnsi="Calibri"/>
                <w:b/>
                <w:bCs/>
                <w:color w:val="C00000"/>
                <w:sz w:val="22"/>
                <w:szCs w:val="22"/>
              </w:rPr>
              <w:t xml:space="preserve">5. </w:t>
            </w:r>
            <w:r>
              <w:rPr>
                <w:rFonts w:ascii="Calibri" w:cs="Calibri" w:eastAsia="Calibri" w:hAnsi="Calibri"/>
                <w:color w:val="C00000"/>
                <w:sz w:val="22"/>
                <w:szCs w:val="22"/>
              </w:rPr>
              <w:t xml:space="preserve">This study is OBSERVATIONAL (no randomised control group) — cannot claim causation, only association and longitudinal correlation.</w:t>
            </w:r>
          </w:p>
          <w:p>
            <w:pPr>
              <w:spacing w:before="20"/>
            </w:pPr>
          </w:p>
        </w:tc>
      </w:tr>
    </w:tbl>
    <w:p>
      <w:pPr>
        <w:spacing w:after="20" w:before="80"/>
      </w:pPr>
    </w:p>
    <w:p>
      <w:pPr>
        <w:spacing w:after="80" w:before="240"/>
      </w:pPr>
      <w:r>
        <w:rPr>
          <w:rFonts w:ascii="Calibri" w:cs="Calibri" w:eastAsia="Calibri" w:hAnsi="Calibri"/>
          <w:b/>
          <w:bCs/>
          <w:color w:val="7030A0"/>
          <w:sz w:val="26"/>
          <w:szCs w:val="26"/>
        </w:rPr>
        <w:t xml:space="preserve">15 Exam Questions &amp; Answers — Paper 4 — IGP/CHW Efficacy</w:t>
      </w:r>
    </w:p>
    <w:p>
      <w:pPr>
        <w:spacing w:after="40" w:before="120"/>
      </w:pPr>
      <w:r>
        <w:rPr>
          <w:rFonts w:ascii="Calibri" w:cs="Calibri" w:eastAsia="Calibri" w:hAnsi="Calibri"/>
          <w:b/>
          <w:bCs/>
          <w:color w:val="7030A0"/>
          <w:sz w:val="22"/>
          <w:szCs w:val="22"/>
        </w:rPr>
        <w:t xml:space="preserve">Q1. </w:t>
      </w:r>
      <w:r>
        <w:rPr>
          <w:rFonts w:ascii="Calibri" w:cs="Calibri" w:eastAsia="Calibri" w:hAnsi="Calibri"/>
          <w:b/>
          <w:bCs/>
          <w:color w:val="1F3864"/>
          <w:sz w:val="22"/>
          <w:szCs w:val="22"/>
        </w:rPr>
        <w:t xml:space="preserve">What problem does this study address in the context of primary healthcare in Bangladesh?</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Rural Bangladesh faces a severe primary healthcare gap due to shortage of healthcare professionals, low health literacy, self-medication practices, and lack of affordable care — resulting in patients reaching healthcare facilities only at advanced disease stages. NCDs are responsible for approximately 67% of total deaths in Bangladesh, yet early detection and prevention are critically underdeveloped in rural settings. The study addresses the urgent need for an effective, scalable digital health model to bridge this gap.</w:t>
      </w:r>
    </w:p>
    <w:p>
      <w:pPr>
        <w:spacing w:after="40" w:before="120"/>
      </w:pPr>
      <w:r>
        <w:rPr>
          <w:rFonts w:ascii="Calibri" w:cs="Calibri" w:eastAsia="Calibri" w:hAnsi="Calibri"/>
          <w:b/>
          <w:bCs/>
          <w:color w:val="7030A0"/>
          <w:sz w:val="22"/>
          <w:szCs w:val="22"/>
        </w:rPr>
        <w:t xml:space="preserve">Q2. </w:t>
      </w:r>
      <w:r>
        <w:rPr>
          <w:rFonts w:ascii="Calibri" w:cs="Calibri" w:eastAsia="Calibri" w:hAnsi="Calibri"/>
          <w:b/>
          <w:bCs/>
          <w:color w:val="1F3864"/>
          <w:sz w:val="22"/>
          <w:szCs w:val="22"/>
        </w:rPr>
        <w:t xml:space="preserve">What research gap does this paper fill?</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While previous work (including the 2019 feasibility paper by Faruque et al.) reported on CMED's usability and short-term acceptance, no study had evaluated the longitudinal health outcome improvements produced by this digital health intervention model using CHWs across multiple time periods with a population-level dataset. This paper is the first to conduct a comparative cross-sectional analysis across three consecutive six-month periods to measure actual health metric changes over 18 months of real-world operation.</w:t>
      </w:r>
    </w:p>
    <w:p>
      <w:pPr>
        <w:spacing w:after="40" w:before="120"/>
      </w:pPr>
      <w:r>
        <w:rPr>
          <w:rFonts w:ascii="Calibri" w:cs="Calibri" w:eastAsia="Calibri" w:hAnsi="Calibri"/>
          <w:b/>
          <w:bCs/>
          <w:color w:val="7030A0"/>
          <w:sz w:val="22"/>
          <w:szCs w:val="22"/>
        </w:rPr>
        <w:t xml:space="preserve">Q3. </w:t>
      </w:r>
      <w:r>
        <w:rPr>
          <w:rFonts w:ascii="Calibri" w:cs="Calibri" w:eastAsia="Calibri" w:hAnsi="Calibri"/>
          <w:b/>
          <w:bCs/>
          <w:color w:val="1F3864"/>
          <w:sz w:val="22"/>
          <w:szCs w:val="22"/>
        </w:rPr>
        <w:t xml:space="preserve">What are the objectives of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aims to evaluate the effectiveness of the CMED digital health intervention model by observing changes in people's health conditions in a rural area of Bangladesh using a repeated cross-sectional design. Health outcomes (BMI, blood pressure, blood glucose, MUAC) were assessed at six-month intervals over 18 months. Secondary objectives include identifying NCD risk factors using multivariate logistic regression and comparing health metrics across three operational periods.</w:t>
      </w:r>
    </w:p>
    <w:p>
      <w:pPr>
        <w:spacing w:after="40" w:before="120"/>
      </w:pPr>
      <w:r>
        <w:rPr>
          <w:rFonts w:ascii="Calibri" w:cs="Calibri" w:eastAsia="Calibri" w:hAnsi="Calibri"/>
          <w:b/>
          <w:bCs/>
          <w:color w:val="7030A0"/>
          <w:sz w:val="22"/>
          <w:szCs w:val="22"/>
        </w:rPr>
        <w:t xml:space="preserve">Q4. </w:t>
      </w:r>
      <w:r>
        <w:rPr>
          <w:rFonts w:ascii="Calibri" w:cs="Calibri" w:eastAsia="Calibri" w:hAnsi="Calibri"/>
          <w:b/>
          <w:bCs/>
          <w:color w:val="1F3864"/>
          <w:sz w:val="22"/>
          <w:szCs w:val="22"/>
        </w:rPr>
        <w:t xml:space="preserve">What study design is used and why?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A repeated cross-sectional observational study design was used, with three consecutive six-month periods: Period 1 (July–December 2018), Period 2 (January–June 2019), and Period 3 (July–December 2019). This design was chosen because the model conducts monthly household visits and generates repeated measurements for the same community, allowing comparison of health indicators over time without requiring a randomised control group. The design effectively captures the progressive impact of the digital intervention at community level.</w:t>
      </w:r>
    </w:p>
    <w:p>
      <w:pPr>
        <w:spacing w:after="40" w:before="120"/>
      </w:pPr>
      <w:r>
        <w:rPr>
          <w:rFonts w:ascii="Calibri" w:cs="Calibri" w:eastAsia="Calibri" w:hAnsi="Calibri"/>
          <w:b/>
          <w:bCs/>
          <w:color w:val="7030A0"/>
          <w:sz w:val="22"/>
          <w:szCs w:val="22"/>
        </w:rPr>
        <w:t xml:space="preserve">Q5. </w:t>
      </w:r>
      <w:r>
        <w:rPr>
          <w:rFonts w:ascii="Calibri" w:cs="Calibri" w:eastAsia="Calibri" w:hAnsi="Calibri"/>
          <w:b/>
          <w:bCs/>
          <w:color w:val="1F3864"/>
          <w:sz w:val="22"/>
          <w:szCs w:val="22"/>
        </w:rPr>
        <w:t xml:space="preserve">What data was used, and how was it collected?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Data were collected from 32,581 individuals across 7,090 households in the Somvag Union, Bangladesh, from July 2018 to December 2019. Community health workers (CHWs) — 14 in total, one per 500 households — visited each household monthly using a CMED smart health kit and the 'Enriched Sastho' mobile application to collect BMI, blood pressure, blood glucose, and MUAC measurements. Data were stored in an Amazon Web Services (AWS) cloud MySQL database and analysed using Python in a Google Colaboratory environment.</w:t>
      </w:r>
    </w:p>
    <w:p>
      <w:pPr>
        <w:spacing w:after="40" w:before="120"/>
      </w:pPr>
      <w:r>
        <w:rPr>
          <w:rFonts w:ascii="Calibri" w:cs="Calibri" w:eastAsia="Calibri" w:hAnsi="Calibri"/>
          <w:b/>
          <w:bCs/>
          <w:color w:val="7030A0"/>
          <w:sz w:val="22"/>
          <w:szCs w:val="22"/>
        </w:rPr>
        <w:t xml:space="preserve">Q6. </w:t>
      </w:r>
      <w:r>
        <w:rPr>
          <w:rFonts w:ascii="Calibri" w:cs="Calibri" w:eastAsia="Calibri" w:hAnsi="Calibri"/>
          <w:b/>
          <w:bCs/>
          <w:color w:val="1F3864"/>
          <w:sz w:val="22"/>
          <w:szCs w:val="22"/>
        </w:rPr>
        <w:t xml:space="preserve">What is the role of Community Health Workers (CHWs) in this model?</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CHWs (called Health Assistants/HAs, privately employed by CMED Health) visited every household once a month to collect vital health measurements and input them into digital profiles via the Enriched Sastho app. Each CHW covered 500 households and underwent a two-week training programme in using the smart health kit, operating the mobile app, performing AI-based risk consultations, and delivering preventive health education focusing on NCD risk factors. After health screenings, CHWs assessed risks using the AI-based CDSS and provided digital referrals to medical assistants or GP doctors.</w:t>
      </w:r>
    </w:p>
    <w:p>
      <w:pPr>
        <w:spacing w:after="40" w:before="120"/>
      </w:pPr>
      <w:r>
        <w:rPr>
          <w:rFonts w:ascii="Calibri" w:cs="Calibri" w:eastAsia="Calibri" w:hAnsi="Calibri"/>
          <w:b/>
          <w:bCs/>
          <w:color w:val="7030A0"/>
          <w:sz w:val="22"/>
          <w:szCs w:val="22"/>
        </w:rPr>
        <w:t xml:space="preserve">Q7. </w:t>
      </w:r>
      <w:r>
        <w:rPr>
          <w:rFonts w:ascii="Calibri" w:cs="Calibri" w:eastAsia="Calibri" w:hAnsi="Calibri"/>
          <w:b/>
          <w:bCs/>
          <w:color w:val="1F3864"/>
          <w:sz w:val="22"/>
          <w:szCs w:val="22"/>
        </w:rPr>
        <w:t xml:space="preserve">What statistical methods were used for data analysis?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Descriptive statistics (proportions and 95% confidence intervals) characterised sociodemographic and health measurement data. Multivariate logistic regression with odds ratios (ORs) and 95% CIs identified NCD risk factors (hypertension, diabetes, CVD, stroke). Two-proportion z-tests compared categorical proportions across periods, while the Wilcoxon signed-rank test and Student's t-test compared non-normally and normally distributed variables respectively. D'Agostino and Pearson's test was used to assess normality before selecting the appropriate statistical test.</w:t>
      </w:r>
    </w:p>
    <w:p>
      <w:pPr>
        <w:spacing w:after="40" w:before="120"/>
      </w:pPr>
      <w:r>
        <w:rPr>
          <w:rFonts w:ascii="Calibri" w:cs="Calibri" w:eastAsia="Calibri" w:hAnsi="Calibri"/>
          <w:b/>
          <w:bCs/>
          <w:color w:val="7030A0"/>
          <w:sz w:val="22"/>
          <w:szCs w:val="22"/>
        </w:rPr>
        <w:t xml:space="preserve">Q8. </w:t>
      </w:r>
      <w:r>
        <w:rPr>
          <w:rFonts w:ascii="Calibri" w:cs="Calibri" w:eastAsia="Calibri" w:hAnsi="Calibri"/>
          <w:b/>
          <w:bCs/>
          <w:color w:val="1F3864"/>
          <w:sz w:val="22"/>
          <w:szCs w:val="22"/>
        </w:rPr>
        <w:t xml:space="preserve">What were the key sociodemographic characteristics of the study population?</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total served population of 32,581 was nearly equally split between males (16,508, 50.67%) and females (16,073, 49.33%). Ages 18–35 were the most prevalent age group, accounting for approximately 32.25% of the total served population. Almost 64% of the population were under 35 years, indicating a young and reproductively active community with significant future healthcare needs.</w:t>
      </w:r>
    </w:p>
    <w:p>
      <w:pPr>
        <w:spacing w:after="40" w:before="120"/>
      </w:pPr>
      <w:r>
        <w:rPr>
          <w:rFonts w:ascii="Calibri" w:cs="Calibri" w:eastAsia="Calibri" w:hAnsi="Calibri"/>
          <w:b/>
          <w:bCs/>
          <w:color w:val="7030A0"/>
          <w:sz w:val="22"/>
          <w:szCs w:val="22"/>
        </w:rPr>
        <w:t xml:space="preserve">Q9. </w:t>
      </w:r>
      <w:r>
        <w:rPr>
          <w:rFonts w:ascii="Calibri" w:cs="Calibri" w:eastAsia="Calibri" w:hAnsi="Calibri"/>
          <w:b/>
          <w:bCs/>
          <w:color w:val="1F3864"/>
          <w:sz w:val="22"/>
          <w:szCs w:val="22"/>
        </w:rPr>
        <w:t xml:space="preserve">What were the overall health measurement findings (BMI, BP, blood glucose, MUAC)?</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Among the served population aged ≥18: 21.76% were overweight, 8.18% had prehypertension, and 16.45% had high blood glucose; 11% of children under age 7 were malnourished (MUAC). For blood pressure: 78.19% had normal BP and 8.18% had prehypertension. For blood glucose: 70.65% had normal levels, 16.45% had high blood glucose, and 3.83% were classified as diabetic (needing confirmation).</w:t>
      </w:r>
    </w:p>
    <w:p>
      <w:pPr>
        <w:spacing w:after="40" w:before="120"/>
      </w:pPr>
      <w:r>
        <w:rPr>
          <w:rFonts w:ascii="Calibri" w:cs="Calibri" w:eastAsia="Calibri" w:hAnsi="Calibri"/>
          <w:b/>
          <w:bCs/>
          <w:color w:val="7030A0"/>
          <w:sz w:val="22"/>
          <w:szCs w:val="22"/>
        </w:rPr>
        <w:t xml:space="preserve">Q10. </w:t>
      </w:r>
      <w:r>
        <w:rPr>
          <w:rFonts w:ascii="Calibri" w:cs="Calibri" w:eastAsia="Calibri" w:hAnsi="Calibri"/>
          <w:b/>
          <w:bCs/>
          <w:color w:val="1F3864"/>
          <w:sz w:val="22"/>
          <w:szCs w:val="22"/>
        </w:rPr>
        <w:t xml:space="preserve">What NCD risk factors were identified by the multivariate logistic regression?</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Age ≥40 was strongly associated with hypertension (OR = 13.56, 95% CI: 12.06–15.24) and diabetes (OR = 3.96, CI: 3.35–4.69). CVD was highly associated with hypertension (OR = 12.50, CI: 7.45–20.73) and stroke (OR = 8.12, CI: 3.76–17.54). Hypertension and diabetes were mutually associated (OR = 7.16, CI: 6.13–8.36), confirming comorbidity patterns consistent with national and global NCD evidence.</w:t>
      </w:r>
    </w:p>
    <w:p>
      <w:pPr>
        <w:spacing w:after="40" w:before="120"/>
      </w:pPr>
      <w:r>
        <w:rPr>
          <w:rFonts w:ascii="Calibri" w:cs="Calibri" w:eastAsia="Calibri" w:hAnsi="Calibri"/>
          <w:b/>
          <w:bCs/>
          <w:color w:val="7030A0"/>
          <w:sz w:val="22"/>
          <w:szCs w:val="22"/>
        </w:rPr>
        <w:t xml:space="preserve">Q11. </w:t>
      </w:r>
      <w:r>
        <w:rPr>
          <w:rFonts w:ascii="Calibri" w:cs="Calibri" w:eastAsia="Calibri" w:hAnsi="Calibri"/>
          <w:b/>
          <w:bCs/>
          <w:color w:val="1F3864"/>
          <w:sz w:val="22"/>
          <w:szCs w:val="22"/>
        </w:rPr>
        <w:t xml:space="preserve">What health outcome changes were observed across the three periods?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Comparative analysis showed statistically significant improvements in BMI, blood pressure, and MUAC across the three periods. Normal BMI proportion increased while the underweight proportion decreased (two-proportion z-tests significant). Normal blood pressure increased from 72.50% in Period 1 to 82.19% in Period 3, with prehypertension declining substantially. Nourished children increased from 82.87% (Period 1) to 93.17% (Period 3) while malnutrition rates declined.</w:t>
      </w:r>
    </w:p>
    <w:p>
      <w:pPr>
        <w:spacing w:after="40" w:before="120"/>
      </w:pPr>
      <w:r>
        <w:rPr>
          <w:rFonts w:ascii="Calibri" w:cs="Calibri" w:eastAsia="Calibri" w:hAnsi="Calibri"/>
          <w:b/>
          <w:bCs/>
          <w:color w:val="7030A0"/>
          <w:sz w:val="22"/>
          <w:szCs w:val="22"/>
        </w:rPr>
        <w:t xml:space="preserve">Q12. </w:t>
      </w:r>
      <w:r>
        <w:rPr>
          <w:rFonts w:ascii="Calibri" w:cs="Calibri" w:eastAsia="Calibri" w:hAnsi="Calibri"/>
          <w:b/>
          <w:bCs/>
          <w:color w:val="1F3864"/>
          <w:sz w:val="22"/>
          <w:szCs w:val="22"/>
        </w:rPr>
        <w:t xml:space="preserve">Why did blood glucose measurements not show significant improvement?</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Most people who found normal blood glucose in Period 1 did not feel the need to continue paying for the test in later periods, while those diagnosed with diabetes had uncontrolled blood glucose levels, driving up the proportion of high blood glucose over time. The model charged a small fee for blood glucose tests (unlike BP and BMI which were free), creating a financial barrier that reduced adherence to follow-up testing. This cultural and economic behaviour pattern explains the lack of improvement in blood glucose outcomes.</w:t>
      </w:r>
    </w:p>
    <w:p>
      <w:pPr>
        <w:spacing w:after="40" w:before="120"/>
      </w:pPr>
      <w:r>
        <w:rPr>
          <w:rFonts w:ascii="Calibri" w:cs="Calibri" w:eastAsia="Calibri" w:hAnsi="Calibri"/>
          <w:b/>
          <w:bCs/>
          <w:color w:val="7030A0"/>
          <w:sz w:val="22"/>
          <w:szCs w:val="22"/>
        </w:rPr>
        <w:t xml:space="preserve">Q13. </w:t>
      </w:r>
      <w:r>
        <w:rPr>
          <w:rFonts w:ascii="Calibri" w:cs="Calibri" w:eastAsia="Calibri" w:hAnsi="Calibri"/>
          <w:b/>
          <w:bCs/>
          <w:color w:val="1F3864"/>
          <w:sz w:val="22"/>
          <w:szCs w:val="22"/>
        </w:rPr>
        <w:t xml:space="preserve">How was the intervention model's effectiveness assessed?</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Effectiveness was assessed by comparing proportions of health vital results (BMI, BP, blood glucose, MUAC) across three consecutive six-month periods using the latest measurement instance from each period to minimise selection bias. Two-proportion z-tests and the Wilcoxon signed-rank test were applied to determine statistical significance of period-to-period changes. Improvement in BMI, BP, and MUAC was confirmed statistically, while blood glucose showed no significant improvement due to behavioural and economic barriers.</w:t>
      </w:r>
    </w:p>
    <w:p>
      <w:pPr>
        <w:spacing w:after="40" w:before="120"/>
      </w:pPr>
      <w:r>
        <w:rPr>
          <w:rFonts w:ascii="Calibri" w:cs="Calibri" w:eastAsia="Calibri" w:hAnsi="Calibri"/>
          <w:b/>
          <w:bCs/>
          <w:color w:val="7030A0"/>
          <w:sz w:val="22"/>
          <w:szCs w:val="22"/>
        </w:rPr>
        <w:t xml:space="preserve">Q14. </w:t>
      </w:r>
      <w:r>
        <w:rPr>
          <w:rFonts w:ascii="Calibri" w:cs="Calibri" w:eastAsia="Calibri" w:hAnsi="Calibri"/>
          <w:b/>
          <w:bCs/>
          <w:color w:val="1F3864"/>
          <w:sz w:val="22"/>
          <w:szCs w:val="22"/>
        </w:rPr>
        <w:t xml:space="preserve">What are the key limitations of this study?</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was conducted in only one rural union (Somvag Union), limiting generalisability to other rural settings or urban populations. Gender imbalance in data collection was observed — mostly women, as men were at work during daytime visits — introducing selection bias. Blood glucose testing suffered from low retention due to the paid-test model, and referral follow-up to secondary or tertiary care facilities was limited by server access issues, meaning referral outcomes could not always be tracked.</w:t>
      </w:r>
    </w:p>
    <w:p>
      <w:pPr>
        <w:spacing w:after="40" w:before="120"/>
      </w:pPr>
      <w:r>
        <w:rPr>
          <w:rFonts w:ascii="Calibri" w:cs="Calibri" w:eastAsia="Calibri" w:hAnsi="Calibri"/>
          <w:b/>
          <w:bCs/>
          <w:color w:val="7030A0"/>
          <w:sz w:val="22"/>
          <w:szCs w:val="22"/>
        </w:rPr>
        <w:t xml:space="preserve">Q15. </w:t>
      </w:r>
      <w:r>
        <w:rPr>
          <w:rFonts w:ascii="Calibri" w:cs="Calibri" w:eastAsia="Calibri" w:hAnsi="Calibri"/>
          <w:b/>
          <w:bCs/>
          <w:color w:val="1F3864"/>
          <w:sz w:val="22"/>
          <w:szCs w:val="22"/>
        </w:rPr>
        <w:t xml:space="preserve">What are the main conclusions, real-world applications, and recommendations?</w:t>
      </w:r>
    </w:p>
    <w:p>
      <w:pPr>
        <w:spacing w:after="80" w:before="0"/>
        <w:ind w:left="360"/>
      </w:pPr>
      <w:r>
        <w:rPr>
          <w:rFonts w:ascii="Calibri" w:cs="Calibri" w:eastAsia="Calibri" w:hAnsi="Calibri"/>
          <w:b/>
          <w:bCs/>
          <w:color w:val="006B75"/>
          <w:sz w:val="21"/>
          <w:szCs w:val="21"/>
        </w:rPr>
        <w:t xml:space="preserve">Answer: </w:t>
      </w:r>
      <w:r>
        <w:rPr>
          <w:rFonts w:ascii="Calibri" w:cs="Calibri" w:eastAsia="Calibri" w:hAnsi="Calibri"/>
          <w:sz w:val="21"/>
          <w:szCs w:val="21"/>
        </w:rPr>
        <w:t xml:space="preserve">The study demonstrates the feasibility and effectiveness of the CMED digital health intervention model in improving primary healthcare outcomes (BMI, BP, MUAC) in rural Bangladesh over 18 months, serving 32,581 individuals from 7,090 households. Integration of AI-driven CDSS with CHW-led doorstep health screening enhances early detection and management of NCDs at community level. The authors recommend scaling the model through public-private partnerships at approximately US$1 per family per month, integrating it into national healthcare policy, and expanding features including early risk prediction, Bangla medical-GPT, and AI-based personalised health insurance design.</w:t>
      </w:r>
    </w:p>
    <w:p>
      <w:pPr>
        <w:spacing w:after="20" w:before="60"/>
      </w:pPr>
    </w:p>
    <w:p>
      <w:pPr>
        <w:spacing w:after="80" w:before="240"/>
      </w:pPr>
      <w:r>
        <w:rPr>
          <w:rFonts w:ascii="Calibri" w:cs="Calibri" w:eastAsia="Calibri" w:hAnsi="Calibri"/>
          <w:b/>
          <w:bCs/>
          <w:color w:val="7030A0"/>
          <w:sz w:val="26"/>
          <w:szCs w:val="26"/>
        </w:rPr>
        <w:t xml:space="preserve">Glossary of Key Terms — Paper 4 — IGP/CHW Efficacy</w:t>
      </w:r>
    </w:p>
    <w:p>
      <w:pPr>
        <w:spacing w:after="40" w:before="60"/>
        <w:ind w:left="144"/>
      </w:pPr>
      <w:r>
        <w:rPr>
          <w:rFonts w:ascii="Calibri" w:cs="Calibri" w:eastAsia="Calibri" w:hAnsi="Calibri"/>
          <w:b/>
          <w:bCs/>
          <w:i w:val="false"/>
          <w:iCs w:val="false"/>
          <w:color w:val="7030A0"/>
          <w:sz w:val="21"/>
          <w:szCs w:val="21"/>
        </w:rPr>
        <w:t xml:space="preserve">CHW / Health Assistant (HA): </w:t>
      </w:r>
      <w:r>
        <w:rPr>
          <w:rFonts w:ascii="Calibri" w:cs="Calibri" w:eastAsia="Calibri" w:hAnsi="Calibri"/>
          <w:b w:val="false"/>
          <w:bCs w:val="false"/>
          <w:i w:val="false"/>
          <w:iCs w:val="false"/>
          <w:color w:val="000000"/>
          <w:sz w:val="21"/>
          <w:szCs w:val="21"/>
        </w:rPr>
        <w:t xml:space="preserve">Trained non-clinical community worker (privately employed by CMED Health) conducting monthly household visits; collects vital health measurements, delivers AI-based risk consultations, and refers high-risk individuals to medical personnel.</w:t>
      </w:r>
    </w:p>
    <w:p>
      <w:pPr>
        <w:spacing w:after="40" w:before="60"/>
        <w:ind w:left="144"/>
      </w:pPr>
      <w:r>
        <w:rPr>
          <w:rFonts w:ascii="Calibri" w:cs="Calibri" w:eastAsia="Calibri" w:hAnsi="Calibri"/>
          <w:b/>
          <w:bCs/>
          <w:i w:val="false"/>
          <w:iCs w:val="false"/>
          <w:color w:val="7030A0"/>
          <w:sz w:val="21"/>
          <w:szCs w:val="21"/>
        </w:rPr>
        <w:t xml:space="preserve">Repeated Cross-Sectional Observational Study: </w:t>
      </w:r>
      <w:r>
        <w:rPr>
          <w:rFonts w:ascii="Calibri" w:cs="Calibri" w:eastAsia="Calibri" w:hAnsi="Calibri"/>
          <w:b w:val="false"/>
          <w:bCs w:val="false"/>
          <w:i w:val="false"/>
          <w:iCs w:val="false"/>
          <w:color w:val="000000"/>
          <w:sz w:val="21"/>
          <w:szCs w:val="21"/>
        </w:rPr>
        <w:t xml:space="preserve">Research design collecting data from the same population at multiple time points; in this study, health vitals measured across three six-month periods without a randomised control group.</w:t>
      </w:r>
    </w:p>
    <w:p>
      <w:pPr>
        <w:spacing w:after="40" w:before="60"/>
        <w:ind w:left="144"/>
      </w:pPr>
      <w:r>
        <w:rPr>
          <w:rFonts w:ascii="Calibri" w:cs="Calibri" w:eastAsia="Calibri" w:hAnsi="Calibri"/>
          <w:b/>
          <w:bCs/>
          <w:i w:val="false"/>
          <w:iCs w:val="false"/>
          <w:color w:val="7030A0"/>
          <w:sz w:val="21"/>
          <w:szCs w:val="21"/>
        </w:rPr>
        <w:t xml:space="preserve">Enriched Sastho Application: </w:t>
      </w:r>
      <w:r>
        <w:rPr>
          <w:rFonts w:ascii="Calibri" w:cs="Calibri" w:eastAsia="Calibri" w:hAnsi="Calibri"/>
          <w:b w:val="false"/>
          <w:bCs w:val="false"/>
          <w:i w:val="false"/>
          <w:iCs w:val="false"/>
          <w:color w:val="000000"/>
          <w:sz w:val="21"/>
          <w:szCs w:val="21"/>
        </w:rPr>
        <w:t xml:space="preserve">AI-enabled mobile app used by CHWs to record household-level health data (BMI, BP, blood glucose, MUAC) and access AI-CDSS-driven risk assessments and digital referrals to healthcare providers.</w:t>
      </w:r>
    </w:p>
    <w:p>
      <w:pPr>
        <w:spacing w:after="40" w:before="60"/>
        <w:ind w:left="144"/>
      </w:pPr>
      <w:r>
        <w:rPr>
          <w:rFonts w:ascii="Calibri" w:cs="Calibri" w:eastAsia="Calibri" w:hAnsi="Calibri"/>
          <w:b/>
          <w:bCs/>
          <w:i w:val="false"/>
          <w:iCs w:val="false"/>
          <w:color w:val="7030A0"/>
          <w:sz w:val="21"/>
          <w:szCs w:val="21"/>
        </w:rPr>
        <w:t xml:space="preserve">Odds Ratio (OR): </w:t>
      </w:r>
      <w:r>
        <w:rPr>
          <w:rFonts w:ascii="Calibri" w:cs="Calibri" w:eastAsia="Calibri" w:hAnsi="Calibri"/>
          <w:b w:val="false"/>
          <w:bCs w:val="false"/>
          <w:i w:val="false"/>
          <w:iCs w:val="false"/>
          <w:color w:val="000000"/>
          <w:sz w:val="21"/>
          <w:szCs w:val="21"/>
        </w:rPr>
        <w:t xml:space="preserve">Statistical measure of association between an exposure (risk factor) and an outcome (disease); ORs from multivariate logistic regression indicate how much more likely NCDs are in people with specific risk factors.</w:t>
      </w:r>
    </w:p>
    <w:p>
      <w:pPr>
        <w:spacing w:after="40" w:before="60"/>
        <w:ind w:left="144"/>
      </w:pPr>
      <w:r>
        <w:rPr>
          <w:rFonts w:ascii="Calibri" w:cs="Calibri" w:eastAsia="Calibri" w:hAnsi="Calibri"/>
          <w:b/>
          <w:bCs/>
          <w:i w:val="false"/>
          <w:iCs w:val="false"/>
          <w:color w:val="7030A0"/>
          <w:sz w:val="21"/>
          <w:szCs w:val="21"/>
        </w:rPr>
        <w:t xml:space="preserve">Universal Health Coverage (UHC): </w:t>
      </w:r>
      <w:r>
        <w:rPr>
          <w:rFonts w:ascii="Calibri" w:cs="Calibri" w:eastAsia="Calibri" w:hAnsi="Calibri"/>
          <w:b w:val="false"/>
          <w:bCs w:val="false"/>
          <w:i w:val="false"/>
          <w:iCs w:val="false"/>
          <w:color w:val="000000"/>
          <w:sz w:val="21"/>
          <w:szCs w:val="21"/>
        </w:rPr>
        <w:t xml:space="preserve">The goal of ensuring all people access the health services they need without financial hardship; the CMED model is positioned as a cost-effective pathway toward UHC in rural Bangladesh.</w:t>
      </w:r>
    </w:p>
    <w:p>
      <w:pPr>
        <w:spacing w:after="40" w:before="60"/>
        <w:ind w:left="144"/>
      </w:pPr>
      <w:r>
        <w:rPr>
          <w:rFonts w:ascii="Calibri" w:cs="Calibri" w:eastAsia="Calibri" w:hAnsi="Calibri"/>
          <w:b/>
          <w:bCs/>
          <w:i w:val="false"/>
          <w:iCs w:val="false"/>
          <w:color w:val="7030A0"/>
          <w:sz w:val="21"/>
          <w:szCs w:val="21"/>
        </w:rPr>
        <w:t xml:space="preserve">AI-CDSS (AI-Based Clinical Decision Support): </w:t>
      </w:r>
      <w:r>
        <w:rPr>
          <w:rFonts w:ascii="Calibri" w:cs="Calibri" w:eastAsia="Calibri" w:hAnsi="Calibri"/>
          <w:b w:val="false"/>
          <w:bCs w:val="false"/>
          <w:i w:val="false"/>
          <w:iCs w:val="false"/>
          <w:color w:val="000000"/>
          <w:sz w:val="21"/>
          <w:szCs w:val="21"/>
        </w:rPr>
        <w:t xml:space="preserve">Software component using AI algorithms to analyse collected health measurements, assess NCD risk levels, and automatically generate consultation recommendations and digital referrals to appropriate healthcare providers.</w:t>
      </w:r>
    </w:p>
    <w:p>
      <w:r>
        <w:br w:type="page"/>
      </w:r>
    </w:p>
    <w:p>
      <w:pPr>
        <w:pBdr>
          <w:bottom w:val="single" w:color="1F3864" w:sz="6" w:space="1"/>
        </w:pBdr>
        <w:spacing w:after="120" w:before="320"/>
      </w:pPr>
      <w:r>
        <w:rPr>
          <w:rFonts w:ascii="Calibri" w:cs="Calibri" w:eastAsia="Calibri" w:hAnsi="Calibri"/>
          <w:b/>
          <w:bCs/>
          <w:color w:val="1F3864"/>
          <w:sz w:val="34"/>
          <w:szCs w:val="34"/>
        </w:rPr>
        <w:t xml:space="preserve">Answer Keys — Quick Self-Test</w:t>
      </w:r>
    </w:p>
    <w:p>
      <w:pPr>
        <w:spacing w:after="60" w:before="40"/>
        <w:jc w:val="left"/>
      </w:pPr>
      <w:r>
        <w:rPr>
          <w:rFonts w:ascii="Calibri" w:cs="Calibri" w:eastAsia="Calibri" w:hAnsi="Calibri"/>
          <w:b w:val="false"/>
          <w:bCs w:val="false"/>
          <w:i/>
          <w:iCs/>
          <w:color w:val="595959"/>
          <w:sz w:val="22"/>
          <w:szCs w:val="22"/>
        </w:rPr>
        <w:t xml:space="preserve">Cover the answer and test yourself on each number. Reveal and check.</w:t>
      </w:r>
    </w:p>
    <w:p>
      <w:pPr>
        <w:spacing w:after="20" w:before="60"/>
      </w:pPr>
    </w:p>
    <w:p>
      <w:pPr>
        <w:spacing w:after="80" w:before="240"/>
      </w:pPr>
      <w:r>
        <w:rPr>
          <w:rFonts w:ascii="Calibri" w:cs="Calibri" w:eastAsia="Calibri" w:hAnsi="Calibri"/>
          <w:b/>
          <w:bCs/>
          <w:color w:val="2E74B5"/>
          <w:sz w:val="26"/>
          <w:szCs w:val="26"/>
        </w:rPr>
        <w:t xml:space="preserve">Answer Key — Paper 1 — Solar/Carbon</w:t>
      </w:r>
    </w:p>
    <w:p>
      <w:pPr>
        <w:spacing w:after="40" w:before="40"/>
        <w:ind w:left="288"/>
      </w:pPr>
      <w:r>
        <w:rPr>
          <w:rFonts w:ascii="Calibri" w:cs="Calibri" w:eastAsia="Calibri" w:hAnsi="Calibri"/>
          <w:b/>
          <w:bCs/>
          <w:color w:val="2E74B5"/>
          <w:sz w:val="20"/>
          <w:szCs w:val="20"/>
        </w:rPr>
        <w:t xml:space="preserve">1. </w:t>
      </w:r>
      <w:r>
        <w:rPr>
          <w:rFonts w:ascii="Calibri" w:cs="Calibri" w:eastAsia="Calibri" w:hAnsi="Calibri"/>
          <w:sz w:val="20"/>
          <w:szCs w:val="20"/>
        </w:rPr>
        <w:t xml:space="preserve">Rural healthcare in Bangladesh suffers unreliable power supply and heavy fossil-fuel dependence, disrupting clinical services.</w:t>
      </w:r>
    </w:p>
    <w:p>
      <w:pPr>
        <w:spacing w:after="40" w:before="40"/>
        <w:ind w:left="288"/>
      </w:pPr>
      <w:r>
        <w:rPr>
          <w:rFonts w:ascii="Calibri" w:cs="Calibri" w:eastAsia="Calibri" w:hAnsi="Calibri"/>
          <w:b/>
          <w:bCs/>
          <w:color w:val="2E74B5"/>
          <w:sz w:val="20"/>
          <w:szCs w:val="20"/>
        </w:rPr>
        <w:t xml:space="preserve">2. </w:t>
      </w:r>
      <w:r>
        <w:rPr>
          <w:rFonts w:ascii="Calibri" w:cs="Calibri" w:eastAsia="Calibri" w:hAnsi="Calibri"/>
          <w:sz w:val="20"/>
          <w:szCs w:val="20"/>
        </w:rPr>
        <w:t xml:space="preserve">No prior study applied a collective techno-economic analysis integrating carbon credits as revenue for rooftop solar NMS across Bangladesh's rural healthcare sector.</w:t>
      </w:r>
    </w:p>
    <w:p>
      <w:pPr>
        <w:spacing w:after="40" w:before="40"/>
        <w:ind w:left="288"/>
      </w:pPr>
      <w:r>
        <w:rPr>
          <w:rFonts w:ascii="Calibri" w:cs="Calibri" w:eastAsia="Calibri" w:hAnsi="Calibri"/>
          <w:b/>
          <w:bCs/>
          <w:color w:val="2E74B5"/>
          <w:sz w:val="20"/>
          <w:szCs w:val="20"/>
        </w:rPr>
        <w:t xml:space="preserve">3. </w:t>
      </w:r>
      <w:r>
        <w:rPr>
          <w:rFonts w:ascii="Calibri" w:cs="Calibri" w:eastAsia="Calibri" w:hAnsi="Calibri"/>
          <w:sz w:val="20"/>
          <w:szCs w:val="20"/>
        </w:rPr>
        <w:t xml:space="preserve">Three objectives: (1) techno-economic feasibility of rooftop solar NMS; (2) model carbon credit revenue; (3) propose Net Metering Guideline amendments.</w:t>
      </w:r>
    </w:p>
    <w:p>
      <w:pPr>
        <w:spacing w:after="40" w:before="40"/>
        <w:ind w:left="288"/>
      </w:pPr>
      <w:r>
        <w:rPr>
          <w:rFonts w:ascii="Calibri" w:cs="Calibri" w:eastAsia="Calibri" w:hAnsi="Calibri"/>
          <w:b/>
          <w:bCs/>
          <w:color w:val="2E74B5"/>
          <w:sz w:val="20"/>
          <w:szCs w:val="20"/>
        </w:rPr>
        <w:t xml:space="preserve">4. </w:t>
      </w:r>
      <w:r>
        <w:rPr>
          <w:rFonts w:ascii="Calibri" w:cs="Calibri" w:eastAsia="Calibri" w:hAnsi="Calibri"/>
          <w:sz w:val="20"/>
          <w:szCs w:val="20"/>
        </w:rPr>
        <w:t xml:space="preserve">Data from 50 real healthcare facilities: rooftop area, location, monthly energy consumption, sanctioned load; scaled to 5,424 facilities nationally.</w:t>
      </w:r>
    </w:p>
    <w:p>
      <w:pPr>
        <w:spacing w:after="40" w:before="40"/>
        <w:ind w:left="288"/>
      </w:pPr>
      <w:r>
        <w:rPr>
          <w:rFonts w:ascii="Calibri" w:cs="Calibri" w:eastAsia="Calibri" w:hAnsi="Calibri"/>
          <w:b/>
          <w:bCs/>
          <w:color w:val="2E74B5"/>
          <w:sz w:val="20"/>
          <w:szCs w:val="20"/>
        </w:rPr>
        <w:t xml:space="preserve">5. </w:t>
      </w:r>
      <w:r>
        <w:rPr>
          <w:rFonts w:ascii="Calibri" w:cs="Calibri" w:eastAsia="Calibri" w:hAnsi="Calibri"/>
          <w:sz w:val="20"/>
          <w:szCs w:val="20"/>
        </w:rPr>
        <w:t xml:space="preserve">Facilities aggregated into a single unit due to similar load profiles; total area = 70,799 m²; installed capacity = 7.86 MWp AC.</w:t>
      </w:r>
    </w:p>
    <w:p>
      <w:pPr>
        <w:spacing w:after="40" w:before="40"/>
        <w:ind w:left="288"/>
      </w:pPr>
      <w:r>
        <w:rPr>
          <w:rFonts w:ascii="Calibri" w:cs="Calibri" w:eastAsia="Calibri" w:hAnsi="Calibri"/>
          <w:b/>
          <w:bCs/>
          <w:color w:val="2E74B5"/>
          <w:sz w:val="20"/>
          <w:szCs w:val="20"/>
        </w:rPr>
        <w:t xml:space="preserve">6. </w:t>
      </w:r>
      <w:r>
        <w:rPr>
          <w:rFonts w:ascii="Calibri" w:cs="Calibri" w:eastAsia="Calibri" w:hAnsi="Calibri"/>
          <w:sz w:val="20"/>
          <w:szCs w:val="20"/>
        </w:rPr>
        <w:t xml:space="preserve">10-step methodology: collect area → irradiance → azimuth → load → consumption → system sizing → cost-benefit → carbon credit revenue → SREDA verification → sensitivity analysis.</w:t>
      </w:r>
    </w:p>
    <w:p>
      <w:pPr>
        <w:spacing w:after="40" w:before="40"/>
        <w:ind w:left="288"/>
      </w:pPr>
      <w:r>
        <w:rPr>
          <w:rFonts w:ascii="Calibri" w:cs="Calibri" w:eastAsia="Calibri" w:hAnsi="Calibri"/>
          <w:b/>
          <w:bCs/>
          <w:color w:val="2E74B5"/>
          <w:sz w:val="20"/>
          <w:szCs w:val="20"/>
        </w:rPr>
        <w:t xml:space="preserve">7. </w:t>
      </w:r>
      <w:r>
        <w:rPr>
          <w:rFonts w:ascii="Calibri" w:cs="Calibri" w:eastAsia="Calibri" w:hAnsi="Calibri"/>
          <w:sz w:val="20"/>
          <w:szCs w:val="20"/>
        </w:rPr>
        <w:t xml:space="preserve">Metrics: NPV, IRR, Payback, LCOE; GEF = 484 gCO₂/kWh; carbon credit revenue modelled at CAGR scenarios −50% to +5%; initial carbon credit price US$5/unit.</w:t>
      </w:r>
    </w:p>
    <w:p>
      <w:pPr>
        <w:spacing w:after="40" w:before="40"/>
        <w:ind w:left="288"/>
      </w:pPr>
      <w:r>
        <w:rPr>
          <w:rFonts w:ascii="Calibri" w:cs="Calibri" w:eastAsia="Calibri" w:hAnsi="Calibri"/>
          <w:b/>
          <w:bCs/>
          <w:color w:val="2E74B5"/>
          <w:sz w:val="20"/>
          <w:szCs w:val="20"/>
        </w:rPr>
        <w:t xml:space="preserve">8. </w:t>
      </w:r>
      <w:r>
        <w:rPr>
          <w:rFonts w:ascii="Calibri" w:cs="Calibri" w:eastAsia="Calibri" w:hAnsi="Calibri"/>
          <w:sz w:val="20"/>
          <w:szCs w:val="20"/>
        </w:rPr>
        <w:t xml:space="preserve">Novel dual-revenue model: solar electricity revenue + carbon credit sales (CERs/VCUs) — first applied to Bangladesh's rooftop solar NMS healthcare sector.</w:t>
      </w:r>
    </w:p>
    <w:p>
      <w:pPr>
        <w:spacing w:after="40" w:before="40"/>
        <w:ind w:left="288"/>
      </w:pPr>
      <w:r>
        <w:rPr>
          <w:rFonts w:ascii="Calibri" w:cs="Calibri" w:eastAsia="Calibri" w:hAnsi="Calibri"/>
          <w:b/>
          <w:bCs/>
          <w:color w:val="2E74B5"/>
          <w:sz w:val="20"/>
          <w:szCs w:val="20"/>
        </w:rPr>
        <w:t xml:space="preserve">9. </w:t>
      </w:r>
      <w:r>
        <w:rPr>
          <w:rFonts w:ascii="Calibri" w:cs="Calibri" w:eastAsia="Calibri" w:hAnsi="Calibri"/>
          <w:sz w:val="20"/>
          <w:szCs w:val="20"/>
        </w:rPr>
        <w:t xml:space="preserve">Quantitative techno-economic analysis + sensitivity analysis with spider charts; NPV positive across all scenarios including −50% CAGR (US$3.38M).</w:t>
      </w:r>
    </w:p>
    <w:p>
      <w:pPr>
        <w:spacing w:after="40" w:before="40"/>
        <w:ind w:left="288"/>
      </w:pPr>
      <w:r>
        <w:rPr>
          <w:rFonts w:ascii="Calibri" w:cs="Calibri" w:eastAsia="Calibri" w:hAnsi="Calibri"/>
          <w:b/>
          <w:bCs/>
          <w:color w:val="2E74B5"/>
          <w:sz w:val="20"/>
          <w:szCs w:val="20"/>
        </w:rPr>
        <w:t xml:space="preserve">10. </w:t>
      </w:r>
      <w:r>
        <w:rPr>
          <w:rFonts w:ascii="Calibri" w:cs="Calibri" w:eastAsia="Calibri" w:hAnsi="Calibri"/>
          <w:sz w:val="20"/>
          <w:szCs w:val="20"/>
        </w:rPr>
        <w:t xml:space="preserve">171.48 GWh energy generated over 20 years; 82,999.02 MTCO₂e emissions reduced.</w:t>
      </w:r>
    </w:p>
    <w:p>
      <w:pPr>
        <w:spacing w:after="40" w:before="40"/>
        <w:ind w:left="288"/>
      </w:pPr>
      <w:r>
        <w:rPr>
          <w:rFonts w:ascii="Calibri" w:cs="Calibri" w:eastAsia="Calibri" w:hAnsi="Calibri"/>
          <w:b/>
          <w:bCs/>
          <w:color w:val="2E74B5"/>
          <w:sz w:val="20"/>
          <w:szCs w:val="20"/>
        </w:rPr>
        <w:t xml:space="preserve">11. </w:t>
      </w:r>
      <w:r>
        <w:rPr>
          <w:rFonts w:ascii="Calibri" w:cs="Calibri" w:eastAsia="Calibri" w:hAnsi="Calibri"/>
          <w:sz w:val="20"/>
          <w:szCs w:val="20"/>
        </w:rPr>
        <w:t xml:space="preserve">Initial investment US$2.25M; lifecycle total US$3.59M; solar revenue US$6.94M; combined revenue: 1.5% CAGR→$7.319M, 3%→$7.374M, 5%→$7.463M.</w:t>
      </w:r>
    </w:p>
    <w:p>
      <w:pPr>
        <w:spacing w:after="40" w:before="40"/>
        <w:ind w:left="288"/>
      </w:pPr>
      <w:r>
        <w:rPr>
          <w:rFonts w:ascii="Calibri" w:cs="Calibri" w:eastAsia="Calibri" w:hAnsi="Calibri"/>
          <w:b/>
          <w:bCs/>
          <w:color w:val="2E74B5"/>
          <w:sz w:val="20"/>
          <w:szCs w:val="20"/>
        </w:rPr>
        <w:t xml:space="preserve">12. </w:t>
      </w:r>
      <w:r>
        <w:rPr>
          <w:rFonts w:ascii="Calibri" w:cs="Calibri" w:eastAsia="Calibri" w:hAnsi="Calibri"/>
          <w:sz w:val="20"/>
          <w:szCs w:val="20"/>
        </w:rPr>
        <w:t xml:space="preserve">Best case (5% CAGR): NPV US$3.86M, IRR 9.85%, payback 8.35 years, LCOE US$0.0179/kWh (vs. BREB grid tariff US$0.0358/kWh).</w:t>
      </w:r>
    </w:p>
    <w:p>
      <w:pPr>
        <w:spacing w:after="40" w:before="40"/>
        <w:ind w:left="288"/>
      </w:pPr>
      <w:r>
        <w:rPr>
          <w:rFonts w:ascii="Calibri" w:cs="Calibri" w:eastAsia="Calibri" w:hAnsi="Calibri"/>
          <w:b/>
          <w:bCs/>
          <w:color w:val="2E74B5"/>
          <w:sz w:val="20"/>
          <w:szCs w:val="20"/>
        </w:rPr>
        <w:t xml:space="preserve">13. </w:t>
      </w:r>
      <w:r>
        <w:rPr>
          <w:rFonts w:ascii="Calibri" w:cs="Calibri" w:eastAsia="Calibri" w:hAnsi="Calibri"/>
          <w:sz w:val="20"/>
          <w:szCs w:val="20"/>
        </w:rPr>
        <w:t xml:space="preserve">2025 guideline expanded eligibility (three-phase, removed 10 MW cap) but lacks billing control, OPEX support, prosumer incentives; study recommends bonus payments, tax exemptions, carbon trading access.</w:t>
      </w:r>
    </w:p>
    <w:p>
      <w:pPr>
        <w:spacing w:after="40" w:before="40"/>
        <w:ind w:left="288"/>
      </w:pPr>
      <w:r>
        <w:rPr>
          <w:rFonts w:ascii="Calibri" w:cs="Calibri" w:eastAsia="Calibri" w:hAnsi="Calibri"/>
          <w:b/>
          <w:bCs/>
          <w:color w:val="2E74B5"/>
          <w:sz w:val="20"/>
          <w:szCs w:val="20"/>
        </w:rPr>
        <w:t xml:space="preserve">14. </w:t>
      </w:r>
      <w:r>
        <w:rPr>
          <w:rFonts w:ascii="Calibri" w:cs="Calibri" w:eastAsia="Calibri" w:hAnsi="Calibri"/>
          <w:sz w:val="20"/>
          <w:szCs w:val="20"/>
        </w:rPr>
        <w:t xml:space="preserve">No battery storage (cannot operate during outages); 5,424 facilities aggregated as single unit; uniform solar irradiance assumption.</w:t>
      </w:r>
    </w:p>
    <w:p>
      <w:pPr>
        <w:spacing w:after="40" w:before="40"/>
        <w:ind w:left="288"/>
      </w:pPr>
      <w:r>
        <w:rPr>
          <w:rFonts w:ascii="Calibri" w:cs="Calibri" w:eastAsia="Calibri" w:hAnsi="Calibri"/>
          <w:b/>
          <w:bCs/>
          <w:color w:val="2E74B5"/>
          <w:sz w:val="20"/>
          <w:szCs w:val="20"/>
        </w:rPr>
        <w:t xml:space="preserve">15. </w:t>
      </w:r>
      <w:r>
        <w:rPr>
          <w:rFonts w:ascii="Calibri" w:cs="Calibri" w:eastAsia="Calibri" w:hAnsi="Calibri"/>
          <w:sz w:val="20"/>
          <w:szCs w:val="20"/>
        </w:rPr>
        <w:t xml:space="preserve">Positive NPV even at −50% CAGR; LCOE well below grid tariff; carbon credits are financial game-changer; provides policy roadmap for renewable healthcare energy in developing countries.</w:t>
      </w:r>
    </w:p>
    <w:p>
      <w:pPr>
        <w:spacing w:after="20" w:before="60"/>
      </w:pPr>
    </w:p>
    <w:p>
      <w:pPr>
        <w:spacing w:after="80" w:before="240"/>
      </w:pPr>
      <w:r>
        <w:rPr>
          <w:rFonts w:ascii="Calibri" w:cs="Calibri" w:eastAsia="Calibri" w:hAnsi="Calibri"/>
          <w:b/>
          <w:bCs/>
          <w:color w:val="006B75"/>
          <w:sz w:val="26"/>
          <w:szCs w:val="26"/>
        </w:rPr>
        <w:t xml:space="preserve">Answer Key — Paper 2 — CMED Feasibility</w:t>
      </w:r>
    </w:p>
    <w:p>
      <w:pPr>
        <w:spacing w:after="40" w:before="40"/>
        <w:ind w:left="288"/>
      </w:pPr>
      <w:r>
        <w:rPr>
          <w:rFonts w:ascii="Calibri" w:cs="Calibri" w:eastAsia="Calibri" w:hAnsi="Calibri"/>
          <w:b/>
          <w:bCs/>
          <w:color w:val="006B75"/>
          <w:sz w:val="20"/>
          <w:szCs w:val="20"/>
        </w:rPr>
        <w:t xml:space="preserve">1. </w:t>
      </w:r>
      <w:r>
        <w:rPr>
          <w:rFonts w:ascii="Calibri" w:cs="Calibri" w:eastAsia="Calibri" w:hAnsi="Calibri"/>
          <w:sz w:val="20"/>
          <w:szCs w:val="20"/>
        </w:rPr>
        <w:t xml:space="preserve">NCDs (CVD, hypertension, diabetes) cause 67% of deaths in Bangladesh; rural populations lack preventive care; mHealth apps focus on specific conditions, not community NCD prevention.</w:t>
      </w:r>
    </w:p>
    <w:p>
      <w:pPr>
        <w:spacing w:after="40" w:before="40"/>
        <w:ind w:left="288"/>
      </w:pPr>
      <w:r>
        <w:rPr>
          <w:rFonts w:ascii="Calibri" w:cs="Calibri" w:eastAsia="Calibri" w:hAnsi="Calibri"/>
          <w:b/>
          <w:bCs/>
          <w:color w:val="006B75"/>
          <w:sz w:val="20"/>
          <w:szCs w:val="20"/>
        </w:rPr>
        <w:t xml:space="preserve">2. </w:t>
      </w:r>
      <w:r>
        <w:rPr>
          <w:rFonts w:ascii="Calibri" w:cs="Calibri" w:eastAsia="Calibri" w:hAnsi="Calibri"/>
          <w:sz w:val="20"/>
          <w:szCs w:val="20"/>
        </w:rPr>
        <w:t xml:space="preserve">No published evidence on content accuracy, usability, and real-world efficacy of commercially deployed digital health platforms for NCD prevention in rural Bangladesh.</w:t>
      </w:r>
    </w:p>
    <w:p>
      <w:pPr>
        <w:spacing w:after="40" w:before="40"/>
        <w:ind w:left="288"/>
      </w:pPr>
      <w:r>
        <w:rPr>
          <w:rFonts w:ascii="Calibri" w:cs="Calibri" w:eastAsia="Calibri" w:hAnsi="Calibri"/>
          <w:b/>
          <w:bCs/>
          <w:color w:val="006B75"/>
          <w:sz w:val="20"/>
          <w:szCs w:val="20"/>
        </w:rPr>
        <w:t xml:space="preserve">3. </w:t>
      </w:r>
      <w:r>
        <w:rPr>
          <w:rFonts w:ascii="Calibri" w:cs="Calibri" w:eastAsia="Calibri" w:hAnsi="Calibri"/>
          <w:sz w:val="20"/>
          <w:szCs w:val="20"/>
        </w:rPr>
        <w:t xml:space="preserve">Assess content, usability, and efficacy of CMED Health platform for NCD prevention and primary healthcare in rural Bangladesh.</w:t>
      </w:r>
    </w:p>
    <w:p>
      <w:pPr>
        <w:spacing w:after="40" w:before="40"/>
        <w:ind w:left="288"/>
      </w:pPr>
      <w:r>
        <w:rPr>
          <w:rFonts w:ascii="Calibri" w:cs="Calibri" w:eastAsia="Calibri" w:hAnsi="Calibri"/>
          <w:b/>
          <w:bCs/>
          <w:color w:val="006B75"/>
          <w:sz w:val="20"/>
          <w:szCs w:val="20"/>
        </w:rPr>
        <w:t xml:space="preserve">4. </w:t>
      </w:r>
      <w:r>
        <w:rPr>
          <w:rFonts w:ascii="Calibri" w:cs="Calibri" w:eastAsia="Calibri" w:hAnsi="Calibri"/>
          <w:sz w:val="20"/>
          <w:szCs w:val="20"/>
        </w:rPr>
        <w:t xml:space="preserve">CMED: IoT-enabled, AI-driven, cloud-based platform using smart sensors (BP, glucose, SpO₂, BMI, pulse, temperature) + CDSS + mobile app for real-time health assessment and advice.</w:t>
      </w:r>
    </w:p>
    <w:p>
      <w:pPr>
        <w:spacing w:after="40" w:before="40"/>
        <w:ind w:left="288"/>
      </w:pPr>
      <w:r>
        <w:rPr>
          <w:rFonts w:ascii="Calibri" w:cs="Calibri" w:eastAsia="Calibri" w:hAnsi="Calibri"/>
          <w:b/>
          <w:bCs/>
          <w:color w:val="006B75"/>
          <w:sz w:val="20"/>
          <w:szCs w:val="20"/>
        </w:rPr>
        <w:t xml:space="preserve">5. </w:t>
      </w:r>
      <w:r>
        <w:rPr>
          <w:rFonts w:ascii="Calibri" w:cs="Calibri" w:eastAsia="Calibri" w:hAnsi="Calibri"/>
          <w:sz w:val="20"/>
          <w:szCs w:val="20"/>
        </w:rPr>
        <w:t xml:space="preserve">Quantitative: 393 service receivers (semi-structured questionnaire); qualitative: KII + 4 FGDs; health screening data from &gt;7,000 households in 21 villages over 6 months.</w:t>
      </w:r>
    </w:p>
    <w:p>
      <w:pPr>
        <w:spacing w:after="40" w:before="40"/>
        <w:ind w:left="288"/>
      </w:pPr>
      <w:r>
        <w:rPr>
          <w:rFonts w:ascii="Calibri" w:cs="Calibri" w:eastAsia="Calibri" w:hAnsi="Calibri"/>
          <w:b/>
          <w:bCs/>
          <w:color w:val="006B75"/>
          <w:sz w:val="20"/>
          <w:szCs w:val="20"/>
        </w:rPr>
        <w:t xml:space="preserve">6. </w:t>
      </w:r>
      <w:r>
        <w:rPr>
          <w:rFonts w:ascii="Calibri" w:cs="Calibri" w:eastAsia="Calibri" w:hAnsi="Calibri"/>
          <w:sz w:val="20"/>
          <w:szCs w:val="20"/>
        </w:rPr>
        <w:t xml:space="preserve">Action Research Methodology; mixed-methods (quantitative + qualitative + participant observation); 4 evaluation components.</w:t>
      </w:r>
    </w:p>
    <w:p>
      <w:pPr>
        <w:spacing w:after="40" w:before="40"/>
        <w:ind w:left="288"/>
      </w:pPr>
      <w:r>
        <w:rPr>
          <w:rFonts w:ascii="Calibri" w:cs="Calibri" w:eastAsia="Calibri" w:hAnsi="Calibri"/>
          <w:b/>
          <w:bCs/>
          <w:color w:val="006B75"/>
          <w:sz w:val="20"/>
          <w:szCs w:val="20"/>
        </w:rPr>
        <w:t xml:space="preserve">7. </w:t>
      </w:r>
      <w:r>
        <w:rPr>
          <w:rFonts w:ascii="Calibri" w:cs="Calibri" w:eastAsia="Calibri" w:hAnsi="Calibri"/>
          <w:sz w:val="20"/>
          <w:szCs w:val="20"/>
        </w:rPr>
        <w:t xml:space="preserve">CDSS content compared with National Protocol on Diabetes and Hypertension; validated by medical professionals and expert workshop at policy level.</w:t>
      </w:r>
    </w:p>
    <w:p>
      <w:pPr>
        <w:spacing w:after="40" w:before="40"/>
        <w:ind w:left="288"/>
      </w:pPr>
      <w:r>
        <w:rPr>
          <w:rFonts w:ascii="Calibri" w:cs="Calibri" w:eastAsia="Calibri" w:hAnsi="Calibri"/>
          <w:b/>
          <w:bCs/>
          <w:color w:val="006B75"/>
          <w:sz w:val="20"/>
          <w:szCs w:val="20"/>
        </w:rPr>
        <w:t xml:space="preserve">8. </w:t>
      </w:r>
      <w:r>
        <w:rPr>
          <w:rFonts w:ascii="Calibri" w:cs="Calibri" w:eastAsia="Calibri" w:hAnsi="Calibri"/>
          <w:sz w:val="20"/>
          <w:szCs w:val="20"/>
        </w:rPr>
        <w:t xml:space="preserve">Testing-and-fixing usability assessment with field providers; all respondents reported positive feedback; smart devices more effective than manual methods.</w:t>
      </w:r>
    </w:p>
    <w:p>
      <w:pPr>
        <w:spacing w:after="40" w:before="40"/>
        <w:ind w:left="288"/>
      </w:pPr>
      <w:r>
        <w:rPr>
          <w:rFonts w:ascii="Calibri" w:cs="Calibri" w:eastAsia="Calibri" w:hAnsi="Calibri"/>
          <w:b/>
          <w:bCs/>
          <w:color w:val="006B75"/>
          <w:sz w:val="20"/>
          <w:szCs w:val="20"/>
        </w:rPr>
        <w:t xml:space="preserve">9. </w:t>
      </w:r>
      <w:r>
        <w:rPr>
          <w:rFonts w:ascii="Calibri" w:cs="Calibri" w:eastAsia="Calibri" w:hAnsi="Calibri"/>
          <w:sz w:val="20"/>
          <w:szCs w:val="20"/>
        </w:rPr>
        <w:t xml:space="preserve">17,907 adults screened out of 32,122; SpO₂=38,400 (highest); BP=36,326; BMI=34,721; 99.5% acceptance rate.</w:t>
      </w:r>
    </w:p>
    <w:p>
      <w:pPr>
        <w:spacing w:after="40" w:before="40"/>
        <w:ind w:left="288"/>
      </w:pPr>
      <w:r>
        <w:rPr>
          <w:rFonts w:ascii="Calibri" w:cs="Calibri" w:eastAsia="Calibri" w:hAnsi="Calibri"/>
          <w:b/>
          <w:bCs/>
          <w:color w:val="006B75"/>
          <w:sz w:val="20"/>
          <w:szCs w:val="20"/>
        </w:rPr>
        <w:t xml:space="preserve">10. </w:t>
      </w:r>
      <w:r>
        <w:rPr>
          <w:rFonts w:ascii="Calibri" w:cs="Calibri" w:eastAsia="Calibri" w:hAnsi="Calibri"/>
          <w:sz w:val="20"/>
          <w:szCs w:val="20"/>
        </w:rPr>
        <w:t xml:space="preserve">Pre-screening: 2.7% knew they had diabetes → 15.8% found post-screening; 6.5% knew about hypertension → 11.5% identified.</w:t>
      </w:r>
    </w:p>
    <w:p>
      <w:pPr>
        <w:spacing w:after="40" w:before="40"/>
        <w:ind w:left="288"/>
      </w:pPr>
      <w:r>
        <w:rPr>
          <w:rFonts w:ascii="Calibri" w:cs="Calibri" w:eastAsia="Calibri" w:hAnsi="Calibri"/>
          <w:b/>
          <w:bCs/>
          <w:color w:val="006B75"/>
          <w:sz w:val="20"/>
          <w:szCs w:val="20"/>
        </w:rPr>
        <w:t xml:space="preserve">11. </w:t>
      </w:r>
      <w:r>
        <w:rPr>
          <w:rFonts w:ascii="Calibri" w:cs="Calibri" w:eastAsia="Calibri" w:hAnsi="Calibri"/>
          <w:sz w:val="20"/>
          <w:szCs w:val="20"/>
        </w:rPr>
        <w:t xml:space="preserve">Mixed-methods: quantitative (descriptive statistics) + qualitative (FGD/KII transcripts as direct speech-mark quotes), triangulated via Action Research.</w:t>
      </w:r>
    </w:p>
    <w:p>
      <w:pPr>
        <w:spacing w:after="40" w:before="40"/>
        <w:ind w:left="288"/>
      </w:pPr>
      <w:r>
        <w:rPr>
          <w:rFonts w:ascii="Calibri" w:cs="Calibri" w:eastAsia="Calibri" w:hAnsi="Calibri"/>
          <w:b/>
          <w:bCs/>
          <w:color w:val="006B75"/>
          <w:sz w:val="20"/>
          <w:szCs w:val="20"/>
        </w:rPr>
        <w:t xml:space="preserve">12. </w:t>
      </w:r>
      <w:r>
        <w:rPr>
          <w:rFonts w:ascii="Calibri" w:cs="Calibri" w:eastAsia="Calibri" w:hAnsi="Calibri"/>
          <w:sz w:val="20"/>
          <w:szCs w:val="20"/>
        </w:rPr>
        <w:t xml:space="preserve">Health workers: CMED enabled accurate advice and earned community trust. Villagers: visible on-screen results increased trust; CDSS advice changed health behaviour (e.g., started walking).</w:t>
      </w:r>
    </w:p>
    <w:p>
      <w:pPr>
        <w:spacing w:after="40" w:before="40"/>
        <w:ind w:left="288"/>
      </w:pPr>
      <w:r>
        <w:rPr>
          <w:rFonts w:ascii="Calibri" w:cs="Calibri" w:eastAsia="Calibri" w:hAnsi="Calibri"/>
          <w:b/>
          <w:bCs/>
          <w:color w:val="006B75"/>
          <w:sz w:val="20"/>
          <w:szCs w:val="20"/>
        </w:rPr>
        <w:t xml:space="preserve">13. </w:t>
      </w:r>
      <w:r>
        <w:rPr>
          <w:rFonts w:ascii="Calibri" w:cs="Calibri" w:eastAsia="Calibri" w:hAnsi="Calibri"/>
          <w:sz w:val="20"/>
          <w:szCs w:val="20"/>
        </w:rPr>
        <w:t xml:space="preserve">Seven advantages: supervision, data usability for research, population dashboard, simultaneous data collection, offline functionality, reduced workload, increased NCD awareness.</w:t>
      </w:r>
    </w:p>
    <w:p>
      <w:pPr>
        <w:spacing w:after="40" w:before="40"/>
        <w:ind w:left="288"/>
      </w:pPr>
      <w:r>
        <w:rPr>
          <w:rFonts w:ascii="Calibri" w:cs="Calibri" w:eastAsia="Calibri" w:hAnsi="Calibri"/>
          <w:b/>
          <w:bCs/>
          <w:color w:val="006B75"/>
          <w:sz w:val="20"/>
          <w:szCs w:val="20"/>
        </w:rPr>
        <w:t xml:space="preserve">14. </w:t>
      </w:r>
      <w:r>
        <w:rPr>
          <w:rFonts w:ascii="Calibri" w:cs="Calibri" w:eastAsia="Calibri" w:hAnsi="Calibri"/>
          <w:sz w:val="20"/>
          <w:szCs w:val="20"/>
        </w:rPr>
        <w:t xml:space="preserve">Short 6-month pilot limits behaviour-change measurement; limited geographic area; not independently validated via RCT.</w:t>
      </w:r>
    </w:p>
    <w:p>
      <w:pPr>
        <w:spacing w:after="40" w:before="40"/>
        <w:ind w:left="288"/>
      </w:pPr>
      <w:r>
        <w:rPr>
          <w:rFonts w:ascii="Calibri" w:cs="Calibri" w:eastAsia="Calibri" w:hAnsi="Calibri"/>
          <w:b/>
          <w:bCs/>
          <w:color w:val="006B75"/>
          <w:sz w:val="20"/>
          <w:szCs w:val="20"/>
        </w:rPr>
        <w:t xml:space="preserve">15. </w:t>
      </w:r>
      <w:r>
        <w:rPr>
          <w:rFonts w:ascii="Calibri" w:cs="Calibri" w:eastAsia="Calibri" w:hAnsi="Calibri"/>
          <w:sz w:val="20"/>
          <w:szCs w:val="20"/>
        </w:rPr>
        <w:t xml:space="preserve">CMED feasible for rural/urban communities; recommended as cost-effective primary prevention model for NCDs in low-resource settings.</w:t>
      </w:r>
    </w:p>
    <w:p>
      <w:pPr>
        <w:spacing w:after="20" w:before="60"/>
      </w:pPr>
    </w:p>
    <w:p>
      <w:pPr>
        <w:spacing w:after="80" w:before="240"/>
      </w:pPr>
      <w:r>
        <w:rPr>
          <w:rFonts w:ascii="Calibri" w:cs="Calibri" w:eastAsia="Calibri" w:hAnsi="Calibri"/>
          <w:b/>
          <w:bCs/>
          <w:color w:val="C55A11"/>
          <w:sz w:val="26"/>
          <w:szCs w:val="26"/>
        </w:rPr>
        <w:t xml:space="preserve">Answer Key — Paper 3 — SuSastho.AI</w:t>
      </w:r>
    </w:p>
    <w:p>
      <w:pPr>
        <w:spacing w:after="40" w:before="40"/>
        <w:ind w:left="288"/>
      </w:pPr>
      <w:r>
        <w:rPr>
          <w:rFonts w:ascii="Calibri" w:cs="Calibri" w:eastAsia="Calibri" w:hAnsi="Calibri"/>
          <w:b/>
          <w:bCs/>
          <w:color w:val="C55A11"/>
          <w:sz w:val="20"/>
          <w:szCs w:val="20"/>
        </w:rPr>
        <w:t xml:space="preserve">1. </w:t>
      </w:r>
      <w:r>
        <w:rPr>
          <w:rFonts w:ascii="Calibri" w:cs="Calibri" w:eastAsia="Calibri" w:hAnsi="Calibri"/>
          <w:sz w:val="20"/>
          <w:szCs w:val="20"/>
        </w:rPr>
        <w:t xml:space="preserve">63% of Bangladeshi adolescents lack SRH services; only 13% receive mental health support; stigma and poverty prevent SRMH access, leading to high STI and unintended pregnancy rates.</w:t>
      </w:r>
    </w:p>
    <w:p>
      <w:pPr>
        <w:spacing w:after="40" w:before="40"/>
        <w:ind w:left="288"/>
      </w:pPr>
      <w:r>
        <w:rPr>
          <w:rFonts w:ascii="Calibri" w:cs="Calibri" w:eastAsia="Calibri" w:hAnsi="Calibri"/>
          <w:b/>
          <w:bCs/>
          <w:color w:val="C55A11"/>
          <w:sz w:val="20"/>
          <w:szCs w:val="20"/>
        </w:rPr>
        <w:t xml:space="preserve">2. </w:t>
      </w:r>
      <w:r>
        <w:rPr>
          <w:rFonts w:ascii="Calibri" w:cs="Calibri" w:eastAsia="Calibri" w:hAnsi="Calibri"/>
          <w:sz w:val="20"/>
          <w:szCs w:val="20"/>
        </w:rPr>
        <w:t xml:space="preserve">No voice-activated, LLM-based, evidence-grounded, Bengali-language copilot for adolescent SRMH; existing bots used predefined rules lacking personalisation and voice interaction.</w:t>
      </w:r>
    </w:p>
    <w:p>
      <w:pPr>
        <w:spacing w:after="40" w:before="40"/>
        <w:ind w:left="288"/>
      </w:pPr>
      <w:r>
        <w:rPr>
          <w:rFonts w:ascii="Calibri" w:cs="Calibri" w:eastAsia="Calibri" w:hAnsi="Calibri"/>
          <w:b/>
          <w:bCs/>
          <w:color w:val="C55A11"/>
          <w:sz w:val="20"/>
          <w:szCs w:val="20"/>
        </w:rPr>
        <w:t xml:space="preserve">3. </w:t>
      </w:r>
      <w:r>
        <w:rPr>
          <w:rFonts w:ascii="Calibri" w:cs="Calibri" w:eastAsia="Calibri" w:hAnsi="Calibri"/>
          <w:sz w:val="20"/>
          <w:szCs w:val="20"/>
        </w:rPr>
        <w:t xml:space="preserve">Develop and evaluate SuSastho.AI: a multimodal, evidence-based, voice-text copilot for Bangladeshi adolescent SRMH in Bengali and English.</w:t>
      </w:r>
    </w:p>
    <w:p>
      <w:pPr>
        <w:spacing w:after="40" w:before="40"/>
        <w:ind w:left="288"/>
      </w:pPr>
      <w:r>
        <w:rPr>
          <w:rFonts w:ascii="Calibri" w:cs="Calibri" w:eastAsia="Calibri" w:hAnsi="Calibri"/>
          <w:b/>
          <w:bCs/>
          <w:color w:val="C55A11"/>
          <w:sz w:val="20"/>
          <w:szCs w:val="20"/>
        </w:rPr>
        <w:t xml:space="preserve">4. </w:t>
      </w:r>
      <w:r>
        <w:rPr>
          <w:rFonts w:ascii="Calibri" w:cs="Calibri" w:eastAsia="Calibri" w:hAnsi="Calibri"/>
          <w:sz w:val="20"/>
          <w:szCs w:val="20"/>
        </w:rPr>
        <w:t xml:space="preserve">KB: 2,063 medical documents across 20 SRMH categories; fine-tuning dataset: 8,614 examples (5,396 Task-QG + 3,218 Task-AG); pilot: 428 questions from 32 adolescent health professionals.</w:t>
      </w:r>
    </w:p>
    <w:p>
      <w:pPr>
        <w:spacing w:after="40" w:before="40"/>
        <w:ind w:left="288"/>
      </w:pPr>
      <w:r>
        <w:rPr>
          <w:rFonts w:ascii="Calibri" w:cs="Calibri" w:eastAsia="Calibri" w:hAnsi="Calibri"/>
          <w:b/>
          <w:bCs/>
          <w:color w:val="C55A11"/>
          <w:sz w:val="20"/>
          <w:szCs w:val="20"/>
        </w:rPr>
        <w:t xml:space="preserve">5. </w:t>
      </w:r>
      <w:r>
        <w:rPr>
          <w:rFonts w:ascii="Calibri" w:cs="Calibri" w:eastAsia="Calibri" w:hAnsi="Calibri"/>
          <w:sz w:val="20"/>
          <w:szCs w:val="20"/>
        </w:rPr>
        <w:t xml:space="preserve">General datasets lack Bangladeshi adolescent colloquial/Banglish patterns; culturally grounded task-specific dataset ensures accurate intent extraction for indirect, locally phrased queries.</w:t>
      </w:r>
    </w:p>
    <w:p>
      <w:pPr>
        <w:spacing w:after="40" w:before="40"/>
        <w:ind w:left="288"/>
      </w:pPr>
      <w:r>
        <w:rPr>
          <w:rFonts w:ascii="Calibri" w:cs="Calibri" w:eastAsia="Calibri" w:hAnsi="Calibri"/>
          <w:b/>
          <w:bCs/>
          <w:color w:val="C55A11"/>
          <w:sz w:val="20"/>
          <w:szCs w:val="20"/>
        </w:rPr>
        <w:t xml:space="preserve">6. </w:t>
      </w:r>
      <w:r>
        <w:rPr>
          <w:rFonts w:ascii="Calibri" w:cs="Calibri" w:eastAsia="Calibri" w:hAnsi="Calibri"/>
          <w:sz w:val="20"/>
          <w:szCs w:val="20"/>
        </w:rPr>
        <w:t xml:space="preserve">4-step EBM protocol (formulate question → find evidence → assess evidence → apply evidence) + CoT prompting + RAG for evidence retrieval.</w:t>
      </w:r>
    </w:p>
    <w:p>
      <w:pPr>
        <w:spacing w:after="40" w:before="40"/>
        <w:ind w:left="288"/>
      </w:pPr>
      <w:r>
        <w:rPr>
          <w:rFonts w:ascii="Calibri" w:cs="Calibri" w:eastAsia="Calibri" w:hAnsi="Calibri"/>
          <w:b/>
          <w:bCs/>
          <w:color w:val="C55A11"/>
          <w:sz w:val="20"/>
          <w:szCs w:val="20"/>
        </w:rPr>
        <w:t xml:space="preserve">7. </w:t>
      </w:r>
      <w:r>
        <w:rPr>
          <w:rFonts w:ascii="Calibri" w:cs="Calibri" w:eastAsia="Calibri" w:hAnsi="Calibri"/>
          <w:sz w:val="20"/>
          <w:szCs w:val="20"/>
        </w:rPr>
        <w:t xml:space="preserve">Spring Boot backend; fine-tuned Llama 3 8B for Task-QG and Task-AG; Multilingual E5 for retrieval; Wav2Vec + 5-gram model for speech recognition; VITS for speech synthesis; Flutter frontend.</w:t>
      </w:r>
    </w:p>
    <w:p>
      <w:pPr>
        <w:spacing w:after="40" w:before="40"/>
        <w:ind w:left="288"/>
      </w:pPr>
      <w:r>
        <w:rPr>
          <w:rFonts w:ascii="Calibri" w:cs="Calibri" w:eastAsia="Calibri" w:hAnsi="Calibri"/>
          <w:b/>
          <w:bCs/>
          <w:color w:val="C55A11"/>
          <w:sz w:val="20"/>
          <w:szCs w:val="20"/>
        </w:rPr>
        <w:t xml:space="preserve">8. </w:t>
      </w:r>
      <w:r>
        <w:rPr>
          <w:rFonts w:ascii="Calibri" w:cs="Calibri" w:eastAsia="Calibri" w:hAnsi="Calibri"/>
          <w:sz w:val="20"/>
          <w:szCs w:val="20"/>
        </w:rPr>
        <w:t xml:space="preserve">Evolved from RASA/Chatterbot → Bloom + RAG → Llama 3 8B (final); Llama 3's enhanced Bengali comprehension was the decisive improvement.</w:t>
      </w:r>
    </w:p>
    <w:p>
      <w:pPr>
        <w:spacing w:after="40" w:before="40"/>
        <w:ind w:left="288"/>
      </w:pPr>
      <w:r>
        <w:rPr>
          <w:rFonts w:ascii="Calibri" w:cs="Calibri" w:eastAsia="Calibri" w:hAnsi="Calibri"/>
          <w:b/>
          <w:bCs/>
          <w:color w:val="C55A11"/>
          <w:sz w:val="20"/>
          <w:szCs w:val="20"/>
        </w:rPr>
        <w:t xml:space="preserve">9. </w:t>
      </w:r>
      <w:r>
        <w:rPr>
          <w:rFonts w:ascii="Calibri" w:cs="Calibri" w:eastAsia="Calibri" w:hAnsi="Calibri"/>
          <w:sz w:val="20"/>
          <w:szCs w:val="20"/>
        </w:rPr>
        <w:t xml:space="preserve">Human evaluation by SRMH experts (accuracy/factual-consistency/relevance checklist); 32 pilot participants; compared with RAG + Llama 3 8B and baseline Llama 3 8B.</w:t>
      </w:r>
    </w:p>
    <w:p>
      <w:pPr>
        <w:spacing w:after="40" w:before="40"/>
        <w:ind w:left="288"/>
      </w:pPr>
      <w:r>
        <w:rPr>
          <w:rFonts w:ascii="Calibri" w:cs="Calibri" w:eastAsia="Calibri" w:hAnsi="Calibri"/>
          <w:b/>
          <w:bCs/>
          <w:color w:val="C55A11"/>
          <w:sz w:val="20"/>
          <w:szCs w:val="20"/>
        </w:rPr>
        <w:t xml:space="preserve">10. </w:t>
      </w:r>
      <w:r>
        <w:rPr>
          <w:rFonts w:ascii="Calibri" w:cs="Calibri" w:eastAsia="Calibri" w:hAnsi="Calibri"/>
          <w:sz w:val="20"/>
          <w:szCs w:val="20"/>
        </w:rPr>
        <w:t xml:space="preserve">86.68% correct overall; 61.9% correctness in comparative test vs. RAG (40.4%) and Llama 3 (45.8%); reduced incorrect responses by 26.9% vs. RAG.</w:t>
      </w:r>
    </w:p>
    <w:p>
      <w:pPr>
        <w:spacing w:after="40" w:before="40"/>
        <w:ind w:left="288"/>
      </w:pPr>
      <w:r>
        <w:rPr>
          <w:rFonts w:ascii="Calibri" w:cs="Calibri" w:eastAsia="Calibri" w:hAnsi="Calibri"/>
          <w:b/>
          <w:bCs/>
          <w:color w:val="C55A11"/>
          <w:sz w:val="20"/>
          <w:szCs w:val="20"/>
        </w:rPr>
        <w:t xml:space="preserve">11. </w:t>
      </w:r>
      <w:r>
        <w:rPr>
          <w:rFonts w:ascii="Calibri" w:cs="Calibri" w:eastAsia="Calibri" w:hAnsi="Calibri"/>
          <w:sz w:val="20"/>
          <w:szCs w:val="20"/>
        </w:rPr>
        <w:t xml:space="preserve">87% found answers; 90.7% found answers relevant; overall satisfaction 62.5%; 25% felt responses robotic; 21.9% felt copilot did not fully understand their question.</w:t>
      </w:r>
    </w:p>
    <w:p>
      <w:pPr>
        <w:spacing w:after="40" w:before="40"/>
        <w:ind w:left="288"/>
      </w:pPr>
      <w:r>
        <w:rPr>
          <w:rFonts w:ascii="Calibri" w:cs="Calibri" w:eastAsia="Calibri" w:hAnsi="Calibri"/>
          <w:b/>
          <w:bCs/>
          <w:color w:val="C55A11"/>
          <w:sz w:val="20"/>
          <w:szCs w:val="20"/>
        </w:rPr>
        <w:t xml:space="preserve">12. </w:t>
      </w:r>
      <w:r>
        <w:rPr>
          <w:rFonts w:ascii="Calibri" w:cs="Calibri" w:eastAsia="Calibri" w:hAnsi="Calibri"/>
          <w:sz w:val="20"/>
          <w:szCs w:val="20"/>
        </w:rPr>
        <w:t xml:space="preserve">Wrong answers in Banglish: 7/8 fictitious cases were in Banglish; system correctly refused to answer when KB lacked relevant info (100% refusal rate = intended safety behaviour).</w:t>
      </w:r>
    </w:p>
    <w:p>
      <w:pPr>
        <w:spacing w:after="40" w:before="40"/>
        <w:ind w:left="288"/>
      </w:pPr>
      <w:r>
        <w:rPr>
          <w:rFonts w:ascii="Calibri" w:cs="Calibri" w:eastAsia="Calibri" w:hAnsi="Calibri"/>
          <w:b/>
          <w:bCs/>
          <w:color w:val="C55A11"/>
          <w:sz w:val="20"/>
          <w:szCs w:val="20"/>
        </w:rPr>
        <w:t xml:space="preserve">13. </w:t>
      </w:r>
      <w:r>
        <w:rPr>
          <w:rFonts w:ascii="Calibri" w:cs="Calibri" w:eastAsia="Calibri" w:hAnsi="Calibri"/>
          <w:sz w:val="20"/>
          <w:szCs w:val="20"/>
        </w:rPr>
        <w:t xml:space="preserve">Only 32 pilot participants (health professionals, not actual adolescents); human evaluation labour-intensive; Banglish and indirect language challenges; KB completeness limits.</w:t>
      </w:r>
    </w:p>
    <w:p>
      <w:pPr>
        <w:spacing w:after="40" w:before="40"/>
        <w:ind w:left="288"/>
      </w:pPr>
      <w:r>
        <w:rPr>
          <w:rFonts w:ascii="Calibri" w:cs="Calibri" w:eastAsia="Calibri" w:hAnsi="Calibri"/>
          <w:b/>
          <w:bCs/>
          <w:color w:val="C55A11"/>
          <w:sz w:val="20"/>
          <w:szCs w:val="20"/>
        </w:rPr>
        <w:t xml:space="preserve">14. </w:t>
      </w:r>
      <w:r>
        <w:rPr>
          <w:rFonts w:ascii="Calibri" w:cs="Calibri" w:eastAsia="Calibri" w:hAnsi="Calibri"/>
          <w:sz w:val="20"/>
          <w:szCs w:val="20"/>
        </w:rPr>
        <w:t xml:space="preserve">BMRC and IREB ethical approval; informed consent; data anonymised; low-confidence blocking; disclaimers against replacing professional medical advice.</w:t>
      </w:r>
    </w:p>
    <w:p>
      <w:pPr>
        <w:spacing w:after="40" w:before="40"/>
        <w:ind w:left="288"/>
      </w:pPr>
      <w:r>
        <w:rPr>
          <w:rFonts w:ascii="Calibri" w:cs="Calibri" w:eastAsia="Calibri" w:hAnsi="Calibri"/>
          <w:b/>
          <w:bCs/>
          <w:color w:val="C55A11"/>
          <w:sz w:val="20"/>
          <w:szCs w:val="20"/>
        </w:rPr>
        <w:t xml:space="preserve">15. </w:t>
      </w:r>
      <w:r>
        <w:rPr>
          <w:rFonts w:ascii="Calibri" w:cs="Calibri" w:eastAsia="Calibri" w:hAnsi="Calibri"/>
          <w:sz w:val="20"/>
          <w:szCs w:val="20"/>
        </w:rPr>
        <w:t xml:space="preserve">Potential to serve 36M Bangladeshi adolescents; future: newborn/elderly expansion, RLHF/DPO, symptom checker, clinical SOPs; replicable LLM framework for low-resource health copilots globally.</w:t>
      </w:r>
    </w:p>
    <w:p>
      <w:pPr>
        <w:spacing w:after="20" w:before="60"/>
      </w:pPr>
    </w:p>
    <w:p>
      <w:pPr>
        <w:spacing w:after="80" w:before="240"/>
      </w:pPr>
      <w:r>
        <w:rPr>
          <w:rFonts w:ascii="Calibri" w:cs="Calibri" w:eastAsia="Calibri" w:hAnsi="Calibri"/>
          <w:b/>
          <w:bCs/>
          <w:color w:val="7030A0"/>
          <w:sz w:val="26"/>
          <w:szCs w:val="26"/>
        </w:rPr>
        <w:t xml:space="preserve">Answer Key — Paper 4 — IGP/CHW Efficacy</w:t>
      </w:r>
    </w:p>
    <w:p>
      <w:pPr>
        <w:spacing w:after="40" w:before="40"/>
        <w:ind w:left="288"/>
      </w:pPr>
      <w:r>
        <w:rPr>
          <w:rFonts w:ascii="Calibri" w:cs="Calibri" w:eastAsia="Calibri" w:hAnsi="Calibri"/>
          <w:b/>
          <w:bCs/>
          <w:color w:val="7030A0"/>
          <w:sz w:val="20"/>
          <w:szCs w:val="20"/>
        </w:rPr>
        <w:t xml:space="preserve">1. </w:t>
      </w:r>
      <w:r>
        <w:rPr>
          <w:rFonts w:ascii="Calibri" w:cs="Calibri" w:eastAsia="Calibri" w:hAnsi="Calibri"/>
          <w:sz w:val="20"/>
          <w:szCs w:val="20"/>
        </w:rPr>
        <w:t xml:space="preserve">Rural Bangladesh lacks primary healthcare due to professional shortages, low health literacy, and self-medication; 67% of deaths from NCDs; early detection critically underdeveloped.</w:t>
      </w:r>
    </w:p>
    <w:p>
      <w:pPr>
        <w:spacing w:after="40" w:before="40"/>
        <w:ind w:left="288"/>
      </w:pPr>
      <w:r>
        <w:rPr>
          <w:rFonts w:ascii="Calibri" w:cs="Calibri" w:eastAsia="Calibri" w:hAnsi="Calibri"/>
          <w:b/>
          <w:bCs/>
          <w:color w:val="7030A0"/>
          <w:sz w:val="20"/>
          <w:szCs w:val="20"/>
        </w:rPr>
        <w:t xml:space="preserve">2. </w:t>
      </w:r>
      <w:r>
        <w:rPr>
          <w:rFonts w:ascii="Calibri" w:cs="Calibri" w:eastAsia="Calibri" w:hAnsi="Calibri"/>
          <w:sz w:val="20"/>
          <w:szCs w:val="20"/>
        </w:rPr>
        <w:t xml:space="preserve">No prior longitudinal study evaluated actual health outcome changes across multiple time periods for the CMED AI+CHW digital health model in rural Bangladesh.</w:t>
      </w:r>
    </w:p>
    <w:p>
      <w:pPr>
        <w:spacing w:after="40" w:before="40"/>
        <w:ind w:left="288"/>
      </w:pPr>
      <w:r>
        <w:rPr>
          <w:rFonts w:ascii="Calibri" w:cs="Calibri" w:eastAsia="Calibri" w:hAnsi="Calibri"/>
          <w:b/>
          <w:bCs/>
          <w:color w:val="7030A0"/>
          <w:sz w:val="20"/>
          <w:szCs w:val="20"/>
        </w:rPr>
        <w:t xml:space="preserve">3. </w:t>
      </w:r>
      <w:r>
        <w:rPr>
          <w:rFonts w:ascii="Calibri" w:cs="Calibri" w:eastAsia="Calibri" w:hAnsi="Calibri"/>
          <w:sz w:val="20"/>
          <w:szCs w:val="20"/>
        </w:rPr>
        <w:t xml:space="preserve">Evaluate efficacy of CMED CHW+AI model in improving rural primary health outcomes (BMI, BP, blood glucose, MUAC) over 18 months using repeated cross-sectional design.</w:t>
      </w:r>
    </w:p>
    <w:p>
      <w:pPr>
        <w:spacing w:after="40" w:before="40"/>
        <w:ind w:left="288"/>
      </w:pPr>
      <w:r>
        <w:rPr>
          <w:rFonts w:ascii="Calibri" w:cs="Calibri" w:eastAsia="Calibri" w:hAnsi="Calibri"/>
          <w:b/>
          <w:bCs/>
          <w:color w:val="7030A0"/>
          <w:sz w:val="20"/>
          <w:szCs w:val="20"/>
        </w:rPr>
        <w:t xml:space="preserve">4. </w:t>
      </w:r>
      <w:r>
        <w:rPr>
          <w:rFonts w:ascii="Calibri" w:cs="Calibri" w:eastAsia="Calibri" w:hAnsi="Calibri"/>
          <w:sz w:val="20"/>
          <w:szCs w:val="20"/>
        </w:rPr>
        <w:t xml:space="preserve">Repeated cross-sectional observational study; three six-month periods (Jul–Dec 2018; Jan–Jun 2019; Jul–Dec 2019); bottom-up household-to-upper-level approach.</w:t>
      </w:r>
    </w:p>
    <w:p>
      <w:pPr>
        <w:spacing w:after="40" w:before="40"/>
        <w:ind w:left="288"/>
      </w:pPr>
      <w:r>
        <w:rPr>
          <w:rFonts w:ascii="Calibri" w:cs="Calibri" w:eastAsia="Calibri" w:hAnsi="Calibri"/>
          <w:b/>
          <w:bCs/>
          <w:color w:val="7030A0"/>
          <w:sz w:val="20"/>
          <w:szCs w:val="20"/>
        </w:rPr>
        <w:t xml:space="preserve">5. </w:t>
      </w:r>
      <w:r>
        <w:rPr>
          <w:rFonts w:ascii="Calibri" w:cs="Calibri" w:eastAsia="Calibri" w:hAnsi="Calibri"/>
          <w:sz w:val="20"/>
          <w:szCs w:val="20"/>
        </w:rPr>
        <w:t xml:space="preserve">32,581 individuals, 7,090 households, Somvag Union; CHWs used 'Enriched Sastho' app + smart health kit; data in AWS MySQL; analysed via Python/Google Colab.</w:t>
      </w:r>
    </w:p>
    <w:p>
      <w:pPr>
        <w:spacing w:after="40" w:before="40"/>
        <w:ind w:left="288"/>
      </w:pPr>
      <w:r>
        <w:rPr>
          <w:rFonts w:ascii="Calibri" w:cs="Calibri" w:eastAsia="Calibri" w:hAnsi="Calibri"/>
          <w:b/>
          <w:bCs/>
          <w:color w:val="7030A0"/>
          <w:sz w:val="20"/>
          <w:szCs w:val="20"/>
        </w:rPr>
        <w:t xml:space="preserve">6. </w:t>
      </w:r>
      <w:r>
        <w:rPr>
          <w:rFonts w:ascii="Calibri" w:cs="Calibri" w:eastAsia="Calibri" w:hAnsi="Calibri"/>
          <w:sz w:val="20"/>
          <w:szCs w:val="20"/>
        </w:rPr>
        <w:t xml:space="preserve">14 CHWs (1 per 500 households); 2-week training; monthly household visits; measured BMI, BP, blood glucose, SpO₂, MUAC; AI-CDSS risk assessment; digital referrals to medical assistants/GPs.</w:t>
      </w:r>
    </w:p>
    <w:p>
      <w:pPr>
        <w:spacing w:after="40" w:before="40"/>
        <w:ind w:left="288"/>
      </w:pPr>
      <w:r>
        <w:rPr>
          <w:rFonts w:ascii="Calibri" w:cs="Calibri" w:eastAsia="Calibri" w:hAnsi="Calibri"/>
          <w:b/>
          <w:bCs/>
          <w:color w:val="7030A0"/>
          <w:sz w:val="20"/>
          <w:szCs w:val="20"/>
        </w:rPr>
        <w:t xml:space="preserve">7. </w:t>
      </w:r>
      <w:r>
        <w:rPr>
          <w:rFonts w:ascii="Calibri" w:cs="Calibri" w:eastAsia="Calibri" w:hAnsi="Calibri"/>
          <w:sz w:val="20"/>
          <w:szCs w:val="20"/>
        </w:rPr>
        <w:t xml:space="preserve">Descriptive statistics (proportions, 95% CIs); multivariate logistic regression (ORs for NCD risk factors); two-proportion z-tests; Wilcoxon signed-rank test; Student's t-test; D'Agostino–Pearson normality test.</w:t>
      </w:r>
    </w:p>
    <w:p>
      <w:pPr>
        <w:spacing w:after="40" w:before="40"/>
        <w:ind w:left="288"/>
      </w:pPr>
      <w:r>
        <w:rPr>
          <w:rFonts w:ascii="Calibri" w:cs="Calibri" w:eastAsia="Calibri" w:hAnsi="Calibri"/>
          <w:b/>
          <w:bCs/>
          <w:color w:val="7030A0"/>
          <w:sz w:val="20"/>
          <w:szCs w:val="20"/>
        </w:rPr>
        <w:t xml:space="preserve">8. </w:t>
      </w:r>
      <w:r>
        <w:rPr>
          <w:rFonts w:ascii="Calibri" w:cs="Calibri" w:eastAsia="Calibri" w:hAnsi="Calibri"/>
          <w:sz w:val="20"/>
          <w:szCs w:val="20"/>
        </w:rPr>
        <w:t xml:space="preserve">32,581 served (50.67% male, 49.33% female); ages 18–35 most prevalent (32.25%); ~64% under age 35.</w:t>
      </w:r>
    </w:p>
    <w:p>
      <w:pPr>
        <w:spacing w:after="40" w:before="40"/>
        <w:ind w:left="288"/>
      </w:pPr>
      <w:r>
        <w:rPr>
          <w:rFonts w:ascii="Calibri" w:cs="Calibri" w:eastAsia="Calibri" w:hAnsi="Calibri"/>
          <w:b/>
          <w:bCs/>
          <w:color w:val="7030A0"/>
          <w:sz w:val="20"/>
          <w:szCs w:val="20"/>
        </w:rPr>
        <w:t xml:space="preserve">9. </w:t>
      </w:r>
      <w:r>
        <w:rPr>
          <w:rFonts w:ascii="Calibri" w:cs="Calibri" w:eastAsia="Calibri" w:hAnsi="Calibri"/>
          <w:sz w:val="20"/>
          <w:szCs w:val="20"/>
        </w:rPr>
        <w:t xml:space="preserve">21.76% overweight; 8.18% prehypertension; 16.45% high blood glucose; 11% children malnourished; 78.19% normal BP; 70.65% normal blood glucose.</w:t>
      </w:r>
    </w:p>
    <w:p>
      <w:pPr>
        <w:spacing w:after="40" w:before="40"/>
        <w:ind w:left="288"/>
      </w:pPr>
      <w:r>
        <w:rPr>
          <w:rFonts w:ascii="Calibri" w:cs="Calibri" w:eastAsia="Calibri" w:hAnsi="Calibri"/>
          <w:b/>
          <w:bCs/>
          <w:color w:val="7030A0"/>
          <w:sz w:val="20"/>
          <w:szCs w:val="20"/>
        </w:rPr>
        <w:t xml:space="preserve">10. </w:t>
      </w:r>
      <w:r>
        <w:rPr>
          <w:rFonts w:ascii="Calibri" w:cs="Calibri" w:eastAsia="Calibri" w:hAnsi="Calibri"/>
          <w:sz w:val="20"/>
          <w:szCs w:val="20"/>
        </w:rPr>
        <w:t xml:space="preserve">Age ≥40: hypertension OR=13.56 (CI: 12.06–15.24); diabetes OR=3.96 (CI: 3.35–4.69). CVD associated with hypertension OR=12.50 and stroke OR=8.12. Hypertension–diabetes comorbidity: OR=7.16.</w:t>
      </w:r>
    </w:p>
    <w:p>
      <w:pPr>
        <w:spacing w:after="40" w:before="40"/>
        <w:ind w:left="288"/>
      </w:pPr>
      <w:r>
        <w:rPr>
          <w:rFonts w:ascii="Calibri" w:cs="Calibri" w:eastAsia="Calibri" w:hAnsi="Calibri"/>
          <w:b/>
          <w:bCs/>
          <w:color w:val="7030A0"/>
          <w:sz w:val="20"/>
          <w:szCs w:val="20"/>
        </w:rPr>
        <w:t xml:space="preserve">11. </w:t>
      </w:r>
      <w:r>
        <w:rPr>
          <w:rFonts w:ascii="Calibri" w:cs="Calibri" w:eastAsia="Calibri" w:hAnsi="Calibri"/>
          <w:sz w:val="20"/>
          <w:szCs w:val="20"/>
        </w:rPr>
        <w:t xml:space="preserve">BMI, BP, MUAC improved significantly across 3 periods; normal BP 72.50%→82.19%; nourished children 82.87%→93.17%; blood glucose showed no significant improvement.</w:t>
      </w:r>
    </w:p>
    <w:p>
      <w:pPr>
        <w:spacing w:after="40" w:before="40"/>
        <w:ind w:left="288"/>
      </w:pPr>
      <w:r>
        <w:rPr>
          <w:rFonts w:ascii="Calibri" w:cs="Calibri" w:eastAsia="Calibri" w:hAnsi="Calibri"/>
          <w:b/>
          <w:bCs/>
          <w:color w:val="7030A0"/>
          <w:sz w:val="20"/>
          <w:szCs w:val="20"/>
        </w:rPr>
        <w:t xml:space="preserve">12. </w:t>
      </w:r>
      <w:r>
        <w:rPr>
          <w:rFonts w:ascii="Calibri" w:cs="Calibri" w:eastAsia="Calibri" w:hAnsi="Calibri"/>
          <w:sz w:val="20"/>
          <w:szCs w:val="20"/>
        </w:rPr>
        <w:t xml:space="preserve">Blood glucose: normal people stopped testing (no perceived need); diabetics had uncontrolled levels; paid test created financial barrier; low retention across periods.</w:t>
      </w:r>
    </w:p>
    <w:p>
      <w:pPr>
        <w:spacing w:after="40" w:before="40"/>
        <w:ind w:left="288"/>
      </w:pPr>
      <w:r>
        <w:rPr>
          <w:rFonts w:ascii="Calibri" w:cs="Calibri" w:eastAsia="Calibri" w:hAnsi="Calibri"/>
          <w:b/>
          <w:bCs/>
          <w:color w:val="7030A0"/>
          <w:sz w:val="20"/>
          <w:szCs w:val="20"/>
        </w:rPr>
        <w:t xml:space="preserve">13. </w:t>
      </w:r>
      <w:r>
        <w:rPr>
          <w:rFonts w:ascii="Calibri" w:cs="Calibri" w:eastAsia="Calibri" w:hAnsi="Calibri"/>
          <w:sz w:val="20"/>
          <w:szCs w:val="20"/>
        </w:rPr>
        <w:t xml:space="preserve">Compared health vital proportions across 3 periods using two-proportion z-tests and Wilcoxon signed-rank test; statistically significant improvements confirmed for BMI, BP, MUAC.</w:t>
      </w:r>
    </w:p>
    <w:p>
      <w:pPr>
        <w:spacing w:after="40" w:before="40"/>
        <w:ind w:left="288"/>
      </w:pPr>
      <w:r>
        <w:rPr>
          <w:rFonts w:ascii="Calibri" w:cs="Calibri" w:eastAsia="Calibri" w:hAnsi="Calibri"/>
          <w:b/>
          <w:bCs/>
          <w:color w:val="7030A0"/>
          <w:sz w:val="20"/>
          <w:szCs w:val="20"/>
        </w:rPr>
        <w:t xml:space="preserve">14. </w:t>
      </w:r>
      <w:r>
        <w:rPr>
          <w:rFonts w:ascii="Calibri" w:cs="Calibri" w:eastAsia="Calibri" w:hAnsi="Calibri"/>
          <w:sz w:val="20"/>
          <w:szCs w:val="20"/>
        </w:rPr>
        <w:t xml:space="preserve">One union only (limited generalisability); gender imbalance (more female data due to daytime visits); blood glucose test retention low; referral follow-up incomplete due to server issues.</w:t>
      </w:r>
    </w:p>
    <w:p>
      <w:pPr>
        <w:spacing w:after="40" w:before="40"/>
        <w:ind w:left="288"/>
      </w:pPr>
      <w:r>
        <w:rPr>
          <w:rFonts w:ascii="Calibri" w:cs="Calibri" w:eastAsia="Calibri" w:hAnsi="Calibri"/>
          <w:b/>
          <w:bCs/>
          <w:color w:val="7030A0"/>
          <w:sz w:val="20"/>
          <w:szCs w:val="20"/>
        </w:rPr>
        <w:t xml:space="preserve">15. </w:t>
      </w:r>
      <w:r>
        <w:rPr>
          <w:rFonts w:ascii="Calibri" w:cs="Calibri" w:eastAsia="Calibri" w:hAnsi="Calibri"/>
          <w:sz w:val="20"/>
          <w:szCs w:val="20"/>
        </w:rPr>
        <w:t xml:space="preserve">32,581 individuals served in 18 months; AI+CHW model effective for BMI, BP, MUAC; scaling recommended via public-private partnerships at US$1/family/month; future: early risk prediction, Bangla medical-GPT, AI health insurance.</w:t>
      </w:r>
    </w:p>
    <w:p>
      <w:r>
        <w:br w:type="page"/>
      </w:r>
    </w:p>
    <w:p>
      <w:pPr>
        <w:pBdr>
          <w:bottom w:val="single" w:color="1F3864" w:sz="6" w:space="1"/>
        </w:pBdr>
        <w:spacing w:after="120" w:before="320"/>
      </w:pPr>
      <w:r>
        <w:rPr>
          <w:rFonts w:ascii="Calibri" w:cs="Calibri" w:eastAsia="Calibri" w:hAnsi="Calibri"/>
          <w:b/>
          <w:bCs/>
          <w:color w:val="1F3864"/>
          <w:sz w:val="34"/>
          <w:szCs w:val="34"/>
        </w:rPr>
        <w:t xml:space="preserve">Four-Paper Cross-Comparison Table</w:t>
      </w:r>
    </w:p>
    <w:p>
      <w:pPr>
        <w:spacing w:after="60" w:before="40"/>
        <w:jc w:val="left"/>
      </w:pPr>
      <w:r>
        <w:rPr>
          <w:rFonts w:ascii="Calibri" w:cs="Calibri" w:eastAsia="Calibri" w:hAnsi="Calibri"/>
          <w:b w:val="false"/>
          <w:bCs w:val="false"/>
          <w:i/>
          <w:iCs/>
          <w:color w:val="595959"/>
          <w:sz w:val="22"/>
          <w:szCs w:val="22"/>
        </w:rPr>
        <w:t xml:space="preserve">This table is the most efficient way to prepare for comparison-type exam questions.</w:t>
      </w:r>
    </w:p>
    <w:p>
      <w:pPr>
        <w:spacing w:after="20" w:before="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1916"/>
        <w:gridCol w:w="1916"/>
        <w:gridCol w:w="1916"/>
        <w:gridCol w:w="1916"/>
      </w:tblGrid>
      <w:tr>
        <w:trPr>
          <w:tblHeader/>
        </w:trPr>
        <w:tc>
          <w:tcPr>
            <w:tcW w:type="dxa" w:w="1683"/>
            <w:shd w:fill="1F3864" w:val="clear"/>
          </w:tcPr>
          <w:p>
            <w:pPr>
              <w:spacing w:after="40" w:before="40"/>
            </w:pPr>
            <w:r>
              <w:rPr>
                <w:rFonts w:ascii="Calibri" w:cs="Calibri" w:eastAsia="Calibri" w:hAnsi="Calibri"/>
                <w:b/>
                <w:bCs/>
                <w:color w:val="FFFFFF"/>
                <w:sz w:val="18"/>
                <w:szCs w:val="18"/>
              </w:rPr>
              <w:t xml:space="preserve">Aspect</w:t>
            </w:r>
          </w:p>
        </w:tc>
        <w:tc>
          <w:tcPr>
            <w:tcW w:type="dxa" w:w="1916"/>
            <w:shd w:fill="1F3864" w:val="clear"/>
          </w:tcPr>
          <w:p>
            <w:pPr>
              <w:spacing w:after="40" w:before="40"/>
            </w:pPr>
            <w:r>
              <w:rPr>
                <w:rFonts w:ascii="Calibri" w:cs="Calibri" w:eastAsia="Calibri" w:hAnsi="Calibri"/>
                <w:b/>
                <w:bCs/>
                <w:color w:val="FFFFFF"/>
                <w:sz w:val="18"/>
                <w:szCs w:val="18"/>
              </w:rPr>
              <w:t xml:space="preserve">Paper 1
(Solar/Carbon)</w:t>
            </w:r>
          </w:p>
        </w:tc>
        <w:tc>
          <w:tcPr>
            <w:tcW w:type="dxa" w:w="1916"/>
            <w:shd w:fill="1F3864" w:val="clear"/>
          </w:tcPr>
          <w:p>
            <w:pPr>
              <w:spacing w:after="40" w:before="40"/>
            </w:pPr>
            <w:r>
              <w:rPr>
                <w:rFonts w:ascii="Calibri" w:cs="Calibri" w:eastAsia="Calibri" w:hAnsi="Calibri"/>
                <w:b/>
                <w:bCs/>
                <w:color w:val="FFFFFF"/>
                <w:sz w:val="18"/>
                <w:szCs w:val="18"/>
              </w:rPr>
              <w:t xml:space="preserve">Paper 2
(CMED Feasibility)</w:t>
            </w:r>
          </w:p>
        </w:tc>
        <w:tc>
          <w:tcPr>
            <w:tcW w:type="dxa" w:w="1916"/>
            <w:shd w:fill="1F3864" w:val="clear"/>
          </w:tcPr>
          <w:p>
            <w:pPr>
              <w:spacing w:after="40" w:before="40"/>
            </w:pPr>
            <w:r>
              <w:rPr>
                <w:rFonts w:ascii="Calibri" w:cs="Calibri" w:eastAsia="Calibri" w:hAnsi="Calibri"/>
                <w:b/>
                <w:bCs/>
                <w:color w:val="FFFFFF"/>
                <w:sz w:val="18"/>
                <w:szCs w:val="18"/>
              </w:rPr>
              <w:t xml:space="preserve">Paper 3
(SuSastho.AI)</w:t>
            </w:r>
          </w:p>
        </w:tc>
        <w:tc>
          <w:tcPr>
            <w:tcW w:type="dxa" w:w="1916"/>
            <w:shd w:fill="1F3864" w:val="clear"/>
          </w:tcPr>
          <w:p>
            <w:pPr>
              <w:spacing w:after="40" w:before="40"/>
            </w:pPr>
            <w:r>
              <w:rPr>
                <w:rFonts w:ascii="Calibri" w:cs="Calibri" w:eastAsia="Calibri" w:hAnsi="Calibri"/>
                <w:b/>
                <w:bCs/>
                <w:color w:val="FFFFFF"/>
                <w:sz w:val="18"/>
                <w:szCs w:val="18"/>
              </w:rPr>
              <w:t xml:space="preserve">Paper 4
(IGP/CHW Efficacy)</w:t>
            </w:r>
          </w:p>
        </w:tc>
      </w:tr>
      <w:tr>
        <w:tc>
          <w:tcPr>
            <w:tcW w:type="dxa" w:w="1683"/>
            <w:shd w:fill="DEEAF1" w:val="clear"/>
          </w:tcPr>
          <w:p>
            <w:pPr>
              <w:spacing w:after="30" w:before="30"/>
            </w:pPr>
            <w:r>
              <w:rPr>
                <w:rFonts w:ascii="Calibri" w:cs="Calibri" w:eastAsia="Calibri" w:hAnsi="Calibri"/>
                <w:b/>
                <w:bCs/>
                <w:color w:val="2E74B5"/>
                <w:sz w:val="18"/>
                <w:szCs w:val="18"/>
              </w:rPr>
              <w:t xml:space="preserve">Problem</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Unreliable fossil-fuel electricity disrupting rural healthcare; 39.6% gas + 23% coal + 18.6% HFO power mix</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NCDs cause 67% of deaths; rural communities lack preventive care; mHealth apps not tested for community NCD prevention</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63% adolescents lack SRH services; 13% get mental health support; no voice LLM copilot for SRMH in Bangladesh</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67% deaths from NCDs; CHW shortages; patients reach hospital at advanced stage; no longitudinal AI+CHW outcome study</w:t>
            </w:r>
          </w:p>
        </w:tc>
      </w:tr>
      <w:tr>
        <w:tc>
          <w:tcPr>
            <w:tcW w:type="dxa" w:w="1683"/>
          </w:tcPr>
          <w:p>
            <w:pPr>
              <w:spacing w:after="30" w:before="30"/>
            </w:pPr>
            <w:r>
              <w:rPr>
                <w:rFonts w:ascii="Calibri" w:cs="Calibri" w:eastAsia="Calibri" w:hAnsi="Calibri"/>
                <w:b/>
                <w:bCs/>
                <w:color w:val="2E74B5"/>
                <w:sz w:val="18"/>
                <w:szCs w:val="18"/>
              </w:rPr>
              <w:t xml:space="preserve">Objective</w:t>
            </w:r>
          </w:p>
        </w:tc>
        <w:tc>
          <w:tcPr>
            <w:tcW w:type="dxa" w:w="1916"/>
          </w:tcPr>
          <w:p>
            <w:pPr>
              <w:spacing w:after="30" w:before="30"/>
            </w:pPr>
            <w:r>
              <w:rPr>
                <w:rFonts w:ascii="Calibri" w:cs="Calibri" w:eastAsia="Calibri" w:hAnsi="Calibri"/>
                <w:b w:val="false"/>
                <w:bCs w:val="false"/>
                <w:color w:val="000000"/>
                <w:sz w:val="18"/>
                <w:szCs w:val="18"/>
              </w:rPr>
              <w:t xml:space="preserve">Techno-economic feasibility of rooftop solar NMS + carbon credit revenue + Net Metering Guideline amendments</w:t>
            </w:r>
          </w:p>
        </w:tc>
        <w:tc>
          <w:tcPr>
            <w:tcW w:type="dxa" w:w="1916"/>
          </w:tcPr>
          <w:p>
            <w:pPr>
              <w:spacing w:after="30" w:before="30"/>
            </w:pPr>
            <w:r>
              <w:rPr>
                <w:rFonts w:ascii="Calibri" w:cs="Calibri" w:eastAsia="Calibri" w:hAnsi="Calibri"/>
                <w:b w:val="false"/>
                <w:bCs w:val="false"/>
                <w:color w:val="000000"/>
                <w:sz w:val="18"/>
                <w:szCs w:val="18"/>
              </w:rPr>
              <w:t xml:space="preserve">Assess content, usability, and efficacy of CMED platform for NCD prevention in rural communities</w:t>
            </w:r>
          </w:p>
        </w:tc>
        <w:tc>
          <w:tcPr>
            <w:tcW w:type="dxa" w:w="1916"/>
          </w:tcPr>
          <w:p>
            <w:pPr>
              <w:spacing w:after="30" w:before="30"/>
            </w:pPr>
            <w:r>
              <w:rPr>
                <w:rFonts w:ascii="Calibri" w:cs="Calibri" w:eastAsia="Calibri" w:hAnsi="Calibri"/>
                <w:b w:val="false"/>
                <w:bCs w:val="false"/>
                <w:color w:val="000000"/>
                <w:sz w:val="18"/>
                <w:szCs w:val="18"/>
              </w:rPr>
              <w:t xml:space="preserve">Develop &amp; evaluate multimodal evidence-based LLM copilot for adolescent SRMH</w:t>
            </w:r>
          </w:p>
        </w:tc>
        <w:tc>
          <w:tcPr>
            <w:tcW w:type="dxa" w:w="1916"/>
          </w:tcPr>
          <w:p>
            <w:pPr>
              <w:spacing w:after="30" w:before="30"/>
            </w:pPr>
            <w:r>
              <w:rPr>
                <w:rFonts w:ascii="Calibri" w:cs="Calibri" w:eastAsia="Calibri" w:hAnsi="Calibri"/>
                <w:b w:val="false"/>
                <w:bCs w:val="false"/>
                <w:color w:val="000000"/>
                <w:sz w:val="18"/>
                <w:szCs w:val="18"/>
              </w:rPr>
              <w:t xml:space="preserve">Evaluate efficacy of CMED CHW+AI model in improving health outcomes over 18 months</w:t>
            </w:r>
          </w:p>
        </w:tc>
      </w:tr>
      <w:tr>
        <w:tc>
          <w:tcPr>
            <w:tcW w:type="dxa" w:w="1683"/>
            <w:shd w:fill="DEEAF1" w:val="clear"/>
          </w:tcPr>
          <w:p>
            <w:pPr>
              <w:spacing w:after="30" w:before="30"/>
            </w:pPr>
            <w:r>
              <w:rPr>
                <w:rFonts w:ascii="Calibri" w:cs="Calibri" w:eastAsia="Calibri" w:hAnsi="Calibri"/>
                <w:b/>
                <w:bCs/>
                <w:color w:val="2E74B5"/>
                <w:sz w:val="18"/>
                <w:szCs w:val="18"/>
              </w:rPr>
              <w:t xml:space="preserve">Dataset/Data</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50 real facilities scaled to 5,424; rooftop area, energy consumption, sanctioned load, solar irradiance 4.59 kWh/m²/day</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&gt;7,000 households; 393 questionnaires; KII + 4 FGDs; 17,907 adults screened over 6 months</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2,063 KB documents; 8,614 fine-tuning examples; 428 pilot questions from 32 participants</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32,581 individuals, 7,090 households; Somvag Union; Jul 2018–Dec 2019; BMI, BP, blood glucose, MUAC</w:t>
            </w:r>
          </w:p>
        </w:tc>
      </w:tr>
      <w:tr>
        <w:tc>
          <w:tcPr>
            <w:tcW w:type="dxa" w:w="1683"/>
          </w:tcPr>
          <w:p>
            <w:pPr>
              <w:spacing w:after="30" w:before="30"/>
            </w:pPr>
            <w:r>
              <w:rPr>
                <w:rFonts w:ascii="Calibri" w:cs="Calibri" w:eastAsia="Calibri" w:hAnsi="Calibri"/>
                <w:b/>
                <w:bCs/>
                <w:color w:val="2E74B5"/>
                <w:sz w:val="18"/>
                <w:szCs w:val="18"/>
              </w:rPr>
              <w:t xml:space="preserve">Methodology</w:t>
            </w:r>
          </w:p>
        </w:tc>
        <w:tc>
          <w:tcPr>
            <w:tcW w:type="dxa" w:w="1916"/>
          </w:tcPr>
          <w:p>
            <w:pPr>
              <w:spacing w:after="30" w:before="30"/>
            </w:pPr>
            <w:r>
              <w:rPr>
                <w:rFonts w:ascii="Calibri" w:cs="Calibri" w:eastAsia="Calibri" w:hAnsi="Calibri"/>
                <w:b w:val="false"/>
                <w:bCs w:val="false"/>
                <w:color w:val="000000"/>
                <w:sz w:val="18"/>
                <w:szCs w:val="18"/>
              </w:rPr>
              <w:t xml:space="preserve">10-step quantitative techno-economic feasibility; dual-revenue cost-benefit (solar energy + carbon credits); SREDA NEM calculator verification</w:t>
            </w:r>
          </w:p>
        </w:tc>
        <w:tc>
          <w:tcPr>
            <w:tcW w:type="dxa" w:w="1916"/>
          </w:tcPr>
          <w:p>
            <w:pPr>
              <w:spacing w:after="30" w:before="30"/>
            </w:pPr>
            <w:r>
              <w:rPr>
                <w:rFonts w:ascii="Calibri" w:cs="Calibri" w:eastAsia="Calibri" w:hAnsi="Calibri"/>
                <w:b w:val="false"/>
                <w:bCs w:val="false"/>
                <w:color w:val="000000"/>
                <w:sz w:val="18"/>
                <w:szCs w:val="18"/>
              </w:rPr>
              <w:t xml:space="preserve">Action Research; mixed-methods (quantitative + qualitative + participant observation); 4 evaluation components</w:t>
            </w:r>
          </w:p>
        </w:tc>
        <w:tc>
          <w:tcPr>
            <w:tcW w:type="dxa" w:w="1916"/>
          </w:tcPr>
          <w:p>
            <w:pPr>
              <w:spacing w:after="30" w:before="30"/>
            </w:pPr>
            <w:r>
              <w:rPr>
                <w:rFonts w:ascii="Calibri" w:cs="Calibri" w:eastAsia="Calibri" w:hAnsi="Calibri"/>
                <w:b w:val="false"/>
                <w:bCs w:val="false"/>
                <w:color w:val="000000"/>
                <w:sz w:val="18"/>
                <w:szCs w:val="18"/>
              </w:rPr>
              <w:t xml:space="preserve">4-step EBM protocol + CoT prompting + RAG; fine-tuning Llama 3 8B (Task-QG + Task-AG); human evaluation pilot</w:t>
            </w:r>
          </w:p>
        </w:tc>
        <w:tc>
          <w:tcPr>
            <w:tcW w:type="dxa" w:w="1916"/>
          </w:tcPr>
          <w:p>
            <w:pPr>
              <w:spacing w:after="30" w:before="30"/>
            </w:pPr>
            <w:r>
              <w:rPr>
                <w:rFonts w:ascii="Calibri" w:cs="Calibri" w:eastAsia="Calibri" w:hAnsi="Calibri"/>
                <w:b w:val="false"/>
                <w:bCs w:val="false"/>
                <w:color w:val="000000"/>
                <w:sz w:val="18"/>
                <w:szCs w:val="18"/>
              </w:rPr>
              <w:t xml:space="preserve">Repeated cross-sectional observational; descriptive stats + multivariate logistic regression + z-tests + Wilcoxon</w:t>
            </w:r>
          </w:p>
        </w:tc>
      </w:tr>
      <w:tr>
        <w:tc>
          <w:tcPr>
            <w:tcW w:type="dxa" w:w="1683"/>
            <w:shd w:fill="DEEAF1" w:val="clear"/>
          </w:tcPr>
          <w:p>
            <w:pPr>
              <w:spacing w:after="30" w:before="30"/>
            </w:pPr>
            <w:r>
              <w:rPr>
                <w:rFonts w:ascii="Calibri" w:cs="Calibri" w:eastAsia="Calibri" w:hAnsi="Calibri"/>
                <w:b/>
                <w:bCs/>
                <w:color w:val="2E74B5"/>
                <w:sz w:val="18"/>
                <w:szCs w:val="18"/>
              </w:rPr>
              <w:t xml:space="preserve">Analysis Type</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Quantitative (financial modelling + sensitivity analysis across 10 CAGR scenarios)</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Mixed-methods (quantitative descriptive stats + qualitative narrative)</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Mixed (quantitative accuracy metrics + qualitative usability survey)</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Quantitative (descriptive, logistic regression, two-proportion z-tests, Wilcoxon signed-rank test)</w:t>
            </w:r>
          </w:p>
        </w:tc>
      </w:tr>
      <w:tr>
        <w:tc>
          <w:tcPr>
            <w:tcW w:type="dxa" w:w="1683"/>
          </w:tcPr>
          <w:p>
            <w:pPr>
              <w:spacing w:after="30" w:before="30"/>
            </w:pPr>
            <w:r>
              <w:rPr>
                <w:rFonts w:ascii="Calibri" w:cs="Calibri" w:eastAsia="Calibri" w:hAnsi="Calibri"/>
                <w:b/>
                <w:bCs/>
                <w:color w:val="2E74B5"/>
                <w:sz w:val="18"/>
                <w:szCs w:val="18"/>
              </w:rPr>
              <w:t xml:space="preserve">Proposed Solution</w:t>
            </w:r>
          </w:p>
        </w:tc>
        <w:tc>
          <w:tcPr>
            <w:tcW w:type="dxa" w:w="1916"/>
          </w:tcPr>
          <w:p>
            <w:pPr>
              <w:spacing w:after="30" w:before="30"/>
            </w:pPr>
            <w:r>
              <w:rPr>
                <w:rFonts w:ascii="Calibri" w:cs="Calibri" w:eastAsia="Calibri" w:hAnsi="Calibri"/>
                <w:b w:val="false"/>
                <w:bCs w:val="false"/>
                <w:color w:val="000000"/>
                <w:sz w:val="18"/>
                <w:szCs w:val="18"/>
              </w:rPr>
              <w:t xml:space="preserve">Rooftop solar NMS (7.86 MWp) with dual revenue: solar energy + CER carbon credits; Net Metering Guideline amendments</w:t>
            </w:r>
          </w:p>
        </w:tc>
        <w:tc>
          <w:tcPr>
            <w:tcW w:type="dxa" w:w="1916"/>
          </w:tcPr>
          <w:p>
            <w:pPr>
              <w:spacing w:after="30" w:before="30"/>
            </w:pPr>
            <w:r>
              <w:rPr>
                <w:rFonts w:ascii="Calibri" w:cs="Calibri" w:eastAsia="Calibri" w:hAnsi="Calibri"/>
                <w:b w:val="false"/>
                <w:bCs w:val="false"/>
                <w:color w:val="000000"/>
                <w:sz w:val="18"/>
                <w:szCs w:val="18"/>
              </w:rPr>
              <w:t xml:space="preserve">CMED IoT+AI+cloud platform (smart sensors + mobile app + CDSS) for community NCD screening and advice</w:t>
            </w:r>
          </w:p>
        </w:tc>
        <w:tc>
          <w:tcPr>
            <w:tcW w:type="dxa" w:w="1916"/>
          </w:tcPr>
          <w:p>
            <w:pPr>
              <w:spacing w:after="30" w:before="30"/>
            </w:pPr>
            <w:r>
              <w:rPr>
                <w:rFonts w:ascii="Calibri" w:cs="Calibri" w:eastAsia="Calibri" w:hAnsi="Calibri"/>
                <w:b w:val="false"/>
                <w:bCs w:val="false"/>
                <w:color w:val="000000"/>
                <w:sz w:val="18"/>
                <w:szCs w:val="18"/>
              </w:rPr>
              <w:t xml:space="preserve">SuSastho.AI: fine-tuned Llama 3 8B + Multilingual E5 + EBM + CoT + RAG + voice (Wav2Vec + VITS) + Flutter frontend</w:t>
            </w:r>
          </w:p>
        </w:tc>
        <w:tc>
          <w:tcPr>
            <w:tcW w:type="dxa" w:w="1916"/>
          </w:tcPr>
          <w:p>
            <w:pPr>
              <w:spacing w:after="30" w:before="30"/>
            </w:pPr>
            <w:r>
              <w:rPr>
                <w:rFonts w:ascii="Calibri" w:cs="Calibri" w:eastAsia="Calibri" w:hAnsi="Calibri"/>
                <w:b w:val="false"/>
                <w:bCs w:val="false"/>
                <w:color w:val="000000"/>
                <w:sz w:val="18"/>
                <w:szCs w:val="18"/>
              </w:rPr>
              <w:t xml:space="preserve">CMED smart health kit + 'Enriched Sastho' app + AI-CDSS + 14 CHWs for doorstep monthly health monitoring</w:t>
            </w:r>
          </w:p>
        </w:tc>
      </w:tr>
      <w:tr>
        <w:tc>
          <w:tcPr>
            <w:tcW w:type="dxa" w:w="1683"/>
            <w:shd w:fill="DEEAF1" w:val="clear"/>
          </w:tcPr>
          <w:p>
            <w:pPr>
              <w:spacing w:after="30" w:before="30"/>
            </w:pPr>
            <w:r>
              <w:rPr>
                <w:rFonts w:ascii="Calibri" w:cs="Calibri" w:eastAsia="Calibri" w:hAnsi="Calibri"/>
                <w:b/>
                <w:bCs/>
                <w:color w:val="2E74B5"/>
                <w:sz w:val="18"/>
                <w:szCs w:val="18"/>
              </w:rPr>
              <w:t xml:space="preserve">Evaluation</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NPV, IRR, Payback, LCOE; sensitivity analysis at 10 CAGR scenarios; SREDA calculator verification</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Content vs. National Protocol; usability testing-and-fixing; NCD detection rates; 99.5% acceptance</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Human SRMH-expert evaluation; accuracy/correctness comparison vs. RAG+Llama3 and baseline Llama3</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Period-to-period comparison of BMI, BP, blood glucose, MUAC; two-proportion z-tests; Wilcoxon; multivariate logistic regression</w:t>
            </w:r>
          </w:p>
        </w:tc>
      </w:tr>
      <w:tr>
        <w:tc>
          <w:tcPr>
            <w:tcW w:type="dxa" w:w="1683"/>
          </w:tcPr>
          <w:p>
            <w:pPr>
              <w:spacing w:after="30" w:before="30"/>
            </w:pPr>
            <w:r>
              <w:rPr>
                <w:rFonts w:ascii="Calibri" w:cs="Calibri" w:eastAsia="Calibri" w:hAnsi="Calibri"/>
                <w:b/>
                <w:bCs/>
                <w:color w:val="2E74B5"/>
                <w:sz w:val="18"/>
                <w:szCs w:val="18"/>
              </w:rPr>
              <w:t xml:space="preserve">Main Results</w:t>
            </w:r>
          </w:p>
        </w:tc>
        <w:tc>
          <w:tcPr>
            <w:tcW w:type="dxa" w:w="1916"/>
          </w:tcPr>
          <w:p>
            <w:pPr>
              <w:spacing w:after="30" w:before="30"/>
            </w:pPr>
            <w:r>
              <w:rPr>
                <w:rFonts w:ascii="Calibri" w:cs="Calibri" w:eastAsia="Calibri" w:hAnsi="Calibri"/>
                <w:b w:val="false"/>
                <w:bCs w:val="false"/>
                <w:color w:val="000000"/>
                <w:sz w:val="18"/>
                <w:szCs w:val="18"/>
              </w:rPr>
              <w:t xml:space="preserve">NPV US$3.86M (5% CAGR); IRR 9.85%; payback 8.35 yrs; LCOE US$0.0179/kWh; 171.48 GWh; 82,999 MTCO₂e reduced</w:t>
            </w:r>
          </w:p>
        </w:tc>
        <w:tc>
          <w:tcPr>
            <w:tcW w:type="dxa" w:w="1916"/>
          </w:tcPr>
          <w:p>
            <w:pPr>
              <w:spacing w:after="30" w:before="30"/>
            </w:pPr>
            <w:r>
              <w:rPr>
                <w:rFonts w:ascii="Calibri" w:cs="Calibri" w:eastAsia="Calibri" w:hAnsi="Calibri"/>
                <w:b w:val="false"/>
                <w:bCs w:val="false"/>
                <w:color w:val="000000"/>
                <w:sz w:val="18"/>
                <w:szCs w:val="18"/>
              </w:rPr>
              <w:t xml:space="preserve">17,907 adults screened; 99.5% acceptance; 15.8% found with diabetes (vs. 2.7% self-reported); 11.5% hypertensive (vs. 6.5%)</w:t>
            </w:r>
          </w:p>
        </w:tc>
        <w:tc>
          <w:tcPr>
            <w:tcW w:type="dxa" w:w="1916"/>
          </w:tcPr>
          <w:p>
            <w:pPr>
              <w:spacing w:after="30" w:before="30"/>
            </w:pPr>
            <w:r>
              <w:rPr>
                <w:rFonts w:ascii="Calibri" w:cs="Calibri" w:eastAsia="Calibri" w:hAnsi="Calibri"/>
                <w:b w:val="false"/>
                <w:bCs w:val="false"/>
                <w:color w:val="000000"/>
                <w:sz w:val="18"/>
                <w:szCs w:val="18"/>
              </w:rPr>
              <w:t xml:space="preserve">86.68% accuracy; 61.9% correctness (vs. RAG 40.4%, Llama3 45.8%); 87% users found answers; 26.9% no-answer rate</w:t>
            </w:r>
          </w:p>
        </w:tc>
        <w:tc>
          <w:tcPr>
            <w:tcW w:type="dxa" w:w="1916"/>
          </w:tcPr>
          <w:p>
            <w:pPr>
              <w:spacing w:after="30" w:before="30"/>
            </w:pPr>
            <w:r>
              <w:rPr>
                <w:rFonts w:ascii="Calibri" w:cs="Calibri" w:eastAsia="Calibri" w:hAnsi="Calibri"/>
                <w:b w:val="false"/>
                <w:bCs w:val="false"/>
                <w:color w:val="000000"/>
                <w:sz w:val="18"/>
                <w:szCs w:val="18"/>
              </w:rPr>
              <w:t xml:space="preserve">Normal BP 72.50%→82.19%; nourished children 82.87%→93.17%; blood glucose: no significant improvement</w:t>
            </w:r>
          </w:p>
        </w:tc>
      </w:tr>
      <w:tr>
        <w:tc>
          <w:tcPr>
            <w:tcW w:type="dxa" w:w="1683"/>
            <w:shd w:fill="DEEAF1" w:val="clear"/>
          </w:tcPr>
          <w:p>
            <w:pPr>
              <w:spacing w:after="30" w:before="30"/>
            </w:pPr>
            <w:r>
              <w:rPr>
                <w:rFonts w:ascii="Calibri" w:cs="Calibri" w:eastAsia="Calibri" w:hAnsi="Calibri"/>
                <w:b/>
                <w:bCs/>
                <w:color w:val="2E74B5"/>
                <w:sz w:val="18"/>
                <w:szCs w:val="18"/>
              </w:rPr>
              <w:t xml:space="preserve">Impact/Application</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Carbon-neutral rural healthcare; cost-effective renewable energy; policy roadmap for developing nations; NDC alignment</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Feasible, low-cost NCD prevention model for rural/urban Bangladesh; recommended for national scaling</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Democratises SRMH information for 36M adolescents; replicable LLM copilot framework for low-resource settings globally</w:t>
            </w:r>
          </w:p>
        </w:tc>
        <w:tc>
          <w:tcPr>
            <w:tcW w:type="dxa" w:w="1916"/>
            <w:shd w:fill="DEEAF1" w:val="clear"/>
          </w:tcPr>
          <w:p>
            <w:pPr>
              <w:spacing w:after="30" w:before="30"/>
            </w:pPr>
            <w:r>
              <w:rPr>
                <w:rFonts w:ascii="Calibri" w:cs="Calibri" w:eastAsia="Calibri" w:hAnsi="Calibri"/>
                <w:b w:val="false"/>
                <w:bCs w:val="false"/>
                <w:color w:val="000000"/>
                <w:sz w:val="18"/>
                <w:szCs w:val="18"/>
              </w:rPr>
              <w:t xml:space="preserve">AI+CHW model effective for primary healthcare; scale via public-private partnerships at US$1/family/month toward UHC</w:t>
            </w:r>
          </w:p>
        </w:tc>
      </w:tr>
    </w:tbl>
    <w:p>
      <w:r>
        <w:br w:type="page"/>
      </w:r>
    </w:p>
    <w:p>
      <w:pPr>
        <w:pBdr>
          <w:bottom w:val="single" w:color="1F3864" w:sz="6" w:space="1"/>
        </w:pBdr>
        <w:spacing w:after="120" w:before="320"/>
      </w:pPr>
      <w:r>
        <w:rPr>
          <w:rFonts w:ascii="Calibri" w:cs="Calibri" w:eastAsia="Calibri" w:hAnsi="Calibri"/>
          <w:b/>
          <w:bCs/>
          <w:color w:val="1F3864"/>
          <w:sz w:val="34"/>
          <w:szCs w:val="34"/>
        </w:rPr>
        <w:t xml:space="preserve">Final Exam Preparation Tips</w:t>
      </w:r>
    </w:p>
    <w:p>
      <w:pPr>
        <w:spacing w:after="80" w:before="240"/>
      </w:pPr>
      <w:r>
        <w:rPr>
          <w:rFonts w:ascii="Calibri" w:cs="Calibri" w:eastAsia="Calibri" w:hAnsi="Calibri"/>
          <w:b/>
          <w:bCs/>
          <w:color w:val="2E74B5"/>
          <w:sz w:val="26"/>
          <w:szCs w:val="26"/>
        </w:rPr>
        <w:t xml:space="preserve">How to Approach Research Paper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2F2F2" w:val="clear"/>
            <w:tcMar>
              <w:top w:type="dxa" w:w="80"/>
              <w:left w:type="dxa" w:w="120"/>
              <w:bottom w:type="dxa" w:w="80"/>
              <w:right w:type="dxa" w:w="120"/>
            </w:tcMar>
          </w:tcPr>
          <w:p>
            <w:pPr>
              <w:spacing w:after="40" w:before="40"/>
              <w:ind w:left="288"/>
            </w:pPr>
            <w:r>
              <w:rPr>
                <w:rFonts w:ascii="Calibri" w:cs="Calibri" w:eastAsia="Calibri" w:hAnsi="Calibri"/>
                <w:b/>
                <w:bCs/>
                <w:color w:val="2E74B5"/>
                <w:sz w:val="22"/>
                <w:szCs w:val="22"/>
              </w:rPr>
              <w:t xml:space="preserve">1. </w:t>
            </w:r>
            <w:r>
              <w:rPr>
                <w:rFonts w:ascii="Calibri" w:cs="Calibri" w:eastAsia="Calibri" w:hAnsi="Calibri"/>
                <w:color w:val="2E74B5"/>
                <w:sz w:val="22"/>
                <w:szCs w:val="22"/>
              </w:rPr>
              <w:t xml:space="preserve">For every paper: know Problem → Gap → Objective → Data → Method → Analysis → Results → Limitations → Impact.</w:t>
            </w:r>
          </w:p>
          <w:p>
            <w:pPr>
              <w:spacing w:after="40" w:before="40"/>
              <w:ind w:left="288"/>
            </w:pPr>
            <w:r>
              <w:rPr>
                <w:rFonts w:ascii="Calibri" w:cs="Calibri" w:eastAsia="Calibri" w:hAnsi="Calibri"/>
                <w:b/>
                <w:bCs/>
                <w:color w:val="2E74B5"/>
                <w:sz w:val="22"/>
                <w:szCs w:val="22"/>
              </w:rPr>
              <w:t xml:space="preserve">2. </w:t>
            </w:r>
            <w:r>
              <w:rPr>
                <w:rFonts w:ascii="Calibri" w:cs="Calibri" w:eastAsia="Calibri" w:hAnsi="Calibri"/>
                <w:color w:val="2E74B5"/>
                <w:sz w:val="22"/>
                <w:szCs w:val="22"/>
              </w:rPr>
              <w:t xml:space="preserve">Numbers are exam favourites: NPV, IRR, LCOE, accuracy percentages, sample sizes, OR values.</w:t>
            </w:r>
          </w:p>
          <w:p>
            <w:pPr>
              <w:spacing w:after="40" w:before="40"/>
              <w:ind w:left="288"/>
            </w:pPr>
            <w:r>
              <w:rPr>
                <w:rFonts w:ascii="Calibri" w:cs="Calibri" w:eastAsia="Calibri" w:hAnsi="Calibri"/>
                <w:b/>
                <w:bCs/>
                <w:color w:val="2E74B5"/>
                <w:sz w:val="22"/>
                <w:szCs w:val="22"/>
              </w:rPr>
              <w:t xml:space="preserve">3. </w:t>
            </w:r>
            <w:r>
              <w:rPr>
                <w:rFonts w:ascii="Calibri" w:cs="Calibri" w:eastAsia="Calibri" w:hAnsi="Calibri"/>
                <w:color w:val="2E74B5"/>
                <w:sz w:val="22"/>
                <w:szCs w:val="22"/>
              </w:rPr>
              <w:t xml:space="preserve">Never confuse the METHODOLOGY (how the study was designed) with the ANALYSIS TYPE (the statistical/computational techniques used).</w:t>
            </w:r>
          </w:p>
          <w:p>
            <w:pPr>
              <w:spacing w:after="40" w:before="40"/>
              <w:ind w:left="288"/>
            </w:pPr>
            <w:r>
              <w:rPr>
                <w:rFonts w:ascii="Calibri" w:cs="Calibri" w:eastAsia="Calibri" w:hAnsi="Calibri"/>
                <w:b/>
                <w:bCs/>
                <w:color w:val="2E74B5"/>
                <w:sz w:val="22"/>
                <w:szCs w:val="22"/>
              </w:rPr>
              <w:t xml:space="preserve">4. </w:t>
            </w:r>
            <w:r>
              <w:rPr>
                <w:rFonts w:ascii="Calibri" w:cs="Calibri" w:eastAsia="Calibri" w:hAnsi="Calibri"/>
                <w:color w:val="2E74B5"/>
                <w:sz w:val="22"/>
                <w:szCs w:val="22"/>
              </w:rPr>
              <w:t xml:space="preserve">"Why not X?" questions test your knowledge of limitations and design choices (e.g., why no RCT, why no battery storage, why not real adolescents).</w:t>
            </w:r>
          </w:p>
          <w:p>
            <w:pPr>
              <w:spacing w:before="20"/>
            </w:pPr>
          </w:p>
        </w:tc>
      </w:tr>
    </w:tbl>
    <w:p>
      <w:pPr>
        <w:spacing w:after="80" w:before="240"/>
      </w:pPr>
      <w:r>
        <w:rPr>
          <w:rFonts w:ascii="Calibri" w:cs="Calibri" w:eastAsia="Calibri" w:hAnsi="Calibri"/>
          <w:b/>
          <w:bCs/>
          <w:color w:val="006B75"/>
          <w:sz w:val="26"/>
          <w:szCs w:val="26"/>
        </w:rPr>
        <w:t xml:space="preserve">Cross-Paper Comparison Strategies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2F2F2" w:val="clear"/>
            <w:tcMar>
              <w:top w:type="dxa" w:w="80"/>
              <w:left w:type="dxa" w:w="120"/>
              <w:bottom w:type="dxa" w:w="80"/>
              <w:right w:type="dxa" w:w="120"/>
            </w:tcMar>
          </w:tcPr>
          <w:p>
            <w:pPr>
              <w:spacing w:after="40" w:before="40"/>
              <w:ind w:left="288"/>
            </w:pPr>
            <w:r>
              <w:rPr>
                <w:rFonts w:ascii="Calibri" w:cs="Calibri" w:eastAsia="Calibri" w:hAnsi="Calibri"/>
                <w:b/>
                <w:bCs/>
                <w:color w:val="006B75"/>
                <w:sz w:val="22"/>
                <w:szCs w:val="22"/>
              </w:rPr>
              <w:t xml:space="preserve">1. </w:t>
            </w:r>
            <w:r>
              <w:rPr>
                <w:rFonts w:ascii="Calibri" w:cs="Calibri" w:eastAsia="Calibri" w:hAnsi="Calibri"/>
                <w:color w:val="006B75"/>
                <w:sz w:val="22"/>
                <w:szCs w:val="22"/>
              </w:rPr>
              <w:t xml:space="preserve">Papers 2 and 4 both use the CMED platform but serve different purposes: Paper 2 = feasibility (2019); Paper 4 = efficacy (2025 BMC). Know the difference.</w:t>
            </w:r>
          </w:p>
          <w:p>
            <w:pPr>
              <w:spacing w:after="40" w:before="40"/>
              <w:ind w:left="288"/>
            </w:pPr>
            <w:r>
              <w:rPr>
                <w:rFonts w:ascii="Calibri" w:cs="Calibri" w:eastAsia="Calibri" w:hAnsi="Calibri"/>
                <w:b/>
                <w:bCs/>
                <w:color w:val="006B75"/>
                <w:sz w:val="22"/>
                <w:szCs w:val="22"/>
              </w:rPr>
              <w:t xml:space="preserve">2. </w:t>
            </w:r>
            <w:r>
              <w:rPr>
                <w:rFonts w:ascii="Calibri" w:cs="Calibri" w:eastAsia="Calibri" w:hAnsi="Calibri"/>
                <w:color w:val="006B75"/>
                <w:sz w:val="22"/>
                <w:szCs w:val="22"/>
              </w:rPr>
              <w:t xml:space="preserve">Papers 2, 3, and 4 all address Bangladesh healthcare; Paper 1 addresses energy + healthcare. Paper 1 is the only non-clinical AI study.</w:t>
            </w:r>
          </w:p>
          <w:p>
            <w:pPr>
              <w:spacing w:after="40" w:before="40"/>
              <w:ind w:left="288"/>
            </w:pPr>
            <w:r>
              <w:rPr>
                <w:rFonts w:ascii="Calibri" w:cs="Calibri" w:eastAsia="Calibri" w:hAnsi="Calibri"/>
                <w:b/>
                <w:bCs/>
                <w:color w:val="006B75"/>
                <w:sz w:val="22"/>
                <w:szCs w:val="22"/>
              </w:rPr>
              <w:t xml:space="preserve">3. </w:t>
            </w:r>
            <w:r>
              <w:rPr>
                <w:rFonts w:ascii="Calibri" w:cs="Calibri" w:eastAsia="Calibri" w:hAnsi="Calibri"/>
                <w:color w:val="006B75"/>
                <w:sz w:val="22"/>
                <w:szCs w:val="22"/>
              </w:rPr>
              <w:t xml:space="preserve">All four papers are set in Bangladesh and address an NCD or health access gap — a common linking theme for synthesis questions.</w:t>
            </w:r>
          </w:p>
          <w:p>
            <w:pPr>
              <w:spacing w:after="40" w:before="40"/>
              <w:ind w:left="288"/>
            </w:pPr>
            <w:r>
              <w:rPr>
                <w:rFonts w:ascii="Calibri" w:cs="Calibri" w:eastAsia="Calibri" w:hAnsi="Calibri"/>
                <w:b/>
                <w:bCs/>
                <w:color w:val="006B75"/>
                <w:sz w:val="22"/>
                <w:szCs w:val="22"/>
              </w:rPr>
              <w:t xml:space="preserve">4. </w:t>
            </w:r>
            <w:r>
              <w:rPr>
                <w:rFonts w:ascii="Calibri" w:cs="Calibri" w:eastAsia="Calibri" w:hAnsi="Calibri"/>
                <w:color w:val="006B75"/>
                <w:sz w:val="22"/>
                <w:szCs w:val="22"/>
              </w:rPr>
              <w:t xml:space="preserve">For "compare methodologies" questions: Paper 1 (quantitative), Paper 2 (mixed/action research), Paper 3 (development + pilot), Paper 4 (observational cross-sectional).</w:t>
            </w:r>
          </w:p>
          <w:p>
            <w:pPr>
              <w:spacing w:before="20"/>
            </w:pPr>
          </w:p>
        </w:tc>
      </w:tr>
    </w:tbl>
    <w:p>
      <w:pPr>
        <w:spacing w:after="80" w:before="240"/>
      </w:pPr>
      <w:r>
        <w:rPr>
          <w:rFonts w:ascii="Calibri" w:cs="Calibri" w:eastAsia="Calibri" w:hAnsi="Calibri"/>
          <w:b/>
          <w:bCs/>
          <w:color w:val="C55A11"/>
          <w:sz w:val="26"/>
          <w:szCs w:val="26"/>
        </w:rPr>
        <w:t xml:space="preserve">High-Priority Numbers to Memorise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2F2F2" w:val="clear"/>
            <w:tcMar>
              <w:top w:type="dxa" w:w="80"/>
              <w:left w:type="dxa" w:w="120"/>
              <w:bottom w:type="dxa" w:w="80"/>
              <w:right w:type="dxa" w:w="120"/>
            </w:tcMar>
          </w:tcPr>
          <w:p>
            <w:pPr>
              <w:spacing w:after="40" w:before="40"/>
              <w:ind w:left="288"/>
            </w:pPr>
            <w:r>
              <w:rPr>
                <w:rFonts w:ascii="Calibri" w:cs="Calibri" w:eastAsia="Calibri" w:hAnsi="Calibri"/>
                <w:b/>
                <w:bCs/>
                <w:color w:val="C55A11"/>
                <w:sz w:val="22"/>
                <w:szCs w:val="22"/>
              </w:rPr>
              <w:t xml:space="preserve">1. </w:t>
            </w:r>
            <w:r>
              <w:rPr>
                <w:rFonts w:ascii="Calibri" w:cs="Calibri" w:eastAsia="Calibri" w:hAnsi="Calibri"/>
                <w:color w:val="C55A11"/>
                <w:sz w:val="22"/>
                <w:szCs w:val="22"/>
              </w:rPr>
              <w:t xml:space="preserve">Paper 1: 7.86 MWp · 171.48 GWh · 82,999 MTCO₂e · NPV $3.86M · IRR 9.85% · LCOE $0.0179/kWh · Payback 8.35 yr · CAGR revenue: 1.5%=$7.319M, 3%=$7.374M, 5%=$7.463M</w:t>
            </w:r>
          </w:p>
          <w:p>
            <w:pPr>
              <w:spacing w:after="40" w:before="40"/>
              <w:ind w:left="288"/>
            </w:pPr>
            <w:r>
              <w:rPr>
                <w:rFonts w:ascii="Calibri" w:cs="Calibri" w:eastAsia="Calibri" w:hAnsi="Calibri"/>
                <w:b/>
                <w:bCs/>
                <w:color w:val="C55A11"/>
                <w:sz w:val="22"/>
                <w:szCs w:val="22"/>
              </w:rPr>
              <w:t xml:space="preserve">2. </w:t>
            </w:r>
            <w:r>
              <w:rPr>
                <w:rFonts w:ascii="Calibri" w:cs="Calibri" w:eastAsia="Calibri" w:hAnsi="Calibri"/>
                <w:color w:val="C55A11"/>
                <w:sz w:val="22"/>
                <w:szCs w:val="22"/>
              </w:rPr>
              <w:t xml:space="preserve">Paper 2: 17,907 screened · 99.5% acceptance · 15.8% diabetes (was 2.7%) · 11.5% hypertension (was 6.5%) · SpO₂=38,400 (highest measurement)</w:t>
            </w:r>
          </w:p>
          <w:p>
            <w:pPr>
              <w:spacing w:after="40" w:before="40"/>
              <w:ind w:left="288"/>
            </w:pPr>
            <w:r>
              <w:rPr>
                <w:rFonts w:ascii="Calibri" w:cs="Calibri" w:eastAsia="Calibri" w:hAnsi="Calibri"/>
                <w:b/>
                <w:bCs/>
                <w:color w:val="C55A11"/>
                <w:sz w:val="22"/>
                <w:szCs w:val="22"/>
              </w:rPr>
              <w:t xml:space="preserve">3. </w:t>
            </w:r>
            <w:r>
              <w:rPr>
                <w:rFonts w:ascii="Calibri" w:cs="Calibri" w:eastAsia="Calibri" w:hAnsi="Calibri"/>
                <w:color w:val="C55A11"/>
                <w:sz w:val="22"/>
                <w:szCs w:val="22"/>
              </w:rPr>
              <w:t xml:space="preserve">Paper 3: 86.68% accuracy · 61.9% correctness vs. RAG 40.4% / Llama3 45.8% · 2,063 KB docs · 8,614 fine-tuning examples · 32 participants · 428 questions</w:t>
            </w:r>
          </w:p>
          <w:p>
            <w:pPr>
              <w:spacing w:after="40" w:before="40"/>
              <w:ind w:left="288"/>
            </w:pPr>
            <w:r>
              <w:rPr>
                <w:rFonts w:ascii="Calibri" w:cs="Calibri" w:eastAsia="Calibri" w:hAnsi="Calibri"/>
                <w:b/>
                <w:bCs/>
                <w:color w:val="C55A11"/>
                <w:sz w:val="22"/>
                <w:szCs w:val="22"/>
              </w:rPr>
              <w:t xml:space="preserve">4. </w:t>
            </w:r>
            <w:r>
              <w:rPr>
                <w:rFonts w:ascii="Calibri" w:cs="Calibri" w:eastAsia="Calibri" w:hAnsi="Calibri"/>
                <w:color w:val="C55A11"/>
                <w:sz w:val="22"/>
                <w:szCs w:val="22"/>
              </w:rPr>
              <w:t xml:space="preserve">Paper 4: 32,581 people · 7,090 households · Normal BP: 72.50%→82.19% · Nourished children: 82.87%→93.17% · OR age≥40+hypertension=13.56 · OR hypertension+diabetes=7.16</w:t>
            </w:r>
          </w:p>
          <w:p>
            <w:pPr>
              <w:spacing w:before="20"/>
            </w:pPr>
          </w:p>
        </w:tc>
      </w:tr>
    </w:tbl>
    <w:p>
      <w:pPr>
        <w:spacing w:after="80" w:before="240"/>
      </w:pPr>
      <w:r>
        <w:rPr>
          <w:rFonts w:ascii="Calibri" w:cs="Calibri" w:eastAsia="Calibri" w:hAnsi="Calibri"/>
          <w:b/>
          <w:bCs/>
          <w:color w:val="C00000"/>
          <w:sz w:val="26"/>
          <w:szCs w:val="26"/>
        </w:rPr>
        <w:t xml:space="preserve">Common Pitfalls Across All Papers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shd w:fill="F2F2F2" w:val="clear"/>
            <w:tcMar>
              <w:top w:type="dxa" w:w="80"/>
              <w:left w:type="dxa" w:w="120"/>
              <w:bottom w:type="dxa" w:w="80"/>
              <w:right w:type="dxa" w:w="120"/>
            </w:tcMar>
          </w:tcPr>
          <w:p>
            <w:pPr>
              <w:spacing w:after="40" w:before="40"/>
              <w:ind w:left="288"/>
            </w:pPr>
            <w:r>
              <w:rPr>
                <w:rFonts w:ascii="Calibri" w:cs="Calibri" w:eastAsia="Calibri" w:hAnsi="Calibri"/>
                <w:b/>
                <w:bCs/>
                <w:color w:val="C00000"/>
                <w:sz w:val="22"/>
                <w:szCs w:val="22"/>
              </w:rPr>
              <w:t xml:space="preserve">1. </w:t>
            </w:r>
            <w:r>
              <w:rPr>
                <w:rFonts w:ascii="Calibri" w:cs="Calibri" w:eastAsia="Calibri" w:hAnsi="Calibri"/>
                <w:color w:val="C00000"/>
                <w:sz w:val="22"/>
                <w:szCs w:val="22"/>
              </w:rPr>
              <w:t xml:space="preserve">Do NOT say any of these papers use RCT (Randomised Controlled Trial) — none do. Paper 2 uses Action Research; Paper 4 uses observational cross-sectional.</w:t>
            </w:r>
          </w:p>
          <w:p>
            <w:pPr>
              <w:spacing w:after="40" w:before="40"/>
              <w:ind w:left="288"/>
            </w:pPr>
            <w:r>
              <w:rPr>
                <w:rFonts w:ascii="Calibri" w:cs="Calibri" w:eastAsia="Calibri" w:hAnsi="Calibri"/>
                <w:b/>
                <w:bCs/>
                <w:color w:val="C00000"/>
                <w:sz w:val="22"/>
                <w:szCs w:val="22"/>
              </w:rPr>
              <w:t xml:space="preserve">2. </w:t>
            </w:r>
            <w:r>
              <w:rPr>
                <w:rFonts w:ascii="Calibri" w:cs="Calibri" w:eastAsia="Calibri" w:hAnsi="Calibri"/>
                <w:color w:val="C00000"/>
                <w:sz w:val="22"/>
                <w:szCs w:val="22"/>
              </w:rPr>
              <w:t xml:space="preserve">Paper 4's blood glucose result (no improvement) is explained by ECONOMICS AND BEHAVIOUR, not a failure of the AI or CHW model.</w:t>
            </w:r>
          </w:p>
          <w:p>
            <w:pPr>
              <w:spacing w:after="40" w:before="40"/>
              <w:ind w:left="288"/>
            </w:pPr>
            <w:r>
              <w:rPr>
                <w:rFonts w:ascii="Calibri" w:cs="Calibri" w:eastAsia="Calibri" w:hAnsi="Calibri"/>
                <w:b/>
                <w:bCs/>
                <w:color w:val="C00000"/>
                <w:sz w:val="22"/>
                <w:szCs w:val="22"/>
              </w:rPr>
              <w:t xml:space="preserve">3. </w:t>
            </w:r>
            <w:r>
              <w:rPr>
                <w:rFonts w:ascii="Calibri" w:cs="Calibri" w:eastAsia="Calibri" w:hAnsi="Calibri"/>
                <w:color w:val="C00000"/>
                <w:sz w:val="22"/>
                <w:szCs w:val="22"/>
              </w:rPr>
              <w:t xml:space="preserve">Paper 3's 61.9% is NOT the overall accuracy — it is correctness in the COMPARATIVE test. The overall accuracy is 86.68%.</w:t>
            </w:r>
          </w:p>
          <w:p>
            <w:pPr>
              <w:spacing w:after="40" w:before="40"/>
              <w:ind w:left="288"/>
            </w:pPr>
            <w:r>
              <w:rPr>
                <w:rFonts w:ascii="Calibri" w:cs="Calibri" w:eastAsia="Calibri" w:hAnsi="Calibri"/>
                <w:b/>
                <w:bCs/>
                <w:color w:val="C00000"/>
                <w:sz w:val="22"/>
                <w:szCs w:val="22"/>
              </w:rPr>
              <w:t xml:space="preserve">4. </w:t>
            </w:r>
            <w:r>
              <w:rPr>
                <w:rFonts w:ascii="Calibri" w:cs="Calibri" w:eastAsia="Calibri" w:hAnsi="Calibri"/>
                <w:color w:val="C00000"/>
                <w:sz w:val="22"/>
                <w:szCs w:val="22"/>
              </w:rPr>
              <w:t xml:space="preserve">Paper 1 CAGR scenario values: higher CAGR = higher revenue. 5% CAGR gives $7.463M (the highest), not the lowest.</w:t>
            </w:r>
          </w:p>
          <w:p>
            <w:pPr>
              <w:spacing w:after="40" w:before="40"/>
              <w:ind w:left="288"/>
            </w:pPr>
            <w:r>
              <w:rPr>
                <w:rFonts w:ascii="Calibri" w:cs="Calibri" w:eastAsia="Calibri" w:hAnsi="Calibri"/>
                <w:b/>
                <w:bCs/>
                <w:color w:val="C00000"/>
                <w:sz w:val="22"/>
                <w:szCs w:val="22"/>
              </w:rPr>
              <w:t xml:space="preserve">5. </w:t>
            </w:r>
            <w:r>
              <w:rPr>
                <w:rFonts w:ascii="Calibri" w:cs="Calibri" w:eastAsia="Calibri" w:hAnsi="Calibri"/>
                <w:color w:val="C00000"/>
                <w:sz w:val="22"/>
                <w:szCs w:val="22"/>
              </w:rPr>
              <w:t xml:space="preserve">Paper 2 and Paper 4 are related (same CMED platform) but by different authors, different study designs, different years, and different outcome measures.</w:t>
            </w:r>
          </w:p>
          <w:p>
            <w:pPr>
              <w:spacing w:before="20"/>
            </w:pPr>
          </w:p>
        </w:tc>
      </w:tr>
    </w:tbl>
    <w:sectPr>
      <w:pgSz w:w="11906" w:h="16838" w:orient="portrait"/>
      <w:pgMar w:top="1296" w:right="1584" w:bottom="1296" w:left="158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Exam Study Guide — CSE 6093</dc:title>
  <dc:creator>CSE 6093 RMTW Exam Guide</dc:creator>
  <dc:description>60 Q&amp;As, answer keys, comparison table, cheat sheets, exam traps, glossary for 4 research papers</dc:description>
  <cp:lastModifiedBy>Un-named</cp:lastModifiedBy>
  <cp:revision>1</cp:revision>
  <dcterms:created xsi:type="dcterms:W3CDTF">2026-10-05T07:20:07.811Z</dcterms:created>
  <dcterms:modified xsi:type="dcterms:W3CDTF">2026-10-05T07:20:07.812Z</dcterms:modified>
</cp:coreProperties>
</file>

<file path=docProps/custom.xml><?xml version="1.0" encoding="utf-8"?>
<Properties xmlns="http://schemas.openxmlformats.org/officeDocument/2006/custom-properties" xmlns:vt="http://schemas.openxmlformats.org/officeDocument/2006/docPropsVTypes"/>
</file>