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C3A03" w14:textId="77777777" w:rsidR="00680C1B" w:rsidRPr="00680C1B" w:rsidRDefault="00680C1B" w:rsidP="00680C1B">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680C1B">
        <w:rPr>
          <w:rFonts w:ascii="Times New Roman" w:eastAsia="Times New Roman" w:hAnsi="Times New Roman" w:cs="Times New Roman"/>
          <w:b/>
          <w:bCs/>
          <w:kern w:val="36"/>
          <w:sz w:val="48"/>
          <w:szCs w:val="48"/>
        </w:rPr>
        <w:t>Comprehensive Research Study Guide &amp; Viva Preparation Resource: Rural Healthcare Innovations and Clean Energy Transition in Bangladesh</w:t>
      </w:r>
    </w:p>
    <w:p w14:paraId="056A84B2" w14:textId="77777777" w:rsidR="00680C1B" w:rsidRPr="00680C1B" w:rsidRDefault="00680C1B" w:rsidP="00680C1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680C1B">
        <w:rPr>
          <w:rFonts w:ascii="Times New Roman" w:eastAsia="Times New Roman" w:hAnsi="Times New Roman" w:cs="Times New Roman"/>
          <w:b/>
          <w:bCs/>
          <w:sz w:val="36"/>
          <w:szCs w:val="36"/>
        </w:rPr>
        <w:t>Section 1: Research Paper Question &amp; Answer Sets (60 Questions Total)</w:t>
      </w:r>
    </w:p>
    <w:p w14:paraId="62716107" w14:textId="77777777" w:rsidR="00680C1B" w:rsidRPr="00680C1B" w:rsidRDefault="00680C1B" w:rsidP="00680C1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80C1B">
        <w:rPr>
          <w:rFonts w:ascii="Times New Roman" w:eastAsia="Times New Roman" w:hAnsi="Times New Roman" w:cs="Times New Roman"/>
          <w:b/>
          <w:bCs/>
          <w:sz w:val="27"/>
          <w:szCs w:val="27"/>
        </w:rPr>
        <w:t>1.1 Paper 1: Feasibility of Digital Health Services for Educating the Community People Regarding Lifestyle Modification Combating Noncommunicable Diseases (Faruque et al., 2019)</w:t>
      </w:r>
    </w:p>
    <w:p w14:paraId="32A42482"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Evaluating mobile health (mHealth) feasibility, usability, and clinical efficacy in resource-constrained rural settings is vital for mitigating the noncommunicable disease (NCD) crisis in developing nations like Bangladesh. Rapid epidemiological transitions have shifted the primary burden of mortality from infectious diseases to chronic conditions such as cardiovascular disease, hypertension, and diabetes. In rural geographies, where access to formal medical diagnostics and clinical professionals is severely restricted, mobile health platforms integrated with smart Internet of Things (IoT) sensors offer a transformative strategy for preventive primary care. Assessing the empirical validity, field operationality, and user reception of these digital health platforms is critical for establishing evidence-based public health interventions that reduce long-term diagnostic costs, hospitalization days, and population-level mortality. During an oral examination (viva voce), a doctoral candidate must be prepared to defend the methodological rigor of this Action Research framework. Specifically, candidates must articulate how method triangulation mitigates field measurement biases and justify the daytime sampling bias (which produced a 92.1% female respondent pool) as an operational reality of rural household-level data collection during standard working hours.</w:t>
      </w:r>
    </w:p>
    <w:p w14:paraId="5E195655"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 What macro health crisis and mortality statistics associated with noncommunicable diseases (NCDs) in rural Bangladesh form the context of this study? Answer: Bangladesh is experiencing a rapid epidemiological transition where chronic NCDs account for 68% of total deaths in rural areas, rising dramatically from just 8% in 1986. Nationally, cardiovascular diseases account for 31% of deaths and diabetes accounts for 3%, while 21% of adults suffer from hypertension and over 10% live with diabetes. This burgeoning NCD crisis is compounded by low health awareness, high out-of-pocket healthcare expenses (67% of total health costs), and a severe lack of preventive care infrastructure in rural communities where over 70% of the population resides.</w:t>
      </w:r>
    </w:p>
    <w:p w14:paraId="0D11E32F"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 xml:space="preserve">Q2. What specific research gap exists between commercial mHealth app development and academic validation? Answer: While commercial mHealth applications have expanded rapidly in mobile marketplaces—with over 165,000 health apps available and 34% of smartphone owners utilizing at least one health app—there is a major lack of empirical evidence regarding their actual </w:t>
      </w:r>
      <w:r w:rsidRPr="00680C1B">
        <w:rPr>
          <w:rFonts w:ascii="Times New Roman" w:eastAsia="Times New Roman" w:hAnsi="Times New Roman" w:cs="Times New Roman"/>
          <w:sz w:val="24"/>
          <w:szCs w:val="24"/>
        </w:rPr>
        <w:lastRenderedPageBreak/>
        <w:t>usability, efficacy, and clinical content validity. The traditional pace of academic research is slow and less nimble compared to the swift development cycles of commercial apps. This mismatch creates a significant dissemination lag, leaving public health systems without rigorous, peer-reviewed evaluations of whether commercially available digital tools effectively drive preventive health behavior change in low-resource settings.</w:t>
      </w:r>
    </w:p>
    <w:p w14:paraId="02452F8F"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Q3. What are the core research objectives of the evaluation conducted by Faruque et al. (2019)? Answer: The primary objective was to evaluate the content, usability, and clinical efficacy of the commercially launched CMED digital healthcare platform in rural Bangladesh. Specifically, the study sought to assess how effectively the IoT-enabled platform facilitates primary health screening, early detection of major NCDs (hypertension, diabetes, and cardiovascular risk factors), and lifestyle modifications among rural villagers. Furthermore, it aimed to analyze user acceptance and operational feasibility across three distinct stakeholder groups: service receivers, service providers (community health workers), and organization health managers.</w:t>
      </w:r>
    </w:p>
    <w:p w14:paraId="333E3E3E"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Q4. What is the strategic purpose of implementing preventive digital primary care in rural communities? Answer: The strategic purpose is to establish an accessible, low-cost preventive screening framework that identifies NCD risk factors at an early stage, thereby preventing severe medical complications before patients require costly tertiary care. Research demonstrates that preventive interventions and lifestyle modifications can prevent up to 90% of strokes, 80% of heart attacks, and 73% of diabetes cases. By shifting the healthcare focus from expensive curative treatments to community-level continuous monitoring, the platform aims to minimize diagnostic time, lower out-of-pocket drug and hospitalization costs, and relieve structural pressure on the national health grid.</w:t>
      </w:r>
    </w:p>
    <w:p w14:paraId="75E69A54"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 xml:space="preserve">Q5. What were the pilot dataset scope, geographic location, and demographic characteristics of the survey sample? Answer: The pilot project was implemented across 21 villages in </w:t>
      </w:r>
      <w:proofErr w:type="spellStart"/>
      <w:r w:rsidRPr="00680C1B">
        <w:rPr>
          <w:rFonts w:ascii="Times New Roman" w:eastAsia="Times New Roman" w:hAnsi="Times New Roman" w:cs="Times New Roman"/>
          <w:sz w:val="24"/>
          <w:szCs w:val="24"/>
        </w:rPr>
        <w:t>Dhamrai</w:t>
      </w:r>
      <w:proofErr w:type="spellEnd"/>
      <w:r w:rsidRPr="00680C1B">
        <w:rPr>
          <w:rFonts w:ascii="Times New Roman" w:eastAsia="Times New Roman" w:hAnsi="Times New Roman" w:cs="Times New Roman"/>
          <w:sz w:val="24"/>
          <w:szCs w:val="24"/>
        </w:rPr>
        <w:t xml:space="preserve"> </w:t>
      </w:r>
      <w:proofErr w:type="spellStart"/>
      <w:r w:rsidRPr="00680C1B">
        <w:rPr>
          <w:rFonts w:ascii="Times New Roman" w:eastAsia="Times New Roman" w:hAnsi="Times New Roman" w:cs="Times New Roman"/>
          <w:sz w:val="24"/>
          <w:szCs w:val="24"/>
        </w:rPr>
        <w:t>upazila</w:t>
      </w:r>
      <w:proofErr w:type="spellEnd"/>
      <w:r w:rsidRPr="00680C1B">
        <w:rPr>
          <w:rFonts w:ascii="Times New Roman" w:eastAsia="Times New Roman" w:hAnsi="Times New Roman" w:cs="Times New Roman"/>
          <w:sz w:val="24"/>
          <w:szCs w:val="24"/>
        </w:rPr>
        <w:t xml:space="preserve"> (sub-district) of the greater Dhaka district, reaching over 32,000 individuals across approximately 7,000 households over a six-month period (July to December 2019). The quantitative survey sample comprised 393 service receivers. Notably, 92.1% of the survey respondents were female and 7.9% were male, a demographic distribution resulting from conducting field interviews during daytime hours when adult males were typically away engaged in outdoor employment.</w:t>
      </w:r>
    </w:p>
    <w:p w14:paraId="2ABB7623"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Q6. What justification did the authors provide for collecting field data across service receivers, providers, and health managers? Answer: Assessing system feasibility required a holistic evaluation of the entire service delivery chain rather than relying solely on patient feedback. Service receivers provided essential insights regarding app acceptance, trust in digital readings, screen clarity, and health awareness changes. Direct service providers (community health workers) provided vital data on field usability, operational efficiency, device portability, and workload impacts. Finally, senior management staff and health managers offered crucial organizational perspectives regarding remote supervisory oversight, system gaps, administrative data visualization, and operational scalability.</w:t>
      </w:r>
    </w:p>
    <w:p w14:paraId="74AFECA9"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 xml:space="preserve">Q7. What research methodology and triangulation framework were applied in this study? Answer: The study utilized an Action Research methodology structured around a comprehensive </w:t>
      </w:r>
      <w:r w:rsidRPr="00680C1B">
        <w:rPr>
          <w:rFonts w:ascii="Times New Roman" w:eastAsia="Times New Roman" w:hAnsi="Times New Roman" w:cs="Times New Roman"/>
          <w:sz w:val="24"/>
          <w:szCs w:val="24"/>
        </w:rPr>
        <w:lastRenderedPageBreak/>
        <w:t>triangulation framework that combined quantitative, qualitative, and participant observation data collection techniques. Quantitative data were gathered via semi-structured surveys of 393 service receivers and aggregated screening metrics logged directly by the platform. Qualitative data were collected through Key Informant Interviews (KIIs) with service delivery leaders, NGO managers, and village opinion leaders, alongside four Focus Group Discussions (FGDs)—two with service receivers and two with community health workers (comparing digital smart kit users against manual equipment users). Continuous participant observation was conducted throughout the six-month deployment.</w:t>
      </w:r>
    </w:p>
    <w:p w14:paraId="1C170855"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 xml:space="preserve">Q8. What are the key architectural components and operational workflows of the CMED digital health platform? Answer: The platform features an Internet of Things (IoT)-enabled, Artificial Intelligence (AI)-driven cloud architecture paired with a native smartphone application and portable medical sensors. The physical hardware kit includes smart </w:t>
      </w:r>
      <w:proofErr w:type="spellStart"/>
      <w:r w:rsidRPr="00680C1B">
        <w:rPr>
          <w:rFonts w:ascii="Times New Roman" w:eastAsia="Times New Roman" w:hAnsi="Times New Roman" w:cs="Times New Roman"/>
          <w:sz w:val="24"/>
          <w:szCs w:val="24"/>
        </w:rPr>
        <w:t>bluetooth</w:t>
      </w:r>
      <w:proofErr w:type="spellEnd"/>
      <w:r w:rsidRPr="00680C1B">
        <w:rPr>
          <w:rFonts w:ascii="Times New Roman" w:eastAsia="Times New Roman" w:hAnsi="Times New Roman" w:cs="Times New Roman"/>
          <w:sz w:val="24"/>
          <w:szCs w:val="24"/>
        </w:rPr>
        <w:t>-connected devices: a blood pressure monitor, digital blood glucose meter, pulse oximeter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SpO}_2), digital weight scale, height scale, and thermometer. Vital parameters measured in the field are transmitted via the mobile app to a secure cloud server, using local SQLite app databases to queue data offline when cellular connectivity drops and syncing via JSON REST APIs once connected. An integrated Clinical Decision Support System (CDSS) automatically analyzes incoming data against clinical thresholds, generates immediate color-coded risk feedback on the mobile screen, updates shareable cloud-based electronic health records, and triggers automated SMS alerts or doctor consultations if high-risk parameters are detected.</w:t>
      </w:r>
    </w:p>
    <w:p w14:paraId="3AA75EF3"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Q9. How does the proposed solution enable early NCD detection and community lifestyle modification? Answer: The CMED solution equips Community Health Workers (CHWs) with portable health kits to conduct door-to-door screenings and present color-coded measurement records directly to villagers on a smartphone screen in their native language. Immediate risk feedback generated by the internal Clinical Decision Support System (CDSS) informs users of their immediate health status (e.g., normal, pre-hypertensive, diabetic). This visual transparency and instant feedback build patient trust, elevate health consciousness, and motivate immediate lifestyle modifications, such as starting daily walking regimes or altering dietary habits, while preserving digital records for future clinical consultations.</w:t>
      </w:r>
    </w:p>
    <w:p w14:paraId="41F2615A"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Q10. How should the mixed-methods analytical approach implemented in Paper 1 be classified? Answer: The study employs a convergent mixed-methods analysis within an Action Research design framework. Quantitative analysis involved descriptive statistical evaluation of demographic survey data, user satisfaction percentages, service utilization counts, and comparative prevalence shifts between baseline self-reported NCD status and actual screened parameters. Qualitative analysis involved thematic transcription and direct quote analysis of FGDs and KIIs to evaluate subjective user experiences, trust dynamics, operational barriers, and workflow efficiencies among health workers and community participants.</w:t>
      </w:r>
    </w:p>
    <w:p w14:paraId="0A8D81B4"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 xml:space="preserve">Q11. Against what evaluation standards and policy guidelines were the CMED app contents validated? Answer: The clinical algorithms, cutoff values, and health advice embedded within the CMED platform were formally validated against the National Protocol on Diabetes and Hypertension in Bangladesh. To ensure contextual alignment with rural primary healthcare delivery standards, the system's decision-support parameters, medical cutoff thresholds, and health </w:t>
      </w:r>
      <w:r w:rsidRPr="00680C1B">
        <w:rPr>
          <w:rFonts w:ascii="Times New Roman" w:eastAsia="Times New Roman" w:hAnsi="Times New Roman" w:cs="Times New Roman"/>
          <w:sz w:val="24"/>
          <w:szCs w:val="24"/>
        </w:rPr>
        <w:lastRenderedPageBreak/>
        <w:t>instruction modules underwent rigorous expert evaluation and review during a dedicated policy-level workshop attended by medical professionals, health managers, policy makers, and field supervisors.</w:t>
      </w:r>
    </w:p>
    <w:p w14:paraId="71B59F38"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Q12. How did the digital screening platform demonstrate superior efficacy compared to traditional manual screening methods? Answer: Efficacy was established by comparing digital health measurements against traditional manual equipment and baseline self-reported diagnoses. The digital platform eliminated complex, error-prone manual calculations—such as manual Body Mass Index (BMI) computation—allowing CHWs to track weight and height parameters instantaneously. Furthermore, the automated transmission of accurate measurements (demonstrating over 90% result accuracy) directly to cloud storage removed manual record-keeping errors, accelerated screening speed, enabled historical data trend comparisons, and established greater diagnostic transparency for villagers compared to manual analog tools.</w:t>
      </w:r>
    </w:p>
    <w:p w14:paraId="5FAA1676"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Q13. What were the main empirical results regarding screening volume and NCD detection rates? Answer: Over the six-month pilot, 17,907 adult individuals received primary health screenings, generating 36,326 blood pressure readings, 34,721 BMI evaluations, 38,400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SpO}_2 measurements, 1,348 blood glucose tests, and 1,229 child Mid-Upper Arm Circumference (MUAC) malnutrition screenings. Screening revealed dramatic gaps in NCD awareness: while only 2.7% of participants were aware they had diabetes prior to screening, actual testing identified a diabetic prevalence of 15.8%. Similarly, baseline self-reported hypertension was only 6.5%, whereas digital screening identified an actual prevalence of 11.5%.</w:t>
      </w:r>
    </w:p>
    <w:p w14:paraId="1B2C9518"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Q14. What level of user satisfaction was recorded, and what primary factors drove high community acceptance? Answer: Overall user acceptance was exceptionally high, with 99.5% of surveyed service receivers expressing satisfaction and demanding the continuation of digital health services. Acceptance was primarily driven by four factors: direct visual visibility of screening results on the smartphone screen (27.3%), instant delivery of clinical advice via the CDSS (12.8%), the ability to view and compare historical health records stored in the cloud (14.4%), and the smart, modern appearance of the digital equipment paired with rapid service delivery at their doorsteps.</w:t>
      </w:r>
    </w:p>
    <w:p w14:paraId="18608699"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Q15. What real-world operational impacts were observed for Community Health Workers, and what key research limitation was acknowledged? Answer: For CHWs, the app significantly streamlined operational workflows by automating reporting, reducing field administrative burden, and increasing their social standing and trust within target communities. Crucially, the app incorporated an offline data architecture using local SQLite databases that queued screening records in low-connectivity rural pockets and synchronized with cloud servers via JSON REST APIs upon regaining signal. However, the authors explicitly acknowledged a major research limitation: due to the short six-month study duration, the project could only evaluate immediate feasibility, usability, and screening efficacy; it was unable to track long-term health outcomes or quantify sustained health behavior changes over an extended multi-year period.</w:t>
      </w:r>
    </w:p>
    <w:p w14:paraId="4A185CFF"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The empirical findings of Paper 1 establish that mHealth platforms are highly effective for community-level NCD screening and preventive engagement; however, sustaining such digital healthcare systems requires resilient electrical and technical infrastructure across remote facilities, leading directly to the techno-economic infrastructure modeling presented in Paper 2.</w:t>
      </w:r>
    </w:p>
    <w:p w14:paraId="23B46C12" w14:textId="77777777" w:rsidR="00680C1B" w:rsidRPr="00680C1B" w:rsidRDefault="00680C1B" w:rsidP="00680C1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80C1B">
        <w:rPr>
          <w:rFonts w:ascii="Times New Roman" w:eastAsia="Times New Roman" w:hAnsi="Times New Roman" w:cs="Times New Roman"/>
          <w:b/>
          <w:bCs/>
          <w:sz w:val="27"/>
          <w:szCs w:val="27"/>
        </w:rPr>
        <w:lastRenderedPageBreak/>
        <w:t>1.2 Paper 2: A Pathway to Carbon-Neutral Healthcare: Exploring Potential of Rooftop Solar Net Metering and Carbon Credits for Rural Medical Facilities in Bangladesh (Reza et al., 2026)</w:t>
      </w:r>
    </w:p>
    <w:p w14:paraId="5BA2A250"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Integrating renewable energy net metering with carbon credit monetization addresses rural healthcare grid unreliability and supports carbon reduction targets in Bangladesh. Rural medical centers—serving the majority of the nation's population—are severely hampered by chronic power outages, weak distribution grids, and high operational costs associated with conventional fossil-fuel-generated electricity. By converting public facility rooftops into grid-tied solar photovoltaic (PV) generators operating under formal Net Metering Systems (NMS), healthcare facilities can secure uninterrupted power for critical medical equipment, reduce state utility expenditures, and sell surplus clean electricity back to the national grid. Monitored through environmental finance frameworks, these clean energy installations generate verifiable carbon offset credits under international compliance or voluntary carbon markets, introducing a novel revenue stream that accelerates decarbonization and infrastructure resilience in vulnerable developing regions. During an academic defense, candidates defending this paper must be prepared to justify the macro aggregation model, which treats 5,424 geographically dispersed rural facilities as a unified system, and defend applying a uniform average Global Horizontal Irradiance (GHI) value of 4.59 \</w:t>
      </w:r>
      <w:proofErr w:type="gramStart"/>
      <w:r w:rsidRPr="00680C1B">
        <w:rPr>
          <w:rFonts w:ascii="Times New Roman" w:eastAsia="Times New Roman" w:hAnsi="Times New Roman" w:cs="Times New Roman"/>
          <w:sz w:val="24"/>
          <w:szCs w:val="24"/>
        </w:rPr>
        <w:t>text{ kWh</w:t>
      </w:r>
      <w:proofErr w:type="gramEnd"/>
      <w:r w:rsidRPr="00680C1B">
        <w:rPr>
          <w:rFonts w:ascii="Times New Roman" w:eastAsia="Times New Roman" w:hAnsi="Times New Roman" w:cs="Times New Roman"/>
          <w:sz w:val="24"/>
          <w:szCs w:val="24"/>
        </w:rPr>
        <w:t>/m}^2/\text{day}. Candidates must explain that Bangladesh's compact geography near the Tropic of Cancer yields minimal solar radiation variance across regions (under 20% max-to-min variance), while facility load profiles are highly uniform due to daylight-centric clinic hours.</w:t>
      </w:r>
    </w:p>
    <w:p w14:paraId="0939C49D"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Q16. What critical energy security issues, distribution grid limitations, and carbon emission levels define Bangladesh's power sector? Answer: Bangladesh's power sector is heavily reliant on fossil fuels (39.6% natural gas, 23.0% coal, 18.6% heavy fuel oil as of May 2025), with renewable energy contributing only 4.98% of total installed capacity. Rural distribution networks lag behind central generation expansion, causing frequent power outages and severe voltage fluctuations that compromise rural medical clinic operations. Environmentally, the power sector is the nation's single largest greenhouse gas emitter, responsible for 60 \</w:t>
      </w:r>
      <w:proofErr w:type="gramStart"/>
      <w:r w:rsidRPr="00680C1B">
        <w:rPr>
          <w:rFonts w:ascii="Times New Roman" w:eastAsia="Times New Roman" w:hAnsi="Times New Roman" w:cs="Times New Roman"/>
          <w:sz w:val="24"/>
          <w:szCs w:val="24"/>
        </w:rPr>
        <w:t>text{ Mt</w:t>
      </w:r>
      <w:proofErr w:type="gramEnd"/>
      <w:r w:rsidRPr="00680C1B">
        <w:rPr>
          <w:rFonts w:ascii="Times New Roman" w:eastAsia="Times New Roman" w:hAnsi="Times New Roman" w:cs="Times New Roman"/>
          <w:sz w:val="24"/>
          <w:szCs w:val="24"/>
        </w:rPr>
        <w:t>} of \text{CO}_2 in 2022 (58.1% of national fuel combustion emissions). Power sector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 xml:space="preserve">CO}_2 emissions grew by 420% between 2000 and 2022, placing the country on a trajectory to emit 279 \text{ </w:t>
      </w:r>
      <w:proofErr w:type="spellStart"/>
      <w:r w:rsidRPr="00680C1B">
        <w:rPr>
          <w:rFonts w:ascii="Times New Roman" w:eastAsia="Times New Roman" w:hAnsi="Times New Roman" w:cs="Times New Roman"/>
          <w:sz w:val="24"/>
          <w:szCs w:val="24"/>
        </w:rPr>
        <w:t>MtCO</w:t>
      </w:r>
      <w:proofErr w:type="spellEnd"/>
      <w:r w:rsidRPr="00680C1B">
        <w:rPr>
          <w:rFonts w:ascii="Times New Roman" w:eastAsia="Times New Roman" w:hAnsi="Times New Roman" w:cs="Times New Roman"/>
          <w:sz w:val="24"/>
          <w:szCs w:val="24"/>
        </w:rPr>
        <w:t>}_2\text{e} by 2041 if fossil fuel reliance continues unchecked.</w:t>
      </w:r>
    </w:p>
    <w:p w14:paraId="08385D95"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Q17. What major research gap in existing rooftop solar literature does Reza et al. (2026) address? Answer: Prior academic research on rooftop solar Net Metering Systems (NMS) in Bangladesh focused almost exclusively on isolated, single-building engineering case studies or individual commercial facilities (such as textile mills or university buildings). No comprehensive study had evaluated the cumulative techno-economic impact of deploying rooftop solar NMS across an entire public sector network—specifically the rural healthcare infrastructure comprising thousands of geographically distributed facilities. Furthermore, existing literature failed to model the financial integration of revenue from carbon credit sales (environmental attributes) into the cost-benefit analysis of public sector solar transitions.</w:t>
      </w:r>
    </w:p>
    <w:p w14:paraId="756AC67D"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Q18. What are the main objectives of the research paper? Answer: The primary objective was to conduct a comprehensive techno-economic feasibility assessment of implementing grid-</w:t>
      </w:r>
      <w:proofErr w:type="spellStart"/>
      <w:r w:rsidRPr="00680C1B">
        <w:rPr>
          <w:rFonts w:ascii="Times New Roman" w:eastAsia="Times New Roman" w:hAnsi="Times New Roman" w:cs="Times New Roman"/>
          <w:sz w:val="24"/>
          <w:szCs w:val="24"/>
        </w:rPr>
        <w:t>tied</w:t>
      </w:r>
      <w:proofErr w:type="spellEnd"/>
      <w:r w:rsidRPr="00680C1B">
        <w:rPr>
          <w:rFonts w:ascii="Times New Roman" w:eastAsia="Times New Roman" w:hAnsi="Times New Roman" w:cs="Times New Roman"/>
          <w:sz w:val="24"/>
          <w:szCs w:val="24"/>
        </w:rPr>
        <w:t xml:space="preserve"> rooftop solar NMS across 5,424 rural medical facilities in Bangladesh. The secondary objective </w:t>
      </w:r>
      <w:r w:rsidRPr="00680C1B">
        <w:rPr>
          <w:rFonts w:ascii="Times New Roman" w:eastAsia="Times New Roman" w:hAnsi="Times New Roman" w:cs="Times New Roman"/>
          <w:sz w:val="24"/>
          <w:szCs w:val="24"/>
        </w:rPr>
        <w:lastRenderedPageBreak/>
        <w:t>was to formulate an integrated financial model incorporating carbon credit sales revenues derived from verified greenhouse gas reductions to maximize green investment returns. The third objective was to perform a comparative gap analysis between the 2018 and 2025 Net Metering Guidelines of Bangladesh to offer actionable regulatory and policy recommendations for nationwide clean energy scaling.</w:t>
      </w:r>
    </w:p>
    <w:p w14:paraId="1C4D8D71"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Q19. How does large-scale rooftop solar adoption align with Bangladesh's international climate commitments and national energy policies? Answer: The initiative directly supports Bangladesh's Paris Agreement Nationally Determined Contributions (NDC 2021 update), which commit the nation to cutting energy sector emissions by 18.94 \</w:t>
      </w:r>
      <w:proofErr w:type="gramStart"/>
      <w:r w:rsidRPr="00680C1B">
        <w:rPr>
          <w:rFonts w:ascii="Times New Roman" w:eastAsia="Times New Roman" w:hAnsi="Times New Roman" w:cs="Times New Roman"/>
          <w:sz w:val="24"/>
          <w:szCs w:val="24"/>
        </w:rPr>
        <w:t xml:space="preserve">text{ </w:t>
      </w:r>
      <w:proofErr w:type="spellStart"/>
      <w:r w:rsidRPr="00680C1B">
        <w:rPr>
          <w:rFonts w:ascii="Times New Roman" w:eastAsia="Times New Roman" w:hAnsi="Times New Roman" w:cs="Times New Roman"/>
          <w:sz w:val="24"/>
          <w:szCs w:val="24"/>
        </w:rPr>
        <w:t>MtCO</w:t>
      </w:r>
      <w:proofErr w:type="spellEnd"/>
      <w:proofErr w:type="gramEnd"/>
      <w:r w:rsidRPr="00680C1B">
        <w:rPr>
          <w:rFonts w:ascii="Times New Roman" w:eastAsia="Times New Roman" w:hAnsi="Times New Roman" w:cs="Times New Roman"/>
          <w:sz w:val="24"/>
          <w:szCs w:val="24"/>
        </w:rPr>
        <w:t xml:space="preserve">}_2\text{e} unconditionally and up to 61.9 \text{ </w:t>
      </w:r>
      <w:proofErr w:type="spellStart"/>
      <w:r w:rsidRPr="00680C1B">
        <w:rPr>
          <w:rFonts w:ascii="Times New Roman" w:eastAsia="Times New Roman" w:hAnsi="Times New Roman" w:cs="Times New Roman"/>
          <w:sz w:val="24"/>
          <w:szCs w:val="24"/>
        </w:rPr>
        <w:t>MtCO</w:t>
      </w:r>
      <w:proofErr w:type="spellEnd"/>
      <w:r w:rsidRPr="00680C1B">
        <w:rPr>
          <w:rFonts w:ascii="Times New Roman" w:eastAsia="Times New Roman" w:hAnsi="Times New Roman" w:cs="Times New Roman"/>
          <w:sz w:val="24"/>
          <w:szCs w:val="24"/>
        </w:rPr>
        <w:t xml:space="preserve">}_2\text{e} conditionally by 2030 (with a specific power sector target of 43.74 \text{ </w:t>
      </w:r>
      <w:proofErr w:type="spellStart"/>
      <w:r w:rsidRPr="00680C1B">
        <w:rPr>
          <w:rFonts w:ascii="Times New Roman" w:eastAsia="Times New Roman" w:hAnsi="Times New Roman" w:cs="Times New Roman"/>
          <w:sz w:val="24"/>
          <w:szCs w:val="24"/>
        </w:rPr>
        <w:t>MtCO</w:t>
      </w:r>
      <w:proofErr w:type="spellEnd"/>
      <w:r w:rsidRPr="00680C1B">
        <w:rPr>
          <w:rFonts w:ascii="Times New Roman" w:eastAsia="Times New Roman" w:hAnsi="Times New Roman" w:cs="Times New Roman"/>
          <w:sz w:val="24"/>
          <w:szCs w:val="24"/>
        </w:rPr>
        <w:t>}_2 reduction). Furthermore, it advances the goals of the Integrated Energy and Power Master Plan (IEPMP 2023), which targets clean energy shares of 18% (5.7% RE) by 2030 and 40% (8.8% RE) by 2041, as well as the Renewable Energy Policy targets aimed at diversifying energy supply and fostering carbon neutrality.</w:t>
      </w:r>
    </w:p>
    <w:p w14:paraId="6637EE68"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 xml:space="preserve">Q20. What empirical dataset and facility aggregation approach were utilized to model Bangladesh's rural healthcare sector? Answer: The authors collected detailed physical and operational data from 50 representative, real-life rural healthcare facilities distributed across Bangladesh, encompassing Union Health and Family Welfare </w:t>
      </w:r>
      <w:proofErr w:type="spellStart"/>
      <w:r w:rsidRPr="00680C1B">
        <w:rPr>
          <w:rFonts w:ascii="Times New Roman" w:eastAsia="Times New Roman" w:hAnsi="Times New Roman" w:cs="Times New Roman"/>
          <w:sz w:val="24"/>
          <w:szCs w:val="24"/>
        </w:rPr>
        <w:t>Centres</w:t>
      </w:r>
      <w:proofErr w:type="spellEnd"/>
      <w:r w:rsidRPr="00680C1B">
        <w:rPr>
          <w:rFonts w:ascii="Times New Roman" w:eastAsia="Times New Roman" w:hAnsi="Times New Roman" w:cs="Times New Roman"/>
          <w:sz w:val="24"/>
          <w:szCs w:val="24"/>
        </w:rPr>
        <w:t xml:space="preserve"> (under DGFP and DGHS), Union Sub-</w:t>
      </w:r>
      <w:proofErr w:type="spellStart"/>
      <w:r w:rsidRPr="00680C1B">
        <w:rPr>
          <w:rFonts w:ascii="Times New Roman" w:eastAsia="Times New Roman" w:hAnsi="Times New Roman" w:cs="Times New Roman"/>
          <w:sz w:val="24"/>
          <w:szCs w:val="24"/>
        </w:rPr>
        <w:t>Centres</w:t>
      </w:r>
      <w:proofErr w:type="spellEnd"/>
      <w:r w:rsidRPr="00680C1B">
        <w:rPr>
          <w:rFonts w:ascii="Times New Roman" w:eastAsia="Times New Roman" w:hAnsi="Times New Roman" w:cs="Times New Roman"/>
          <w:sz w:val="24"/>
          <w:szCs w:val="24"/>
        </w:rPr>
        <w:t>, 10-bed hospitals, and 20-bed hospitals. To enable macro-level system modeling, data from these representative sites were aggregated to model the country's entire ecosystem of 5,424 rural healthcare facilities. The compiled dataset established a total usable rooftop space of 70,799 \</w:t>
      </w:r>
      <w:proofErr w:type="gramStart"/>
      <w:r w:rsidRPr="00680C1B">
        <w:rPr>
          <w:rFonts w:ascii="Times New Roman" w:eastAsia="Times New Roman" w:hAnsi="Times New Roman" w:cs="Times New Roman"/>
          <w:sz w:val="24"/>
          <w:szCs w:val="24"/>
        </w:rPr>
        <w:t>text{ m</w:t>
      </w:r>
      <w:proofErr w:type="gramEnd"/>
      <w:r w:rsidRPr="00680C1B">
        <w:rPr>
          <w:rFonts w:ascii="Times New Roman" w:eastAsia="Times New Roman" w:hAnsi="Times New Roman" w:cs="Times New Roman"/>
          <w:sz w:val="24"/>
          <w:szCs w:val="24"/>
        </w:rPr>
        <w:t>}^2 and a combined sanctioned electrical load of 9.30 \text{ MW}.</w:t>
      </w:r>
    </w:p>
    <w:p w14:paraId="0AC1FB21"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Q21. What data justifications were provided for modeling facilities as a single consolidated unit and applying a uniform solar irradiance parameter? Answer: Combining 5,424 distributed facilities into a single macro system simplified regional variable calculations and provided a consolidated investment perspective for national decision-makers and international climate financiers. Applying a uniform solar irradiance value of 4.59 \</w:t>
      </w:r>
      <w:proofErr w:type="gramStart"/>
      <w:r w:rsidRPr="00680C1B">
        <w:rPr>
          <w:rFonts w:ascii="Times New Roman" w:eastAsia="Times New Roman" w:hAnsi="Times New Roman" w:cs="Times New Roman"/>
          <w:sz w:val="24"/>
          <w:szCs w:val="24"/>
        </w:rPr>
        <w:t>text{ kWh</w:t>
      </w:r>
      <w:proofErr w:type="gramEnd"/>
      <w:r w:rsidRPr="00680C1B">
        <w:rPr>
          <w:rFonts w:ascii="Times New Roman" w:eastAsia="Times New Roman" w:hAnsi="Times New Roman" w:cs="Times New Roman"/>
          <w:sz w:val="24"/>
          <w:szCs w:val="24"/>
        </w:rPr>
        <w:t>/m}^2/\text{day} (Global Horizontal Irradiance) was justified because Bangladesh is geographically situated near the Tropic of Cancer, resulting in minimal solar radiation variance between northern and southern regions (maximum-to-minimum regional GHI variance is under 20%). Additionally, rural health clinics operate primarily during daylight hours with uniform operational schedules, yielding consistent daily load profiles.</w:t>
      </w:r>
    </w:p>
    <w:p w14:paraId="4ECBD151"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Q22. What technical methodology and software tools were used for system sizing and output calculation? Answer: System sizing and energy generation modeling were performed using the web-based Net Metering Calculator developed by the Sustainable and Renewable Energy Development Authority (SREDA). The calculator evaluated usable rooftop area, sanctioned electrical loads, equipment degradation, and retail utility tariffs under the regulatory framework of Bangladesh's Net Metering Guidelines. Technical output calculations applied the AC output generation method (assuming an average yield of 1,200 \</w:t>
      </w:r>
      <w:proofErr w:type="gramStart"/>
      <w:r w:rsidRPr="00680C1B">
        <w:rPr>
          <w:rFonts w:ascii="Times New Roman" w:eastAsia="Times New Roman" w:hAnsi="Times New Roman" w:cs="Times New Roman"/>
          <w:sz w:val="24"/>
          <w:szCs w:val="24"/>
        </w:rPr>
        <w:t>text{ kWh</w:t>
      </w:r>
      <w:proofErr w:type="gramEnd"/>
      <w:r w:rsidRPr="00680C1B">
        <w:rPr>
          <w:rFonts w:ascii="Times New Roman" w:eastAsia="Times New Roman" w:hAnsi="Times New Roman" w:cs="Times New Roman"/>
          <w:sz w:val="24"/>
          <w:szCs w:val="24"/>
        </w:rPr>
        <w:t>/</w:t>
      </w:r>
      <w:proofErr w:type="spellStart"/>
      <w:r w:rsidRPr="00680C1B">
        <w:rPr>
          <w:rFonts w:ascii="Times New Roman" w:eastAsia="Times New Roman" w:hAnsi="Times New Roman" w:cs="Times New Roman"/>
          <w:sz w:val="24"/>
          <w:szCs w:val="24"/>
        </w:rPr>
        <w:t>kWp</w:t>
      </w:r>
      <w:proofErr w:type="spellEnd"/>
      <w:r w:rsidRPr="00680C1B">
        <w:rPr>
          <w:rFonts w:ascii="Times New Roman" w:eastAsia="Times New Roman" w:hAnsi="Times New Roman" w:cs="Times New Roman"/>
          <w:sz w:val="24"/>
          <w:szCs w:val="24"/>
        </w:rPr>
        <w:t>/year}), incorporating an initial PV module efficiency degradation of 1% in year one, declining linearly to 83% efficiency by year 20.</w:t>
      </w:r>
    </w:p>
    <w:p w14:paraId="7C29F055"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lastRenderedPageBreak/>
        <w:t>Q23. What theoretical frameworks govern grid-tied solar NMS and Clean Development Mechanism (CDM) carbon credit accounting? Answer: Grid-tied solar NMS operates on a bi-directional billing framework governed by mass balance energy exchange equations (\Delta P = P_{</w:t>
      </w:r>
      <w:proofErr w:type="spellStart"/>
      <w:r w:rsidRPr="00680C1B">
        <w:rPr>
          <w:rFonts w:ascii="Times New Roman" w:eastAsia="Times New Roman" w:hAnsi="Times New Roman" w:cs="Times New Roman"/>
          <w:sz w:val="24"/>
          <w:szCs w:val="24"/>
        </w:rPr>
        <w:t>pv</w:t>
      </w:r>
      <w:proofErr w:type="spellEnd"/>
      <w:r w:rsidRPr="00680C1B">
        <w:rPr>
          <w:rFonts w:ascii="Times New Roman" w:eastAsia="Times New Roman" w:hAnsi="Times New Roman" w:cs="Times New Roman"/>
          <w:sz w:val="24"/>
          <w:szCs w:val="24"/>
        </w:rPr>
        <w:t>} - P_{Load}), exporting surplus daytime solar generation to the local distribution grid and importing grid power when demand exceeds generation. Carbon credit accounting is governed by the United Nations Framework Convention on Climate Change (UNFCCC) Clean Development Mechanism (CDM) and Certified Emission Reduction (CER) principles.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 xml:space="preserve">CO}_2 offsets are calculated by multiplying annual clean megawatt-hours generated by Bangladesh's Grid Emission Factor (\text{GEF} = 484 \text{ </w:t>
      </w:r>
      <w:proofErr w:type="spellStart"/>
      <w:r w:rsidRPr="00680C1B">
        <w:rPr>
          <w:rFonts w:ascii="Times New Roman" w:eastAsia="Times New Roman" w:hAnsi="Times New Roman" w:cs="Times New Roman"/>
          <w:sz w:val="24"/>
          <w:szCs w:val="24"/>
        </w:rPr>
        <w:t>gCO</w:t>
      </w:r>
      <w:proofErr w:type="spellEnd"/>
      <w:r w:rsidRPr="00680C1B">
        <w:rPr>
          <w:rFonts w:ascii="Times New Roman" w:eastAsia="Times New Roman" w:hAnsi="Times New Roman" w:cs="Times New Roman"/>
          <w:sz w:val="24"/>
          <w:szCs w:val="24"/>
        </w:rPr>
        <w:t>}_2/\text{kWh}), allowing certified reductions to be monetized in compliance or voluntary carbon markets.</w:t>
      </w:r>
    </w:p>
    <w:p w14:paraId="6FF5D9E6"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Q24. How do the CAPEX and OPEX financial implementation models differ for public solar deployment, and what financing barriers exist? Answer: Under the Capital Expenditure (CAPEX) model, the healthcare facility or government agency finances 100% of the initial system installation upfront, directly engaging an Engineering, Procurement, and Construction (EPC) contractor; the institution retains full asset ownership, absorbs operational risks, and reaps 100% of long-term electricity bill savings. Under the Operational Expenditure (OPEX) model, a Renewable Energy Service Company (RESCO) funds, owns, and maintains the solar installation, selling power to the facility via a Power Purchase Agreement (PPA). However, major financing barriers hinder OPEX deployment in Bangladesh because financial institutions hesitate to extend non-recourse project finance to RESCOs due to weak credit rating mechanisms for rural public facilities, lack of formal asset recognition for bank collateral, and PPA payment default risks.</w:t>
      </w:r>
    </w:p>
    <w:p w14:paraId="45B5317C"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Q25. How should the core analytical methodologies of Paper 2 be categorized? Answer: Paper 2 is categorized as a quantitative techno-economic modeling, financial risk valuation, and policy gap analysis study. It utilizes life-cycle cost-benefit analysis (LCCBA) to evaluate net present values and discounted cash flows over a 20-year operational horizon. This is combined with environmental accounting methods (Grid Emission Factor modeling) and multi-scenario parametric sensitivity analysis to test financial viability against volatile external market conditions, specifically carbon credit price fluctuations.</w:t>
      </w:r>
    </w:p>
    <w:p w14:paraId="53382F4C"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 xml:space="preserve">Q26. What primary economic and environmental metrics were used to assess project feasibility? Answer: Economic viability was evaluated using Net Present Value (NPV), Internal Rate of Return (IRR), Payback Period (years), and </w:t>
      </w:r>
      <w:proofErr w:type="spellStart"/>
      <w:r w:rsidRPr="00680C1B">
        <w:rPr>
          <w:rFonts w:ascii="Times New Roman" w:eastAsia="Times New Roman" w:hAnsi="Times New Roman" w:cs="Times New Roman"/>
          <w:sz w:val="24"/>
          <w:szCs w:val="24"/>
        </w:rPr>
        <w:t>Levelised</w:t>
      </w:r>
      <w:proofErr w:type="spellEnd"/>
      <w:r w:rsidRPr="00680C1B">
        <w:rPr>
          <w:rFonts w:ascii="Times New Roman" w:eastAsia="Times New Roman" w:hAnsi="Times New Roman" w:cs="Times New Roman"/>
          <w:sz w:val="24"/>
          <w:szCs w:val="24"/>
        </w:rPr>
        <w:t xml:space="preserve"> Cost of Electricity (LCOE, measured in \$ / \text{kWh} and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 xml:space="preserve">BDT/kWh}). Environmental performance was quantified by total lifetime metric </w:t>
      </w:r>
      <w:proofErr w:type="spellStart"/>
      <w:r w:rsidRPr="00680C1B">
        <w:rPr>
          <w:rFonts w:ascii="Times New Roman" w:eastAsia="Times New Roman" w:hAnsi="Times New Roman" w:cs="Times New Roman"/>
          <w:sz w:val="24"/>
          <w:szCs w:val="24"/>
        </w:rPr>
        <w:t>tonnes</w:t>
      </w:r>
      <w:proofErr w:type="spellEnd"/>
      <w:r w:rsidRPr="00680C1B">
        <w:rPr>
          <w:rFonts w:ascii="Times New Roman" w:eastAsia="Times New Roman" w:hAnsi="Times New Roman" w:cs="Times New Roman"/>
          <w:sz w:val="24"/>
          <w:szCs w:val="24"/>
        </w:rPr>
        <w:t xml:space="preserve"> of carbon dioxide equivalent reduced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MTCO}_2\text{e}) derived from fossil fuel displacement in the national electricity grid over the 20-year project lifecycle.</w:t>
      </w:r>
    </w:p>
    <w:p w14:paraId="2D7B5ADD"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Q27. What were the main empirical results regarding capacity, generation, project costs, specific utility tariffs, and baseline financial performance? Answer: Sizing 5,424 facilities at 70% of sanctioned load yielded an installed AC solar capacity of 7.86 \</w:t>
      </w:r>
      <w:proofErr w:type="gramStart"/>
      <w:r w:rsidRPr="00680C1B">
        <w:rPr>
          <w:rFonts w:ascii="Times New Roman" w:eastAsia="Times New Roman" w:hAnsi="Times New Roman" w:cs="Times New Roman"/>
          <w:sz w:val="24"/>
          <w:szCs w:val="24"/>
        </w:rPr>
        <w:t>text{ MWp</w:t>
      </w:r>
      <w:proofErr w:type="gramEnd"/>
      <w:r w:rsidRPr="00680C1B">
        <w:rPr>
          <w:rFonts w:ascii="Times New Roman" w:eastAsia="Times New Roman" w:hAnsi="Times New Roman" w:cs="Times New Roman"/>
          <w:sz w:val="24"/>
          <w:szCs w:val="24"/>
        </w:rPr>
        <w:t>} across 70,799 \text{ m}^2 of rooftop area, generating 171.48 \text{ GWh} of electricity and offsetting 82,999.02 \text{ MTCO}_2\text{e} over 20 years. Initial capital expenditure was \$2.25 \text{M}, with a total present value cost of \$3.59 \text{M} (compared to \$9.9 \text{M} for conventional grid billing under the LT-D1 hospital retail tariff of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 xml:space="preserve">BDT } 7.55 + 5\% \text{ VAT} or \$0.061885 / \text{kWh} + 5\% \text{ VAT}). Under baseline 3% carbon credit CAGR assumptions using the </w:t>
      </w:r>
      <w:r w:rsidRPr="00680C1B">
        <w:rPr>
          <w:rFonts w:ascii="Times New Roman" w:eastAsia="Times New Roman" w:hAnsi="Times New Roman" w:cs="Times New Roman"/>
          <w:sz w:val="24"/>
          <w:szCs w:val="24"/>
        </w:rPr>
        <w:lastRenderedPageBreak/>
        <w:t>BREB bulk supply net metering tariff (\$0.0358 / \text{kWh} or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BDT } 4.3679 / \text{kWh}), the project achieved an NPV of \$3.77 \text{M}, an IRR of 9.61%, an 8.45-year payback period, and an LCOE of \$0.0184 / \text{kWh} (\text{BDT } 2.25 / \text{kWh}).</w:t>
      </w:r>
    </w:p>
    <w:p w14:paraId="7059AB78"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Q28. What were the outcomes of the sensitivity analysis across varying carbon credit CAGR scenarios, and how is the non-linear payback anomaly explained? Answer: Sensitivity testing across carbon credit CAGRs (5\%, 3\%, 1.5\%, 0\%, -10\%, -25\%, -50\%) demonstrated robust financial stability, maintaining positive NPVs (\$3.86 \text{M} down to \$3.38 \text{M}), IRRs (9.85\% down to 7.83\%), and favorable LCOEs (\$0.0179 / \text{kWh} to \$0.0207 / \text{kWh}) compared to grid tariffs. Notably, the payback period exhibits a minor non-linear fluctuation across scenarios (8.35 \</w:t>
      </w:r>
      <w:proofErr w:type="gramStart"/>
      <w:r w:rsidRPr="00680C1B">
        <w:rPr>
          <w:rFonts w:ascii="Times New Roman" w:eastAsia="Times New Roman" w:hAnsi="Times New Roman" w:cs="Times New Roman"/>
          <w:sz w:val="24"/>
          <w:szCs w:val="24"/>
        </w:rPr>
        <w:t>text{ years</w:t>
      </w:r>
      <w:proofErr w:type="gramEnd"/>
      <w:r w:rsidRPr="00680C1B">
        <w:rPr>
          <w:rFonts w:ascii="Times New Roman" w:eastAsia="Times New Roman" w:hAnsi="Times New Roman" w:cs="Times New Roman"/>
          <w:sz w:val="24"/>
          <w:szCs w:val="24"/>
        </w:rPr>
        <w:t>} at +5\%, 8.45 \text{ years} at +3\%, 8.55 \text{ years} at +1.5\%, 8.52 \text{ years} at 0\%, 8.47 \text{ years} at -10\%, 8.41 \text{ years} at -25\%, and 8.34 \text{ years} at -50\%). This subtle empirical anomaly occurs because negative CAGR trajectories cause carbon credit values to collapse rapidly in later years, concentrating discounted cash inflows heavily in the earliest operational years relative to cumulative lifetime present-value costs, thereby marginally accelerating initial capital recovery timing.</w:t>
      </w:r>
    </w:p>
    <w:p w14:paraId="3B141CF8"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Q29. What critical regulatory updates occurred between the 2018 and 2025 Net Metering Guidelines, and what operational policy gaps remain? Answer: The updated 2025 Guidelines introduced three major enhancements: extending eligibility to three-phase, prepaid, and smart meter consumers; expanding maximum allowed system sizing from 70% up to 100% of sanctioned load; and removing the rigid 10 \</w:t>
      </w:r>
      <w:proofErr w:type="gramStart"/>
      <w:r w:rsidRPr="00680C1B">
        <w:rPr>
          <w:rFonts w:ascii="Times New Roman" w:eastAsia="Times New Roman" w:hAnsi="Times New Roman" w:cs="Times New Roman"/>
          <w:sz w:val="24"/>
          <w:szCs w:val="24"/>
        </w:rPr>
        <w:t>text{ MW</w:t>
      </w:r>
      <w:proofErr w:type="gramEnd"/>
      <w:r w:rsidRPr="00680C1B">
        <w:rPr>
          <w:rFonts w:ascii="Times New Roman" w:eastAsia="Times New Roman" w:hAnsi="Times New Roman" w:cs="Times New Roman"/>
          <w:sz w:val="24"/>
          <w:szCs w:val="24"/>
        </w:rPr>
        <w:t>} individual project capacity cap. However, remaining policy gaps include: unaddressed OPEX/RESCO model risks (PPA rigidity, billing and settlement disputes, lack of asset recognition for bank financing), restrictions on marketing excess power beyond utility boundaries, lack of prosumer compensation for reactive power support, and wheeling charge ambiguities.</w:t>
      </w:r>
    </w:p>
    <w:p w14:paraId="0DA83209"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Q30. What key policy recommendations and real-world implementation strategies were proposed? Answer: The authors recommended four policy instruments: introducing prosumer bonus payments for net energy exported to the grid; granting complete tax exemptions and wheeling fee waivers for public health renewable projects; establishing dedicated national carbon credit trading facilities; and enacting mandatory renewable energy purchase quotas for carbon-intensive heavy industries and agencies, requiring them to buy clean power or purchase local carbon offsets. Operatively, the paper recommends phased implementation through small-scale pilot hybrid systems (incorporating battery storage to maintain power during active grid outages) backed by soft loans from institutions like IDCOL and BIFFL.</w:t>
      </w:r>
    </w:p>
    <w:p w14:paraId="089431E1"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The quantitative modeling in Paper 2 proves that rooftop solar net metering and carbon credit sales offer an economically resilient, environmentally sustainable framework for powering rural infrastructure, presenting a technical model that complements digital health advancements in rural Bangladesh.</w:t>
      </w:r>
    </w:p>
    <w:p w14:paraId="5A86D689" w14:textId="77777777" w:rsidR="00680C1B" w:rsidRPr="00680C1B" w:rsidRDefault="00680C1B" w:rsidP="00680C1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680C1B">
        <w:rPr>
          <w:rFonts w:ascii="Times New Roman" w:eastAsia="Times New Roman" w:hAnsi="Times New Roman" w:cs="Times New Roman"/>
          <w:b/>
          <w:bCs/>
          <w:sz w:val="36"/>
          <w:szCs w:val="36"/>
        </w:rPr>
        <w:t>Section 2: Consolidated Viva &amp; Supervisor Revision Answer Key</w:t>
      </w:r>
    </w:p>
    <w:p w14:paraId="01E139D6" w14:textId="77777777" w:rsidR="00680C1B" w:rsidRPr="00680C1B" w:rsidRDefault="00680C1B" w:rsidP="00680C1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80C1B">
        <w:rPr>
          <w:rFonts w:ascii="Times New Roman" w:eastAsia="Times New Roman" w:hAnsi="Times New Roman" w:cs="Times New Roman"/>
          <w:b/>
          <w:bCs/>
          <w:sz w:val="27"/>
          <w:szCs w:val="27"/>
        </w:rPr>
        <w:lastRenderedPageBreak/>
        <w:t>2.1 Paper 1 — Answer Key</w:t>
      </w:r>
    </w:p>
    <w:p w14:paraId="38748815"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This rapid-revision answer key synthesizes the primary empirical metrics, methodological frameworks, and research conclusions of Faruque et al. (2019) to assist researchers during supervisor progress meetings and viva defense.</w:t>
      </w:r>
    </w:p>
    <w:p w14:paraId="69955017"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 (Problem):</w:t>
      </w:r>
      <w:r w:rsidRPr="00680C1B">
        <w:rPr>
          <w:rFonts w:ascii="Times New Roman" w:eastAsia="Times New Roman" w:hAnsi="Times New Roman" w:cs="Times New Roman"/>
          <w:sz w:val="24"/>
          <w:szCs w:val="24"/>
        </w:rPr>
        <w:t xml:space="preserve"> Rural Bangladesh faces a severe NCD crisis where chronic diseases cause 68% of deaths, driven by low health awareness and high out-of-pocket health expenditures (67%).</w:t>
      </w:r>
    </w:p>
    <w:p w14:paraId="202E779F"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 (Research Gap):</w:t>
      </w:r>
      <w:r w:rsidRPr="00680C1B">
        <w:rPr>
          <w:rFonts w:ascii="Times New Roman" w:eastAsia="Times New Roman" w:hAnsi="Times New Roman" w:cs="Times New Roman"/>
          <w:sz w:val="24"/>
          <w:szCs w:val="24"/>
        </w:rPr>
        <w:t xml:space="preserve"> Commercial mHealth apps proliferate rapidly without adequate academic research evaluating their field usability, clinical content validity, and actual efficacy.</w:t>
      </w:r>
    </w:p>
    <w:p w14:paraId="31AFCC81"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Q3 (Objectives):</w:t>
      </w:r>
      <w:r w:rsidRPr="00680C1B">
        <w:rPr>
          <w:rFonts w:ascii="Times New Roman" w:eastAsia="Times New Roman" w:hAnsi="Times New Roman" w:cs="Times New Roman"/>
          <w:sz w:val="24"/>
          <w:szCs w:val="24"/>
        </w:rPr>
        <w:t xml:space="preserve"> Assess the content, usability, and clinical efficacy of the CMED digital healthcare platform for rural NCD prevention across patients, health workers, and managers.</w:t>
      </w:r>
    </w:p>
    <w:p w14:paraId="40453E1D"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Q4 (Purpose):</w:t>
      </w:r>
      <w:r w:rsidRPr="00680C1B">
        <w:rPr>
          <w:rFonts w:ascii="Times New Roman" w:eastAsia="Times New Roman" w:hAnsi="Times New Roman" w:cs="Times New Roman"/>
          <w:sz w:val="24"/>
          <w:szCs w:val="24"/>
        </w:rPr>
        <w:t xml:space="preserve"> Implement accessible, low-cost preventive primary care that detects NCD risks early, reducing hospitalization costs and health system strain.</w:t>
      </w:r>
    </w:p>
    <w:p w14:paraId="3B6CC2CA"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Q5 (Dataset &amp; Demographics):</w:t>
      </w:r>
      <w:r w:rsidRPr="00680C1B">
        <w:rPr>
          <w:rFonts w:ascii="Times New Roman" w:eastAsia="Times New Roman" w:hAnsi="Times New Roman" w:cs="Times New Roman"/>
          <w:sz w:val="24"/>
          <w:szCs w:val="24"/>
        </w:rPr>
        <w:t xml:space="preserve"> Piloted across 21 villages in </w:t>
      </w:r>
      <w:proofErr w:type="spellStart"/>
      <w:r w:rsidRPr="00680C1B">
        <w:rPr>
          <w:rFonts w:ascii="Times New Roman" w:eastAsia="Times New Roman" w:hAnsi="Times New Roman" w:cs="Times New Roman"/>
          <w:sz w:val="24"/>
          <w:szCs w:val="24"/>
        </w:rPr>
        <w:t>Dhamrai</w:t>
      </w:r>
      <w:proofErr w:type="spellEnd"/>
      <w:r w:rsidRPr="00680C1B">
        <w:rPr>
          <w:rFonts w:ascii="Times New Roman" w:eastAsia="Times New Roman" w:hAnsi="Times New Roman" w:cs="Times New Roman"/>
          <w:sz w:val="24"/>
          <w:szCs w:val="24"/>
        </w:rPr>
        <w:t xml:space="preserve"> (&gt;32,000 people, ~7,000 households); survey evaluated 393 respondents with a 92.1% female daytime sampling bias.</w:t>
      </w:r>
    </w:p>
    <w:p w14:paraId="56799A92"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Q6 (Data Justification):</w:t>
      </w:r>
      <w:r w:rsidRPr="00680C1B">
        <w:rPr>
          <w:rFonts w:ascii="Times New Roman" w:eastAsia="Times New Roman" w:hAnsi="Times New Roman" w:cs="Times New Roman"/>
          <w:sz w:val="24"/>
          <w:szCs w:val="24"/>
        </w:rPr>
        <w:t xml:space="preserve"> Multi-stakeholder sampling (receivers, CHWs, managers) was necessary to evaluate end-to-end operational feasibility, app usability, and supervisory workflows.</w:t>
      </w:r>
    </w:p>
    <w:p w14:paraId="122BAF0E"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Q7 (Methodology):</w:t>
      </w:r>
      <w:r w:rsidRPr="00680C1B">
        <w:rPr>
          <w:rFonts w:ascii="Times New Roman" w:eastAsia="Times New Roman" w:hAnsi="Times New Roman" w:cs="Times New Roman"/>
          <w:sz w:val="24"/>
          <w:szCs w:val="24"/>
        </w:rPr>
        <w:t xml:space="preserve"> Action Research framework utilizing method triangulation across quantitative surveys, qualitative KIIs and FGDs, and continuous participant observation.</w:t>
      </w:r>
    </w:p>
    <w:p w14:paraId="30E761A9"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Q8 (Model/Architecture):</w:t>
      </w:r>
      <w:r w:rsidRPr="00680C1B">
        <w:rPr>
          <w:rFonts w:ascii="Times New Roman" w:eastAsia="Times New Roman" w:hAnsi="Times New Roman" w:cs="Times New Roman"/>
          <w:sz w:val="24"/>
          <w:szCs w:val="24"/>
        </w:rPr>
        <w:t xml:space="preserve"> IoT-enabled, AI-driven cloud system pairing </w:t>
      </w:r>
      <w:proofErr w:type="spellStart"/>
      <w:r w:rsidRPr="00680C1B">
        <w:rPr>
          <w:rFonts w:ascii="Times New Roman" w:eastAsia="Times New Roman" w:hAnsi="Times New Roman" w:cs="Times New Roman"/>
          <w:sz w:val="24"/>
          <w:szCs w:val="24"/>
        </w:rPr>
        <w:t>bluetooth</w:t>
      </w:r>
      <w:proofErr w:type="spellEnd"/>
      <w:r w:rsidRPr="00680C1B">
        <w:rPr>
          <w:rFonts w:ascii="Times New Roman" w:eastAsia="Times New Roman" w:hAnsi="Times New Roman" w:cs="Times New Roman"/>
          <w:sz w:val="24"/>
          <w:szCs w:val="24"/>
        </w:rPr>
        <w:t xml:space="preserve"> sensors with a mobile app, secure server, CDSS, and SQLite offline database queuing via JSON REST APIs.</w:t>
      </w:r>
    </w:p>
    <w:p w14:paraId="379A655D"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Q9 (Proposed Solution):</w:t>
      </w:r>
      <w:r w:rsidRPr="00680C1B">
        <w:rPr>
          <w:rFonts w:ascii="Times New Roman" w:eastAsia="Times New Roman" w:hAnsi="Times New Roman" w:cs="Times New Roman"/>
          <w:sz w:val="24"/>
          <w:szCs w:val="24"/>
        </w:rPr>
        <w:t xml:space="preserve"> Portable smart health kits enable door-to-door screening, instant native-language display of color-coded results, cloud tracking, and immediate lifestyle counseling.</w:t>
      </w:r>
    </w:p>
    <w:p w14:paraId="392F79E0"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Q10 (Analysis Type):</w:t>
      </w:r>
      <w:r w:rsidRPr="00680C1B">
        <w:rPr>
          <w:rFonts w:ascii="Times New Roman" w:eastAsia="Times New Roman" w:hAnsi="Times New Roman" w:cs="Times New Roman"/>
          <w:sz w:val="24"/>
          <w:szCs w:val="24"/>
        </w:rPr>
        <w:t xml:space="preserve"> Mixed-methods analysis combining descriptive quantitative statistics of survey/vitals data with qualitative thematic analysis of FGD and KII transcripts.</w:t>
      </w:r>
    </w:p>
    <w:p w14:paraId="6D635F16"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Q11 (Evaluation Standard):</w:t>
      </w:r>
      <w:r w:rsidRPr="00680C1B">
        <w:rPr>
          <w:rFonts w:ascii="Times New Roman" w:eastAsia="Times New Roman" w:hAnsi="Times New Roman" w:cs="Times New Roman"/>
          <w:sz w:val="24"/>
          <w:szCs w:val="24"/>
        </w:rPr>
        <w:t xml:space="preserve"> App content and decision algorithms were validated against the National Protocol on Diabetes and Hypertension and refined via expert policy workshops.</w:t>
      </w:r>
    </w:p>
    <w:p w14:paraId="1843D198"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Q12 (Evaluation Efficacy):</w:t>
      </w:r>
      <w:r w:rsidRPr="00680C1B">
        <w:rPr>
          <w:rFonts w:ascii="Times New Roman" w:eastAsia="Times New Roman" w:hAnsi="Times New Roman" w:cs="Times New Roman"/>
          <w:sz w:val="24"/>
          <w:szCs w:val="24"/>
        </w:rPr>
        <w:t xml:space="preserve"> Demonstrated high diagnostic accuracy (&gt;90%), eliminated manual BMI calculation errors, and provided cloud record tracking superior to paper methods.</w:t>
      </w:r>
    </w:p>
    <w:p w14:paraId="7CCC7EC5"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Q13 (Main Results):</w:t>
      </w:r>
      <w:r w:rsidRPr="00680C1B">
        <w:rPr>
          <w:rFonts w:ascii="Times New Roman" w:eastAsia="Times New Roman" w:hAnsi="Times New Roman" w:cs="Times New Roman"/>
          <w:sz w:val="24"/>
          <w:szCs w:val="24"/>
        </w:rPr>
        <w:t xml:space="preserve"> Screened 17,907 adults; identified major undiagnosed diabetes (jumping from 2.7% known to 15.8% actual) and hypertension (6.5% known to 11.5% actual).</w:t>
      </w:r>
    </w:p>
    <w:p w14:paraId="4C284181"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Q14 (Main Outcomes &amp; Satisfaction):</w:t>
      </w:r>
      <w:r w:rsidRPr="00680C1B">
        <w:rPr>
          <w:rFonts w:ascii="Times New Roman" w:eastAsia="Times New Roman" w:hAnsi="Times New Roman" w:cs="Times New Roman"/>
          <w:sz w:val="24"/>
          <w:szCs w:val="24"/>
        </w:rPr>
        <w:t xml:space="preserve"> Achieved 99.5% user satisfaction driven by screen result visibility (27.3%), instant CDSS advice (12.8%), and cloud record access (14.4%).</w:t>
      </w:r>
    </w:p>
    <w:p w14:paraId="3F65C81B" w14:textId="77777777" w:rsidR="00680C1B" w:rsidRPr="00680C1B" w:rsidRDefault="00680C1B" w:rsidP="00680C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lastRenderedPageBreak/>
        <w:t>Q15 (Real-World Impact &amp; Limitations):</w:t>
      </w:r>
      <w:r w:rsidRPr="00680C1B">
        <w:rPr>
          <w:rFonts w:ascii="Times New Roman" w:eastAsia="Times New Roman" w:hAnsi="Times New Roman" w:cs="Times New Roman"/>
          <w:sz w:val="24"/>
          <w:szCs w:val="24"/>
        </w:rPr>
        <w:t xml:space="preserve"> Streamlined CHW workloads via SQLite offline cloud syncing; limited by a six-month pilot duration that could not track multi-year behavioral changes.</w:t>
      </w:r>
    </w:p>
    <w:p w14:paraId="3EBA9045"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Moving from digital health delivery models, the revision key transitions to the techno-economic parameters of rural health facility power infrastructure in Paper 2.</w:t>
      </w:r>
    </w:p>
    <w:p w14:paraId="163D8674" w14:textId="77777777" w:rsidR="00680C1B" w:rsidRPr="00680C1B" w:rsidRDefault="00680C1B" w:rsidP="00680C1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80C1B">
        <w:rPr>
          <w:rFonts w:ascii="Times New Roman" w:eastAsia="Times New Roman" w:hAnsi="Times New Roman" w:cs="Times New Roman"/>
          <w:b/>
          <w:bCs/>
          <w:sz w:val="27"/>
          <w:szCs w:val="27"/>
        </w:rPr>
        <w:t>2.2 Paper 2 — Answer Key</w:t>
      </w:r>
    </w:p>
    <w:p w14:paraId="515BCC62"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This section provides a streamlined summary of the quantitative financial outputs, carbon accounting formulas, sensitivity outcomes, and policy insights from Reza et al. (2026).</w:t>
      </w:r>
    </w:p>
    <w:p w14:paraId="49BCA6F0"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Q16 (Problem):</w:t>
      </w:r>
      <w:r w:rsidRPr="00680C1B">
        <w:rPr>
          <w:rFonts w:ascii="Times New Roman" w:eastAsia="Times New Roman" w:hAnsi="Times New Roman" w:cs="Times New Roman"/>
          <w:sz w:val="24"/>
          <w:szCs w:val="24"/>
        </w:rPr>
        <w:t xml:space="preserve"> Heavy reliance on fossil fuels causes rural grid instability and power cuts, while the power sector emitted 60 \</w:t>
      </w:r>
      <w:proofErr w:type="gramStart"/>
      <w:r w:rsidRPr="00680C1B">
        <w:rPr>
          <w:rFonts w:ascii="Times New Roman" w:eastAsia="Times New Roman" w:hAnsi="Times New Roman" w:cs="Times New Roman"/>
          <w:sz w:val="24"/>
          <w:szCs w:val="24"/>
        </w:rPr>
        <w:t>text{ Mt</w:t>
      </w:r>
      <w:proofErr w:type="gramEnd"/>
      <w:r w:rsidRPr="00680C1B">
        <w:rPr>
          <w:rFonts w:ascii="Times New Roman" w:eastAsia="Times New Roman" w:hAnsi="Times New Roman" w:cs="Times New Roman"/>
          <w:sz w:val="24"/>
          <w:szCs w:val="24"/>
        </w:rPr>
        <w:t>} of \text{CO}_2 in 2022 (58.1% of national emissions).</w:t>
      </w:r>
    </w:p>
    <w:p w14:paraId="655D2F22"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Q17 (Research Gap):</w:t>
      </w:r>
      <w:r w:rsidRPr="00680C1B">
        <w:rPr>
          <w:rFonts w:ascii="Times New Roman" w:eastAsia="Times New Roman" w:hAnsi="Times New Roman" w:cs="Times New Roman"/>
          <w:sz w:val="24"/>
          <w:szCs w:val="24"/>
        </w:rPr>
        <w:t xml:space="preserve"> Prior rooftop solar studies focused on single buildings and lacked integrated macro-level financial modeling for carbon credit sales revenue.</w:t>
      </w:r>
    </w:p>
    <w:p w14:paraId="42E62569"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Q18 (Main Objectives):</w:t>
      </w:r>
      <w:r w:rsidRPr="00680C1B">
        <w:rPr>
          <w:rFonts w:ascii="Times New Roman" w:eastAsia="Times New Roman" w:hAnsi="Times New Roman" w:cs="Times New Roman"/>
          <w:sz w:val="24"/>
          <w:szCs w:val="24"/>
        </w:rPr>
        <w:t xml:space="preserve"> Conduct a techno-economic assessment of solar NMS for 5,424 rural health facilities, model carbon credit revenues, and identify policy gaps.</w:t>
      </w:r>
    </w:p>
    <w:p w14:paraId="123602DE"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Q19 (Purpose):</w:t>
      </w:r>
      <w:r w:rsidRPr="00680C1B">
        <w:rPr>
          <w:rFonts w:ascii="Times New Roman" w:eastAsia="Times New Roman" w:hAnsi="Times New Roman" w:cs="Times New Roman"/>
          <w:sz w:val="24"/>
          <w:szCs w:val="24"/>
        </w:rPr>
        <w:t xml:space="preserve"> Align public health infrastructure with Paris Agreement NDC targets (18.94 \</w:t>
      </w:r>
      <w:proofErr w:type="gramStart"/>
      <w:r w:rsidRPr="00680C1B">
        <w:rPr>
          <w:rFonts w:ascii="Times New Roman" w:eastAsia="Times New Roman" w:hAnsi="Times New Roman" w:cs="Times New Roman"/>
          <w:sz w:val="24"/>
          <w:szCs w:val="24"/>
        </w:rPr>
        <w:t xml:space="preserve">text{ </w:t>
      </w:r>
      <w:proofErr w:type="spellStart"/>
      <w:r w:rsidRPr="00680C1B">
        <w:rPr>
          <w:rFonts w:ascii="Times New Roman" w:eastAsia="Times New Roman" w:hAnsi="Times New Roman" w:cs="Times New Roman"/>
          <w:sz w:val="24"/>
          <w:szCs w:val="24"/>
        </w:rPr>
        <w:t>MtCO</w:t>
      </w:r>
      <w:proofErr w:type="spellEnd"/>
      <w:proofErr w:type="gramEnd"/>
      <w:r w:rsidRPr="00680C1B">
        <w:rPr>
          <w:rFonts w:ascii="Times New Roman" w:eastAsia="Times New Roman" w:hAnsi="Times New Roman" w:cs="Times New Roman"/>
          <w:sz w:val="24"/>
          <w:szCs w:val="24"/>
        </w:rPr>
        <w:t>}_2\text{e} energy sector reduction) and IEPMP 2023 clean energy goals.</w:t>
      </w:r>
    </w:p>
    <w:p w14:paraId="3D18AA55"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Q20 (Dataset &amp; Sample):</w:t>
      </w:r>
      <w:r w:rsidRPr="00680C1B">
        <w:rPr>
          <w:rFonts w:ascii="Times New Roman" w:eastAsia="Times New Roman" w:hAnsi="Times New Roman" w:cs="Times New Roman"/>
          <w:sz w:val="24"/>
          <w:szCs w:val="24"/>
        </w:rPr>
        <w:t xml:space="preserve"> Empirical data from 50 health facilities aggregated to represent 5,424 nationwide sites, totaling 70,799 \</w:t>
      </w:r>
      <w:proofErr w:type="gramStart"/>
      <w:r w:rsidRPr="00680C1B">
        <w:rPr>
          <w:rFonts w:ascii="Times New Roman" w:eastAsia="Times New Roman" w:hAnsi="Times New Roman" w:cs="Times New Roman"/>
          <w:sz w:val="24"/>
          <w:szCs w:val="24"/>
        </w:rPr>
        <w:t>text{ m</w:t>
      </w:r>
      <w:proofErr w:type="gramEnd"/>
      <w:r w:rsidRPr="00680C1B">
        <w:rPr>
          <w:rFonts w:ascii="Times New Roman" w:eastAsia="Times New Roman" w:hAnsi="Times New Roman" w:cs="Times New Roman"/>
          <w:sz w:val="24"/>
          <w:szCs w:val="24"/>
        </w:rPr>
        <w:t>}^2 of rooftop area and 9.30 \text{ MW} sanctioned load.</w:t>
      </w:r>
    </w:p>
    <w:p w14:paraId="764B54BE"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Q21 (Data Justification):</w:t>
      </w:r>
      <w:r w:rsidRPr="00680C1B">
        <w:rPr>
          <w:rFonts w:ascii="Times New Roman" w:eastAsia="Times New Roman" w:hAnsi="Times New Roman" w:cs="Times New Roman"/>
          <w:sz w:val="24"/>
          <w:szCs w:val="24"/>
        </w:rPr>
        <w:t xml:space="preserve"> Aggregated single-unit modeling simplified macro-analysis, supported by uniform nationwide solar irradiance (4.59 \</w:t>
      </w:r>
      <w:proofErr w:type="gramStart"/>
      <w:r w:rsidRPr="00680C1B">
        <w:rPr>
          <w:rFonts w:ascii="Times New Roman" w:eastAsia="Times New Roman" w:hAnsi="Times New Roman" w:cs="Times New Roman"/>
          <w:sz w:val="24"/>
          <w:szCs w:val="24"/>
        </w:rPr>
        <w:t>text{ kWh</w:t>
      </w:r>
      <w:proofErr w:type="gramEnd"/>
      <w:r w:rsidRPr="00680C1B">
        <w:rPr>
          <w:rFonts w:ascii="Times New Roman" w:eastAsia="Times New Roman" w:hAnsi="Times New Roman" w:cs="Times New Roman"/>
          <w:sz w:val="24"/>
          <w:szCs w:val="24"/>
        </w:rPr>
        <w:t>/m}^2/\text{day}) and daylight clinical load profiles.</w:t>
      </w:r>
    </w:p>
    <w:p w14:paraId="42FF035F"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Q22 (Methodology):</w:t>
      </w:r>
      <w:r w:rsidRPr="00680C1B">
        <w:rPr>
          <w:rFonts w:ascii="Times New Roman" w:eastAsia="Times New Roman" w:hAnsi="Times New Roman" w:cs="Times New Roman"/>
          <w:sz w:val="24"/>
          <w:szCs w:val="24"/>
        </w:rPr>
        <w:t xml:space="preserve"> SREDA Net Metering Calculator used for AC output generation modeling (1,200 \</w:t>
      </w:r>
      <w:proofErr w:type="gramStart"/>
      <w:r w:rsidRPr="00680C1B">
        <w:rPr>
          <w:rFonts w:ascii="Times New Roman" w:eastAsia="Times New Roman" w:hAnsi="Times New Roman" w:cs="Times New Roman"/>
          <w:sz w:val="24"/>
          <w:szCs w:val="24"/>
        </w:rPr>
        <w:t>text{ kWh</w:t>
      </w:r>
      <w:proofErr w:type="gramEnd"/>
      <w:r w:rsidRPr="00680C1B">
        <w:rPr>
          <w:rFonts w:ascii="Times New Roman" w:eastAsia="Times New Roman" w:hAnsi="Times New Roman" w:cs="Times New Roman"/>
          <w:sz w:val="24"/>
          <w:szCs w:val="24"/>
        </w:rPr>
        <w:t>/</w:t>
      </w:r>
      <w:proofErr w:type="spellStart"/>
      <w:r w:rsidRPr="00680C1B">
        <w:rPr>
          <w:rFonts w:ascii="Times New Roman" w:eastAsia="Times New Roman" w:hAnsi="Times New Roman" w:cs="Times New Roman"/>
          <w:sz w:val="24"/>
          <w:szCs w:val="24"/>
        </w:rPr>
        <w:t>kWp</w:t>
      </w:r>
      <w:proofErr w:type="spellEnd"/>
      <w:r w:rsidRPr="00680C1B">
        <w:rPr>
          <w:rFonts w:ascii="Times New Roman" w:eastAsia="Times New Roman" w:hAnsi="Times New Roman" w:cs="Times New Roman"/>
          <w:sz w:val="24"/>
          <w:szCs w:val="24"/>
        </w:rPr>
        <w:t>/year}) with 20-year module efficiency degradation accounting.</w:t>
      </w:r>
    </w:p>
    <w:p w14:paraId="4C312136"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Q23 (Model &amp; Framework):</w:t>
      </w:r>
      <w:r w:rsidRPr="00680C1B">
        <w:rPr>
          <w:rFonts w:ascii="Times New Roman" w:eastAsia="Times New Roman" w:hAnsi="Times New Roman" w:cs="Times New Roman"/>
          <w:sz w:val="24"/>
          <w:szCs w:val="24"/>
        </w:rPr>
        <w:t xml:space="preserve"> Combined grid-</w:t>
      </w:r>
      <w:proofErr w:type="spellStart"/>
      <w:r w:rsidRPr="00680C1B">
        <w:rPr>
          <w:rFonts w:ascii="Times New Roman" w:eastAsia="Times New Roman" w:hAnsi="Times New Roman" w:cs="Times New Roman"/>
          <w:sz w:val="24"/>
          <w:szCs w:val="24"/>
        </w:rPr>
        <w:t>tied</w:t>
      </w:r>
      <w:proofErr w:type="spellEnd"/>
      <w:r w:rsidRPr="00680C1B">
        <w:rPr>
          <w:rFonts w:ascii="Times New Roman" w:eastAsia="Times New Roman" w:hAnsi="Times New Roman" w:cs="Times New Roman"/>
          <w:sz w:val="24"/>
          <w:szCs w:val="24"/>
        </w:rPr>
        <w:t xml:space="preserve"> rooftop solar PV Net Metering System (\Delta P = P_{</w:t>
      </w:r>
      <w:proofErr w:type="spellStart"/>
      <w:r w:rsidRPr="00680C1B">
        <w:rPr>
          <w:rFonts w:ascii="Times New Roman" w:eastAsia="Times New Roman" w:hAnsi="Times New Roman" w:cs="Times New Roman"/>
          <w:sz w:val="24"/>
          <w:szCs w:val="24"/>
        </w:rPr>
        <w:t>pv</w:t>
      </w:r>
      <w:proofErr w:type="spellEnd"/>
      <w:r w:rsidRPr="00680C1B">
        <w:rPr>
          <w:rFonts w:ascii="Times New Roman" w:eastAsia="Times New Roman" w:hAnsi="Times New Roman" w:cs="Times New Roman"/>
          <w:sz w:val="24"/>
          <w:szCs w:val="24"/>
        </w:rPr>
        <w:t>} - P_{Load}) with CDM/CER carbon offset frameworks using a Grid Emission Factor of 484 \</w:t>
      </w:r>
      <w:proofErr w:type="gramStart"/>
      <w:r w:rsidRPr="00680C1B">
        <w:rPr>
          <w:rFonts w:ascii="Times New Roman" w:eastAsia="Times New Roman" w:hAnsi="Times New Roman" w:cs="Times New Roman"/>
          <w:sz w:val="24"/>
          <w:szCs w:val="24"/>
        </w:rPr>
        <w:t xml:space="preserve">text{ </w:t>
      </w:r>
      <w:proofErr w:type="spellStart"/>
      <w:r w:rsidRPr="00680C1B">
        <w:rPr>
          <w:rFonts w:ascii="Times New Roman" w:eastAsia="Times New Roman" w:hAnsi="Times New Roman" w:cs="Times New Roman"/>
          <w:sz w:val="24"/>
          <w:szCs w:val="24"/>
        </w:rPr>
        <w:t>gCO</w:t>
      </w:r>
      <w:proofErr w:type="spellEnd"/>
      <w:proofErr w:type="gramEnd"/>
      <w:r w:rsidRPr="00680C1B">
        <w:rPr>
          <w:rFonts w:ascii="Times New Roman" w:eastAsia="Times New Roman" w:hAnsi="Times New Roman" w:cs="Times New Roman"/>
          <w:sz w:val="24"/>
          <w:szCs w:val="24"/>
        </w:rPr>
        <w:t>}_2/\text{kWh}.</w:t>
      </w:r>
    </w:p>
    <w:p w14:paraId="13D3FC52"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Q24 (Proposed Solution):</w:t>
      </w:r>
      <w:r w:rsidRPr="00680C1B">
        <w:rPr>
          <w:rFonts w:ascii="Times New Roman" w:eastAsia="Times New Roman" w:hAnsi="Times New Roman" w:cs="Times New Roman"/>
          <w:sz w:val="24"/>
          <w:szCs w:val="24"/>
        </w:rPr>
        <w:t xml:space="preserve"> Evaluated CAPEX versus OPEX models, noting that RESCO OPEX financing faces major barriers due to weak credit ratings for public facilities and lack of bankable asset recognition.</w:t>
      </w:r>
    </w:p>
    <w:p w14:paraId="46839840"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Q25 (Analysis Type):</w:t>
      </w:r>
      <w:r w:rsidRPr="00680C1B">
        <w:rPr>
          <w:rFonts w:ascii="Times New Roman" w:eastAsia="Times New Roman" w:hAnsi="Times New Roman" w:cs="Times New Roman"/>
          <w:sz w:val="24"/>
          <w:szCs w:val="24"/>
        </w:rPr>
        <w:t xml:space="preserve"> Quantitative techno-economic cost-benefit analysis, life-cycle financial modeling, environmental carbon accounting, and parametric sensitivity testing.</w:t>
      </w:r>
    </w:p>
    <w:p w14:paraId="4174AD83"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Q26 (Evaluation Metrics):</w:t>
      </w:r>
      <w:r w:rsidRPr="00680C1B">
        <w:rPr>
          <w:rFonts w:ascii="Times New Roman" w:eastAsia="Times New Roman" w:hAnsi="Times New Roman" w:cs="Times New Roman"/>
          <w:sz w:val="24"/>
          <w:szCs w:val="24"/>
        </w:rPr>
        <w:t xml:space="preserve"> Net Present Value (NPV), Internal Rate of Return (IRR), Payback Period (years), </w:t>
      </w:r>
      <w:proofErr w:type="spellStart"/>
      <w:r w:rsidRPr="00680C1B">
        <w:rPr>
          <w:rFonts w:ascii="Times New Roman" w:eastAsia="Times New Roman" w:hAnsi="Times New Roman" w:cs="Times New Roman"/>
          <w:sz w:val="24"/>
          <w:szCs w:val="24"/>
        </w:rPr>
        <w:t>Levelised</w:t>
      </w:r>
      <w:proofErr w:type="spellEnd"/>
      <w:r w:rsidRPr="00680C1B">
        <w:rPr>
          <w:rFonts w:ascii="Times New Roman" w:eastAsia="Times New Roman" w:hAnsi="Times New Roman" w:cs="Times New Roman"/>
          <w:sz w:val="24"/>
          <w:szCs w:val="24"/>
        </w:rPr>
        <w:t xml:space="preserve"> Cost of Electricity (LCOE), and total lifetime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MTCO}_2\text{e} offset.</w:t>
      </w:r>
    </w:p>
    <w:p w14:paraId="34314166"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Q27 (Main Financial Results):</w:t>
      </w:r>
      <w:r w:rsidRPr="00680C1B">
        <w:rPr>
          <w:rFonts w:ascii="Times New Roman" w:eastAsia="Times New Roman" w:hAnsi="Times New Roman" w:cs="Times New Roman"/>
          <w:sz w:val="24"/>
          <w:szCs w:val="24"/>
        </w:rPr>
        <w:t xml:space="preserve"> 7.86 \</w:t>
      </w:r>
      <w:proofErr w:type="gramStart"/>
      <w:r w:rsidRPr="00680C1B">
        <w:rPr>
          <w:rFonts w:ascii="Times New Roman" w:eastAsia="Times New Roman" w:hAnsi="Times New Roman" w:cs="Times New Roman"/>
          <w:sz w:val="24"/>
          <w:szCs w:val="24"/>
        </w:rPr>
        <w:t>text{ MWp</w:t>
      </w:r>
      <w:proofErr w:type="gramEnd"/>
      <w:r w:rsidRPr="00680C1B">
        <w:rPr>
          <w:rFonts w:ascii="Times New Roman" w:eastAsia="Times New Roman" w:hAnsi="Times New Roman" w:cs="Times New Roman"/>
          <w:sz w:val="24"/>
          <w:szCs w:val="24"/>
        </w:rPr>
        <w:t>} AC capacity generated 171.48 \text{ GWh} and reduced 82,999 \text{ MTCO}_2\text{e}; under baseline 3% CAGR and BREB bulk tariff (\$0.0358/\text{kWh}), 20-year NPV reached \$3.77\text{M}, IRR 9.61%, payback 8.45 years, and LCOE \$0.0184/\text{kWh}.</w:t>
      </w:r>
    </w:p>
    <w:p w14:paraId="60A6B27B"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lastRenderedPageBreak/>
        <w:t>Q28 (Sensitivity Analysis Outcomes):</w:t>
      </w:r>
      <w:r w:rsidRPr="00680C1B">
        <w:rPr>
          <w:rFonts w:ascii="Times New Roman" w:eastAsia="Times New Roman" w:hAnsi="Times New Roman" w:cs="Times New Roman"/>
          <w:sz w:val="24"/>
          <w:szCs w:val="24"/>
        </w:rPr>
        <w:t xml:space="preserve"> Across carbon credit CAGRs (+5\% down to -50\%), LCOE remained low (\$0.0179/\text{kWh} to \$0.0207/\text{kWh}); payback exhibited a slight non-linear variation (8.35 \</w:t>
      </w:r>
      <w:proofErr w:type="gramStart"/>
      <w:r w:rsidRPr="00680C1B">
        <w:rPr>
          <w:rFonts w:ascii="Times New Roman" w:eastAsia="Times New Roman" w:hAnsi="Times New Roman" w:cs="Times New Roman"/>
          <w:sz w:val="24"/>
          <w:szCs w:val="24"/>
        </w:rPr>
        <w:t>text{ to</w:t>
      </w:r>
      <w:proofErr w:type="gramEnd"/>
      <w:r w:rsidRPr="00680C1B">
        <w:rPr>
          <w:rFonts w:ascii="Times New Roman" w:eastAsia="Times New Roman" w:hAnsi="Times New Roman" w:cs="Times New Roman"/>
          <w:sz w:val="24"/>
          <w:szCs w:val="24"/>
        </w:rPr>
        <w:t xml:space="preserve"> } 8.55 \text{ years}) due to early-year cash flow concentration under collapsing late-stage carbon prices.</w:t>
      </w:r>
    </w:p>
    <w:p w14:paraId="7619FD02"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Q29 (Policy Gap Analysis):</w:t>
      </w:r>
      <w:r w:rsidRPr="00680C1B">
        <w:rPr>
          <w:rFonts w:ascii="Times New Roman" w:eastAsia="Times New Roman" w:hAnsi="Times New Roman" w:cs="Times New Roman"/>
          <w:sz w:val="24"/>
          <w:szCs w:val="24"/>
        </w:rPr>
        <w:t xml:space="preserve"> The 2025 guidelines added 3-phase eligibility and removed the 10 \</w:t>
      </w:r>
      <w:proofErr w:type="gramStart"/>
      <w:r w:rsidRPr="00680C1B">
        <w:rPr>
          <w:rFonts w:ascii="Times New Roman" w:eastAsia="Times New Roman" w:hAnsi="Times New Roman" w:cs="Times New Roman"/>
          <w:sz w:val="24"/>
          <w:szCs w:val="24"/>
        </w:rPr>
        <w:t>text{ MW</w:t>
      </w:r>
      <w:proofErr w:type="gramEnd"/>
      <w:r w:rsidRPr="00680C1B">
        <w:rPr>
          <w:rFonts w:ascii="Times New Roman" w:eastAsia="Times New Roman" w:hAnsi="Times New Roman" w:cs="Times New Roman"/>
          <w:sz w:val="24"/>
          <w:szCs w:val="24"/>
        </w:rPr>
        <w:t>} cap, but failed to address OPEX PPA rigidity, billing disputes, wheeling charges, and asset recognition for bank loans.</w:t>
      </w:r>
    </w:p>
    <w:p w14:paraId="5E0C3E3F" w14:textId="77777777" w:rsidR="00680C1B" w:rsidRPr="00680C1B" w:rsidRDefault="00680C1B" w:rsidP="00680C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Q30 (Real-World Impact &amp; Recommendations):</w:t>
      </w:r>
      <w:r w:rsidRPr="00680C1B">
        <w:rPr>
          <w:rFonts w:ascii="Times New Roman" w:eastAsia="Times New Roman" w:hAnsi="Times New Roman" w:cs="Times New Roman"/>
          <w:sz w:val="24"/>
          <w:szCs w:val="24"/>
        </w:rPr>
        <w:t xml:space="preserve"> Recommended prosumer export bonus payments, tax/wheeling exemptions, carbon trading facilities, and mandatory clean power purchase quotas for heavy industry.</w:t>
      </w:r>
    </w:p>
    <w:p w14:paraId="16BCCEEE"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The key financial parameters of Paper 2 lead into the concise status accounting for Source 3.</w:t>
      </w:r>
    </w:p>
    <w:p w14:paraId="7BBFE43B" w14:textId="77777777" w:rsidR="00680C1B" w:rsidRPr="00680C1B" w:rsidRDefault="00680C1B" w:rsidP="00680C1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680C1B">
        <w:rPr>
          <w:rFonts w:ascii="Times New Roman" w:eastAsia="Times New Roman" w:hAnsi="Times New Roman" w:cs="Times New Roman"/>
          <w:b/>
          <w:bCs/>
          <w:sz w:val="36"/>
          <w:szCs w:val="36"/>
        </w:rPr>
        <w:t>Section 3: Four-Paper Comparative Analysis</w:t>
      </w:r>
    </w:p>
    <w:p w14:paraId="0BA39F80" w14:textId="77777777" w:rsidR="00680C1B" w:rsidRPr="00680C1B" w:rsidRDefault="00680C1B" w:rsidP="00680C1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80C1B">
        <w:rPr>
          <w:rFonts w:ascii="Times New Roman" w:eastAsia="Times New Roman" w:hAnsi="Times New Roman" w:cs="Times New Roman"/>
          <w:b/>
          <w:bCs/>
          <w:sz w:val="27"/>
          <w:szCs w:val="27"/>
        </w:rPr>
        <w:t>3.1 Cross-Paper Synthesis and Comparative Evaluation</w:t>
      </w:r>
    </w:p>
    <w:p w14:paraId="1F2AB2EA"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Synthesizing distinct research domains—specifically digital mHealth primary care delivery models and renewable power infrastructure—provides an integrated perspective on strengthening rural health systems in Bangladesh. A crucial insight emerging from this cross-domain synthesis is the direct operational interdependence between mHealth software technologies and clean energy infrastructure. Continuous IoT-driven mHealth screening, automated Clinical Decision Support System (CDSS) processing, and cloud database synchronization (Paper 1) rely fundamentally on continuous, uninterrupted electricity to power mobile devices, medical sensors, and local telecommunications nodes. In rural Bangladesh, where the central distribution grid is characterized by severe instability and frequent blackouts, deploying rooftop solar PV Net Metering Systems (Paper 2) eliminates facility grid vulnerabilities. By securing resilient, low-cost daytime power, renewable infrastructure ensures uninterrupted operation of digital diagnostic platforms while simultaneously lowering facility operational expenditures and reducing national power sector carbon emissions. Evaluating these interventions alongside available contextual sources illustrates how digital health delivery and clean energy adoption mutually reinforce rural health system resilience and sustainable development.</w:t>
      </w:r>
    </w:p>
    <w:tbl>
      <w:tblPr>
        <w:tblW w:w="5052"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1"/>
        <w:gridCol w:w="3720"/>
        <w:gridCol w:w="3690"/>
      </w:tblGrid>
      <w:tr w:rsidR="00F27F24" w:rsidRPr="00680C1B" w14:paraId="37FDE164"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441E8470"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Aspect</w:t>
            </w:r>
          </w:p>
        </w:tc>
        <w:tc>
          <w:tcPr>
            <w:tcW w:w="1970" w:type="pct"/>
            <w:tcBorders>
              <w:top w:val="outset" w:sz="6" w:space="0" w:color="auto"/>
              <w:left w:val="outset" w:sz="6" w:space="0" w:color="auto"/>
              <w:bottom w:val="outset" w:sz="6" w:space="0" w:color="auto"/>
              <w:right w:val="outset" w:sz="6" w:space="0" w:color="auto"/>
            </w:tcBorders>
            <w:vAlign w:val="center"/>
            <w:hideMark/>
          </w:tcPr>
          <w:p w14:paraId="61CB96D3"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Paper 1: Digital Health (Faruque et al., 2019)</w:t>
            </w:r>
          </w:p>
        </w:tc>
        <w:tc>
          <w:tcPr>
            <w:tcW w:w="1954" w:type="pct"/>
            <w:tcBorders>
              <w:top w:val="outset" w:sz="6" w:space="0" w:color="auto"/>
              <w:left w:val="outset" w:sz="6" w:space="0" w:color="auto"/>
              <w:bottom w:val="outset" w:sz="6" w:space="0" w:color="auto"/>
              <w:right w:val="outset" w:sz="6" w:space="0" w:color="auto"/>
            </w:tcBorders>
            <w:vAlign w:val="center"/>
            <w:hideMark/>
          </w:tcPr>
          <w:p w14:paraId="5A660A32"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Paper 2: Solar NMS (Reza et al., 2026)</w:t>
            </w:r>
          </w:p>
        </w:tc>
      </w:tr>
      <w:tr w:rsidR="00F27F24" w:rsidRPr="00680C1B" w14:paraId="36FB913C"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21BC7F9D"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Problem</w:t>
            </w:r>
          </w:p>
        </w:tc>
        <w:tc>
          <w:tcPr>
            <w:tcW w:w="1970" w:type="pct"/>
            <w:tcBorders>
              <w:top w:val="outset" w:sz="6" w:space="0" w:color="auto"/>
              <w:left w:val="outset" w:sz="6" w:space="0" w:color="auto"/>
              <w:bottom w:val="outset" w:sz="6" w:space="0" w:color="auto"/>
              <w:right w:val="outset" w:sz="6" w:space="0" w:color="auto"/>
            </w:tcBorders>
            <w:vAlign w:val="center"/>
            <w:hideMark/>
          </w:tcPr>
          <w:p w14:paraId="57786C0C"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High NCD burden (68% deaths) &amp; lack of health awareness in rural Bangladesh.</w:t>
            </w:r>
          </w:p>
        </w:tc>
        <w:tc>
          <w:tcPr>
            <w:tcW w:w="1954" w:type="pct"/>
            <w:tcBorders>
              <w:top w:val="outset" w:sz="6" w:space="0" w:color="auto"/>
              <w:left w:val="outset" w:sz="6" w:space="0" w:color="auto"/>
              <w:bottom w:val="outset" w:sz="6" w:space="0" w:color="auto"/>
              <w:right w:val="outset" w:sz="6" w:space="0" w:color="auto"/>
            </w:tcBorders>
            <w:vAlign w:val="center"/>
            <w:hideMark/>
          </w:tcPr>
          <w:p w14:paraId="41D5E32C"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Frequent grid power cuts &amp; heavy fossil fuel reliance in rural healthcare facilities.</w:t>
            </w:r>
          </w:p>
        </w:tc>
      </w:tr>
      <w:tr w:rsidR="00F27F24" w:rsidRPr="00680C1B" w14:paraId="60C2C1F6"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6BFF6F21"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Objective</w:t>
            </w:r>
          </w:p>
        </w:tc>
        <w:tc>
          <w:tcPr>
            <w:tcW w:w="1970" w:type="pct"/>
            <w:tcBorders>
              <w:top w:val="outset" w:sz="6" w:space="0" w:color="auto"/>
              <w:left w:val="outset" w:sz="6" w:space="0" w:color="auto"/>
              <w:bottom w:val="outset" w:sz="6" w:space="0" w:color="auto"/>
              <w:right w:val="outset" w:sz="6" w:space="0" w:color="auto"/>
            </w:tcBorders>
            <w:vAlign w:val="center"/>
            <w:hideMark/>
          </w:tcPr>
          <w:p w14:paraId="41573801"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Assess content, usability, &amp; efficacy of CMED mHealth platform for rural NCD prevention.</w:t>
            </w:r>
          </w:p>
        </w:tc>
        <w:tc>
          <w:tcPr>
            <w:tcW w:w="1954" w:type="pct"/>
            <w:tcBorders>
              <w:top w:val="outset" w:sz="6" w:space="0" w:color="auto"/>
              <w:left w:val="outset" w:sz="6" w:space="0" w:color="auto"/>
              <w:bottom w:val="outset" w:sz="6" w:space="0" w:color="auto"/>
              <w:right w:val="outset" w:sz="6" w:space="0" w:color="auto"/>
            </w:tcBorders>
            <w:vAlign w:val="center"/>
            <w:hideMark/>
          </w:tcPr>
          <w:p w14:paraId="4A0C514F"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Assess techno-economic viability of rooftop solar NMS &amp; carbon credit sales for 5,424 health facilities.</w:t>
            </w:r>
          </w:p>
        </w:tc>
      </w:tr>
      <w:tr w:rsidR="00F27F24" w:rsidRPr="00680C1B" w14:paraId="4CC2CA54"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2A97D734"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Dataset/Data</w:t>
            </w:r>
          </w:p>
        </w:tc>
        <w:tc>
          <w:tcPr>
            <w:tcW w:w="1970" w:type="pct"/>
            <w:tcBorders>
              <w:top w:val="outset" w:sz="6" w:space="0" w:color="auto"/>
              <w:left w:val="outset" w:sz="6" w:space="0" w:color="auto"/>
              <w:bottom w:val="outset" w:sz="6" w:space="0" w:color="auto"/>
              <w:right w:val="outset" w:sz="6" w:space="0" w:color="auto"/>
            </w:tcBorders>
            <w:vAlign w:val="center"/>
            <w:hideMark/>
          </w:tcPr>
          <w:p w14:paraId="1E27C1C1"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Pilot across 32,000+ people, 7,000+ households, 21 villages; 393 survey respondents; KIIs &amp; 4 FGDs.</w:t>
            </w:r>
          </w:p>
        </w:tc>
        <w:tc>
          <w:tcPr>
            <w:tcW w:w="1954" w:type="pct"/>
            <w:tcBorders>
              <w:top w:val="outset" w:sz="6" w:space="0" w:color="auto"/>
              <w:left w:val="outset" w:sz="6" w:space="0" w:color="auto"/>
              <w:bottom w:val="outset" w:sz="6" w:space="0" w:color="auto"/>
              <w:right w:val="outset" w:sz="6" w:space="0" w:color="auto"/>
            </w:tcBorders>
            <w:vAlign w:val="center"/>
            <w:hideMark/>
          </w:tcPr>
          <w:p w14:paraId="7640D71C"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Aggregated data from 50 health facilities representing 5,424 sites; 70,799 \</w:t>
            </w:r>
            <w:proofErr w:type="gramStart"/>
            <w:r w:rsidRPr="00680C1B">
              <w:rPr>
                <w:rFonts w:ascii="Times New Roman" w:eastAsia="Times New Roman" w:hAnsi="Times New Roman" w:cs="Times New Roman"/>
                <w:sz w:val="24"/>
                <w:szCs w:val="24"/>
              </w:rPr>
              <w:t>text{ m</w:t>
            </w:r>
            <w:proofErr w:type="gramEnd"/>
            <w:r w:rsidRPr="00680C1B">
              <w:rPr>
                <w:rFonts w:ascii="Times New Roman" w:eastAsia="Times New Roman" w:hAnsi="Times New Roman" w:cs="Times New Roman"/>
                <w:sz w:val="24"/>
                <w:szCs w:val="24"/>
              </w:rPr>
              <w:t>}^2 rooftop area; 9.30 \text{ MW} sanctioned load.</w:t>
            </w:r>
          </w:p>
        </w:tc>
      </w:tr>
      <w:tr w:rsidR="00F27F24" w:rsidRPr="00680C1B" w14:paraId="1C61D2B4"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67D8D799"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lastRenderedPageBreak/>
              <w:t>Methodology</w:t>
            </w:r>
          </w:p>
        </w:tc>
        <w:tc>
          <w:tcPr>
            <w:tcW w:w="1970" w:type="pct"/>
            <w:tcBorders>
              <w:top w:val="outset" w:sz="6" w:space="0" w:color="auto"/>
              <w:left w:val="outset" w:sz="6" w:space="0" w:color="auto"/>
              <w:bottom w:val="outset" w:sz="6" w:space="0" w:color="auto"/>
              <w:right w:val="outset" w:sz="6" w:space="0" w:color="auto"/>
            </w:tcBorders>
            <w:vAlign w:val="center"/>
            <w:hideMark/>
          </w:tcPr>
          <w:p w14:paraId="04D3F5AE"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Action Research framework utilizing method triangulation (quantitative surveys, qualitative KIIs/FGDs, participant observation).</w:t>
            </w:r>
          </w:p>
        </w:tc>
        <w:tc>
          <w:tcPr>
            <w:tcW w:w="1954" w:type="pct"/>
            <w:tcBorders>
              <w:top w:val="outset" w:sz="6" w:space="0" w:color="auto"/>
              <w:left w:val="outset" w:sz="6" w:space="0" w:color="auto"/>
              <w:bottom w:val="outset" w:sz="6" w:space="0" w:color="auto"/>
              <w:right w:val="outset" w:sz="6" w:space="0" w:color="auto"/>
            </w:tcBorders>
            <w:vAlign w:val="center"/>
            <w:hideMark/>
          </w:tcPr>
          <w:p w14:paraId="5284D9AB"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Quantitative cost-benefit analysis &amp; life-cycle financial modeling using SREDA Net Metering Calculator &amp; multi-scenario parametric sensitivity analysis.</w:t>
            </w:r>
          </w:p>
        </w:tc>
      </w:tr>
      <w:tr w:rsidR="00F27F24" w:rsidRPr="00680C1B" w14:paraId="7CC267EE"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6FDD0DF1"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Analysis Type</w:t>
            </w:r>
          </w:p>
        </w:tc>
        <w:tc>
          <w:tcPr>
            <w:tcW w:w="1970" w:type="pct"/>
            <w:tcBorders>
              <w:top w:val="outset" w:sz="6" w:space="0" w:color="auto"/>
              <w:left w:val="outset" w:sz="6" w:space="0" w:color="auto"/>
              <w:bottom w:val="outset" w:sz="6" w:space="0" w:color="auto"/>
              <w:right w:val="outset" w:sz="6" w:space="0" w:color="auto"/>
            </w:tcBorders>
            <w:vAlign w:val="center"/>
            <w:hideMark/>
          </w:tcPr>
          <w:p w14:paraId="0E6CCC7E"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Mixed-methods (quantitative screening metrics + qualitative thematic FGD/KII analysis).</w:t>
            </w:r>
          </w:p>
        </w:tc>
        <w:tc>
          <w:tcPr>
            <w:tcW w:w="1954" w:type="pct"/>
            <w:tcBorders>
              <w:top w:val="outset" w:sz="6" w:space="0" w:color="auto"/>
              <w:left w:val="outset" w:sz="6" w:space="0" w:color="auto"/>
              <w:bottom w:val="outset" w:sz="6" w:space="0" w:color="auto"/>
              <w:right w:val="outset" w:sz="6" w:space="0" w:color="auto"/>
            </w:tcBorders>
            <w:vAlign w:val="center"/>
            <w:hideMark/>
          </w:tcPr>
          <w:p w14:paraId="7EEDADA6"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Quantitative techno-economic &amp; financial analysis (NPV, IRR, Payback, LCOE, GEF carbon accounting).</w:t>
            </w:r>
          </w:p>
        </w:tc>
      </w:tr>
      <w:tr w:rsidR="00F27F24" w:rsidRPr="00680C1B" w14:paraId="7C6B52D7"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491A15E3"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Proposed Solution</w:t>
            </w:r>
          </w:p>
        </w:tc>
        <w:tc>
          <w:tcPr>
            <w:tcW w:w="1970" w:type="pct"/>
            <w:tcBorders>
              <w:top w:val="outset" w:sz="6" w:space="0" w:color="auto"/>
              <w:left w:val="outset" w:sz="6" w:space="0" w:color="auto"/>
              <w:bottom w:val="outset" w:sz="6" w:space="0" w:color="auto"/>
              <w:right w:val="outset" w:sz="6" w:space="0" w:color="auto"/>
            </w:tcBorders>
            <w:vAlign w:val="center"/>
            <w:hideMark/>
          </w:tcPr>
          <w:p w14:paraId="08C68C32"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CMED IoT-enabled, AI-driven cloud platform with smart sensors, mobile app, offline SQLite database, &amp; CDSS feedback.</w:t>
            </w:r>
          </w:p>
        </w:tc>
        <w:tc>
          <w:tcPr>
            <w:tcW w:w="1954" w:type="pct"/>
            <w:tcBorders>
              <w:top w:val="outset" w:sz="6" w:space="0" w:color="auto"/>
              <w:left w:val="outset" w:sz="6" w:space="0" w:color="auto"/>
              <w:bottom w:val="outset" w:sz="6" w:space="0" w:color="auto"/>
              <w:right w:val="outset" w:sz="6" w:space="0" w:color="auto"/>
            </w:tcBorders>
            <w:vAlign w:val="center"/>
            <w:hideMark/>
          </w:tcPr>
          <w:p w14:paraId="43FD0EC4"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Grid-</w:t>
            </w:r>
            <w:proofErr w:type="spellStart"/>
            <w:r w:rsidRPr="00680C1B">
              <w:rPr>
                <w:rFonts w:ascii="Times New Roman" w:eastAsia="Times New Roman" w:hAnsi="Times New Roman" w:cs="Times New Roman"/>
                <w:sz w:val="24"/>
                <w:szCs w:val="24"/>
              </w:rPr>
              <w:t>tied</w:t>
            </w:r>
            <w:proofErr w:type="spellEnd"/>
            <w:r w:rsidRPr="00680C1B">
              <w:rPr>
                <w:rFonts w:ascii="Times New Roman" w:eastAsia="Times New Roman" w:hAnsi="Times New Roman" w:cs="Times New Roman"/>
                <w:sz w:val="24"/>
                <w:szCs w:val="24"/>
              </w:rPr>
              <w:t xml:space="preserve"> rooftop solar PV Net Metering System (NMS) integrated with Clean Development Mechanism (CDM) carbon credit trading.</w:t>
            </w:r>
          </w:p>
        </w:tc>
      </w:tr>
      <w:tr w:rsidR="00F27F24" w:rsidRPr="00680C1B" w14:paraId="1CF607A0"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3C560C20"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Evaluation</w:t>
            </w:r>
          </w:p>
        </w:tc>
        <w:tc>
          <w:tcPr>
            <w:tcW w:w="1970" w:type="pct"/>
            <w:tcBorders>
              <w:top w:val="outset" w:sz="6" w:space="0" w:color="auto"/>
              <w:left w:val="outset" w:sz="6" w:space="0" w:color="auto"/>
              <w:bottom w:val="outset" w:sz="6" w:space="0" w:color="auto"/>
              <w:right w:val="outset" w:sz="6" w:space="0" w:color="auto"/>
            </w:tcBorders>
            <w:vAlign w:val="center"/>
            <w:hideMark/>
          </w:tcPr>
          <w:p w14:paraId="4C1BF194"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Field usability testing, app content validation against National Protocols, &amp; efficacy testing vs manual screening methods.</w:t>
            </w:r>
          </w:p>
        </w:tc>
        <w:tc>
          <w:tcPr>
            <w:tcW w:w="1954" w:type="pct"/>
            <w:tcBorders>
              <w:top w:val="outset" w:sz="6" w:space="0" w:color="auto"/>
              <w:left w:val="outset" w:sz="6" w:space="0" w:color="auto"/>
              <w:bottom w:val="outset" w:sz="6" w:space="0" w:color="auto"/>
              <w:right w:val="outset" w:sz="6" w:space="0" w:color="auto"/>
            </w:tcBorders>
            <w:vAlign w:val="center"/>
            <w:hideMark/>
          </w:tcPr>
          <w:p w14:paraId="670F9F51"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20-year financial metrics (NPV, IRR, LCOE, Payback) &amp; environmental metrics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MTCO}_2\text{e} reduction) tested across 7 carbon CAGR scenarios.</w:t>
            </w:r>
          </w:p>
        </w:tc>
      </w:tr>
      <w:tr w:rsidR="00F27F24" w:rsidRPr="00680C1B" w14:paraId="22A62458"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258F4C02"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Main Results</w:t>
            </w:r>
          </w:p>
        </w:tc>
        <w:tc>
          <w:tcPr>
            <w:tcW w:w="1970" w:type="pct"/>
            <w:tcBorders>
              <w:top w:val="outset" w:sz="6" w:space="0" w:color="auto"/>
              <w:left w:val="outset" w:sz="6" w:space="0" w:color="auto"/>
              <w:bottom w:val="outset" w:sz="6" w:space="0" w:color="auto"/>
              <w:right w:val="outset" w:sz="6" w:space="0" w:color="auto"/>
            </w:tcBorders>
            <w:vAlign w:val="center"/>
            <w:hideMark/>
          </w:tcPr>
          <w:p w14:paraId="0563BC20"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17,907 screened; 99.5% satisfaction; identified major undiagnosed diabetes (15.8%) &amp; hypertension (11.5%).</w:t>
            </w:r>
          </w:p>
        </w:tc>
        <w:tc>
          <w:tcPr>
            <w:tcW w:w="1954" w:type="pct"/>
            <w:tcBorders>
              <w:top w:val="outset" w:sz="6" w:space="0" w:color="auto"/>
              <w:left w:val="outset" w:sz="6" w:space="0" w:color="auto"/>
              <w:bottom w:val="outset" w:sz="6" w:space="0" w:color="auto"/>
              <w:right w:val="outset" w:sz="6" w:space="0" w:color="auto"/>
            </w:tcBorders>
            <w:vAlign w:val="center"/>
            <w:hideMark/>
          </w:tcPr>
          <w:p w14:paraId="5E34D178"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7.86 \</w:t>
            </w:r>
            <w:proofErr w:type="gramStart"/>
            <w:r w:rsidRPr="00680C1B">
              <w:rPr>
                <w:rFonts w:ascii="Times New Roman" w:eastAsia="Times New Roman" w:hAnsi="Times New Roman" w:cs="Times New Roman"/>
                <w:sz w:val="24"/>
                <w:szCs w:val="24"/>
              </w:rPr>
              <w:t>text{ MWp</w:t>
            </w:r>
            <w:proofErr w:type="gramEnd"/>
            <w:r w:rsidRPr="00680C1B">
              <w:rPr>
                <w:rFonts w:ascii="Times New Roman" w:eastAsia="Times New Roman" w:hAnsi="Times New Roman" w:cs="Times New Roman"/>
                <w:sz w:val="24"/>
                <w:szCs w:val="24"/>
              </w:rPr>
              <w:t>} AC capacity; 171.48 \text{ GWh} generated; 82,999 \text{ MTCO}_2\text{e} reduced; baseline NPV \$3.77\text{M}, IRR 9.61%, LCOE \$0.0184/\text{kWh}.</w:t>
            </w:r>
          </w:p>
        </w:tc>
      </w:tr>
      <w:tr w:rsidR="00F27F24" w:rsidRPr="00680C1B" w14:paraId="0E7C17B1" w14:textId="77777777" w:rsidTr="00F27F24">
        <w:tc>
          <w:tcPr>
            <w:tcW w:w="0" w:type="auto"/>
            <w:tcBorders>
              <w:top w:val="outset" w:sz="6" w:space="0" w:color="auto"/>
              <w:left w:val="outset" w:sz="6" w:space="0" w:color="auto"/>
              <w:bottom w:val="outset" w:sz="6" w:space="0" w:color="auto"/>
              <w:right w:val="outset" w:sz="6" w:space="0" w:color="auto"/>
            </w:tcBorders>
            <w:vAlign w:val="center"/>
            <w:hideMark/>
          </w:tcPr>
          <w:p w14:paraId="5ACD175D"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b/>
                <w:bCs/>
                <w:sz w:val="24"/>
                <w:szCs w:val="24"/>
              </w:rPr>
              <w:t>Impact/Application</w:t>
            </w:r>
          </w:p>
        </w:tc>
        <w:tc>
          <w:tcPr>
            <w:tcW w:w="1970" w:type="pct"/>
            <w:tcBorders>
              <w:top w:val="outset" w:sz="6" w:space="0" w:color="auto"/>
              <w:left w:val="outset" w:sz="6" w:space="0" w:color="auto"/>
              <w:bottom w:val="outset" w:sz="6" w:space="0" w:color="auto"/>
              <w:right w:val="outset" w:sz="6" w:space="0" w:color="auto"/>
            </w:tcBorders>
            <w:vAlign w:val="center"/>
            <w:hideMark/>
          </w:tcPr>
          <w:p w14:paraId="09062AFF"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Reduced diagnostic time/costs; empowered rural lifestyle changes; streamlined CHW workload via SQLite offline cloud syncing.</w:t>
            </w:r>
          </w:p>
        </w:tc>
        <w:tc>
          <w:tcPr>
            <w:tcW w:w="1954" w:type="pct"/>
            <w:tcBorders>
              <w:top w:val="outset" w:sz="6" w:space="0" w:color="auto"/>
              <w:left w:val="outset" w:sz="6" w:space="0" w:color="auto"/>
              <w:bottom w:val="outset" w:sz="6" w:space="0" w:color="auto"/>
              <w:right w:val="outset" w:sz="6" w:space="0" w:color="auto"/>
            </w:tcBorders>
            <w:vAlign w:val="center"/>
            <w:hideMark/>
          </w:tcPr>
          <w:p w14:paraId="4CAC34CE" w14:textId="77777777" w:rsidR="00F27F24" w:rsidRPr="00680C1B" w:rsidRDefault="00F27F24"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Sustainable power for rural clinic operations; recommendations for 2025 NMS policy fixes, RESCO financing, &amp; carbon trading quotas.</w:t>
            </w:r>
          </w:p>
        </w:tc>
      </w:tr>
    </w:tbl>
    <w:p w14:paraId="49A5942D"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These cross-domain empirical synthesis matrix insights establish the foundation for the core technical terminology defined in the final section.</w:t>
      </w:r>
    </w:p>
    <w:p w14:paraId="703268FF" w14:textId="77777777" w:rsidR="00680C1B" w:rsidRPr="00680C1B" w:rsidRDefault="00680C1B" w:rsidP="00680C1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680C1B">
        <w:rPr>
          <w:rFonts w:ascii="Times New Roman" w:eastAsia="Times New Roman" w:hAnsi="Times New Roman" w:cs="Times New Roman"/>
          <w:b/>
          <w:bCs/>
          <w:sz w:val="36"/>
          <w:szCs w:val="36"/>
        </w:rPr>
        <w:t>Section 4: Master Technical Glossary</w:t>
      </w:r>
    </w:p>
    <w:p w14:paraId="58F2F8FE" w14:textId="77777777" w:rsidR="00680C1B" w:rsidRPr="00680C1B" w:rsidRDefault="00680C1B" w:rsidP="00680C1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80C1B">
        <w:rPr>
          <w:rFonts w:ascii="Times New Roman" w:eastAsia="Times New Roman" w:hAnsi="Times New Roman" w:cs="Times New Roman"/>
          <w:b/>
          <w:bCs/>
          <w:sz w:val="27"/>
          <w:szCs w:val="27"/>
        </w:rPr>
        <w:t>4.1 Comprehensive Technical Terminology &amp; Conceptual Definitions</w:t>
      </w:r>
    </w:p>
    <w:p w14:paraId="7C4719F0"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Mastering specialized technical, economic, and methodological vocabulary is essential for defending research rigor during an academic viva defense. The following glossary defines key concepts extracted directly from the core research sources.</w:t>
      </w:r>
    </w:p>
    <w:p w14:paraId="4EBAFB15"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Clinical Decision Support System (CDSS) Definition: An AI-driven software component embedded within the CMED digital health platform that processes vital parameters acquired by medical sensors, evaluates health risks against pre-programmed clinical protocols, and provides instant color-coded feedback and automated doctor referrals.</w:t>
      </w:r>
    </w:p>
    <w:p w14:paraId="763F27DF"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lastRenderedPageBreak/>
        <w:t>Term: Action Research Methodology Definition: A reflective, iterative research framework combining quantitative surveys, qualitative interviews, and participant observation to solve real-world operational problems through simultaneous action, field intervention, and empirical evaluation.</w:t>
      </w:r>
    </w:p>
    <w:p w14:paraId="6FE98EA5"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Mobile Health (mHealth) Definition: The application of mobile communication technologies, smart mobile applications, and portable connected medical sensors to support public health practices, patient vital sign monitoring, and primary healthcare delivery.</w:t>
      </w:r>
    </w:p>
    <w:p w14:paraId="6E123ADD"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Usability Testing Definition: An empirical evaluation technique used to assess a mobile app's software interface, operational workflows, and visual feedback formats with active end-users within their actual working environments.</w:t>
      </w:r>
    </w:p>
    <w:p w14:paraId="4C6911EB"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Mid-Upper Arm Circumference (MUAC) Definition: A standardized anatomical screening measurement executed during field deployments using specialized measuring tapes to rapidly evaluate nutritional status and severe acute malnutrition in children under five years of age.</w:t>
      </w:r>
    </w:p>
    <w:p w14:paraId="75E131EB"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Net Metering System (NMS) Definition: A bi-directional billing mechanism that enables grid-connected energy consumers equipped with solar PV installations to export surplus electricity back to the utility grid, offsetting their total grid power consumption over a defined billing cycle.</w:t>
      </w:r>
    </w:p>
    <w:p w14:paraId="5B45047F"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Clean Development Mechanism (CDM) Definition: A standardized framework established under the Kyoto Protocol that permits emissions-reduction projects in developing nations to earn tradable Certified Emission Reduction (CER) credits, which can be purchased by industrialized countries to satisfy climate compliance targets.</w:t>
      </w:r>
    </w:p>
    <w:p w14:paraId="01CA6D5C"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 xml:space="preserve">Term: </w:t>
      </w:r>
      <w:proofErr w:type="spellStart"/>
      <w:r w:rsidRPr="00680C1B">
        <w:rPr>
          <w:rFonts w:ascii="Times New Roman" w:eastAsia="Times New Roman" w:hAnsi="Times New Roman" w:cs="Times New Roman"/>
          <w:sz w:val="24"/>
          <w:szCs w:val="24"/>
        </w:rPr>
        <w:t>Levelised</w:t>
      </w:r>
      <w:proofErr w:type="spellEnd"/>
      <w:r w:rsidRPr="00680C1B">
        <w:rPr>
          <w:rFonts w:ascii="Times New Roman" w:eastAsia="Times New Roman" w:hAnsi="Times New Roman" w:cs="Times New Roman"/>
          <w:sz w:val="24"/>
          <w:szCs w:val="24"/>
        </w:rPr>
        <w:t xml:space="preserve"> Cost of Electricity (LCOE) Definition: The calculated net present cost of electricity generation for a power system over its entire operational lifetime divided by the total unit volume of energy produced, expressed in monetary terms per kilowatt-hour (\$ / \text{kWh}).</w:t>
      </w:r>
    </w:p>
    <w:p w14:paraId="4DD20124"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Internal Rate of Return (IRR) Definition: The specific financial discount rate at which the Net Present Value (NPV) of all projected discounted cash inflows and outflows for an infrastructure project equals zero, serving as a primary metric of investment profitability.</w:t>
      </w:r>
    </w:p>
    <w:p w14:paraId="0C82AE0E"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Grid Emission Factor (GEF) Definition: A standardized coefficient quantifying the average mass of greenhouse gas emissions generated per unit of electricity produced within a national grid network, established at 484 grams of \</w:t>
      </w:r>
      <w:proofErr w:type="gramStart"/>
      <w:r w:rsidRPr="00680C1B">
        <w:rPr>
          <w:rFonts w:ascii="Times New Roman" w:eastAsia="Times New Roman" w:hAnsi="Times New Roman" w:cs="Times New Roman"/>
          <w:sz w:val="24"/>
          <w:szCs w:val="24"/>
        </w:rPr>
        <w:t>text{</w:t>
      </w:r>
      <w:proofErr w:type="gramEnd"/>
      <w:r w:rsidRPr="00680C1B">
        <w:rPr>
          <w:rFonts w:ascii="Times New Roman" w:eastAsia="Times New Roman" w:hAnsi="Times New Roman" w:cs="Times New Roman"/>
          <w:sz w:val="24"/>
          <w:szCs w:val="24"/>
        </w:rPr>
        <w:t>CO}_2 per kilowatt-hour (\text{</w:t>
      </w:r>
      <w:proofErr w:type="spellStart"/>
      <w:r w:rsidRPr="00680C1B">
        <w:rPr>
          <w:rFonts w:ascii="Times New Roman" w:eastAsia="Times New Roman" w:hAnsi="Times New Roman" w:cs="Times New Roman"/>
          <w:sz w:val="24"/>
          <w:szCs w:val="24"/>
        </w:rPr>
        <w:t>gCO</w:t>
      </w:r>
      <w:proofErr w:type="spellEnd"/>
      <w:r w:rsidRPr="00680C1B">
        <w:rPr>
          <w:rFonts w:ascii="Times New Roman" w:eastAsia="Times New Roman" w:hAnsi="Times New Roman" w:cs="Times New Roman"/>
          <w:sz w:val="24"/>
          <w:szCs w:val="24"/>
        </w:rPr>
        <w:t>}_2/\text{kWh}) for intermittent renewable power modeling in Bangladesh.</w:t>
      </w:r>
    </w:p>
    <w:p w14:paraId="0C5C0FC1"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Term: Voluntary Carbon Market (VCM) Definition: A decentralized market platform where corporations, institutions, or individuals voluntarily purchase verified carbon offset units (such as Verified Carbon Units) to compensate for their operational greenhouse gas emissions outside of legal state compliance mandates.</w:t>
      </w:r>
    </w:p>
    <w:p w14:paraId="42D50939"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lastRenderedPageBreak/>
        <w:t>Term: Compound Annual Growth Rate (CAGR) Definition: The geometric mean growth rate that describes the annualized yield of an investment or commodity price trajectory over a specified multi-year time period, assuming compounding over the evaluated horizon.</w:t>
      </w:r>
    </w:p>
    <w:p w14:paraId="01CFACB2" w14:textId="77777777" w:rsidR="00680C1B" w:rsidRPr="00680C1B" w:rsidRDefault="00680C1B" w:rsidP="00680C1B">
      <w:pPr>
        <w:spacing w:before="100" w:beforeAutospacing="1" w:after="100" w:afterAutospacing="1" w:line="240" w:lineRule="auto"/>
        <w:jc w:val="both"/>
        <w:rPr>
          <w:rFonts w:ascii="Times New Roman" w:eastAsia="Times New Roman" w:hAnsi="Times New Roman" w:cs="Times New Roman"/>
          <w:sz w:val="24"/>
          <w:szCs w:val="24"/>
        </w:rPr>
      </w:pPr>
      <w:r w:rsidRPr="00680C1B">
        <w:rPr>
          <w:rFonts w:ascii="Times New Roman" w:eastAsia="Times New Roman" w:hAnsi="Times New Roman" w:cs="Times New Roman"/>
          <w:sz w:val="24"/>
          <w:szCs w:val="24"/>
        </w:rPr>
        <w:t>This comprehensive study guide equips researchers with the empirical data, methodological grounding, financial insights, and technical terminology required for academic viva defense, supervisor evaluations, and peer-reviewed publishing.</w:t>
      </w:r>
    </w:p>
    <w:p w14:paraId="59427990" w14:textId="77777777" w:rsidR="008F5ED6" w:rsidRDefault="008F5ED6" w:rsidP="00E40990">
      <w:pPr>
        <w:pStyle w:val="Heading1"/>
        <w:jc w:val="both"/>
      </w:pPr>
    </w:p>
    <w:p w14:paraId="021E2477" w14:textId="77777777" w:rsidR="008F5ED6" w:rsidRDefault="008F5ED6" w:rsidP="00E40990">
      <w:pPr>
        <w:pStyle w:val="Heading1"/>
        <w:jc w:val="both"/>
      </w:pPr>
    </w:p>
    <w:p w14:paraId="43A7DDB0" w14:textId="77777777" w:rsidR="008F5ED6" w:rsidRDefault="008F5ED6" w:rsidP="00E40990">
      <w:pPr>
        <w:pStyle w:val="Heading1"/>
        <w:jc w:val="both"/>
      </w:pPr>
    </w:p>
    <w:p w14:paraId="39B38B07" w14:textId="77777777" w:rsidR="008F5ED6" w:rsidRDefault="008F5ED6" w:rsidP="00E40990">
      <w:pPr>
        <w:pStyle w:val="Heading1"/>
        <w:jc w:val="both"/>
      </w:pPr>
    </w:p>
    <w:p w14:paraId="0EF49D03" w14:textId="77777777" w:rsidR="008F5ED6" w:rsidRDefault="008F5ED6" w:rsidP="00E40990">
      <w:pPr>
        <w:pStyle w:val="Heading1"/>
        <w:jc w:val="both"/>
      </w:pPr>
    </w:p>
    <w:p w14:paraId="5AF8C5AF" w14:textId="77777777" w:rsidR="008F5ED6" w:rsidRDefault="008F5ED6" w:rsidP="00E40990">
      <w:pPr>
        <w:pStyle w:val="Heading1"/>
        <w:jc w:val="both"/>
      </w:pPr>
    </w:p>
    <w:p w14:paraId="5857177F" w14:textId="77777777" w:rsidR="008F5ED6" w:rsidRDefault="008F5ED6" w:rsidP="00E40990">
      <w:pPr>
        <w:pStyle w:val="Heading1"/>
        <w:jc w:val="both"/>
      </w:pPr>
    </w:p>
    <w:p w14:paraId="0349ABD5" w14:textId="77777777" w:rsidR="008F5ED6" w:rsidRDefault="008F5ED6" w:rsidP="00E40990">
      <w:pPr>
        <w:pStyle w:val="Heading1"/>
        <w:jc w:val="both"/>
      </w:pPr>
    </w:p>
    <w:p w14:paraId="25B9BA13" w14:textId="77777777" w:rsidR="008F5ED6" w:rsidRDefault="008F5ED6" w:rsidP="00E40990">
      <w:pPr>
        <w:pStyle w:val="Heading1"/>
        <w:jc w:val="both"/>
      </w:pPr>
    </w:p>
    <w:p w14:paraId="4226FB7B" w14:textId="77777777" w:rsidR="008F5ED6" w:rsidRDefault="008F5ED6" w:rsidP="00E40990">
      <w:pPr>
        <w:pStyle w:val="Heading1"/>
        <w:jc w:val="both"/>
      </w:pPr>
    </w:p>
    <w:p w14:paraId="1415C404" w14:textId="77777777" w:rsidR="008F5ED6" w:rsidRDefault="008F5ED6" w:rsidP="00E40990">
      <w:pPr>
        <w:pStyle w:val="Heading1"/>
        <w:jc w:val="both"/>
      </w:pPr>
    </w:p>
    <w:p w14:paraId="4104824C" w14:textId="220D788A" w:rsidR="00E40990" w:rsidRPr="00E40990" w:rsidRDefault="00E40990" w:rsidP="00E40990">
      <w:pPr>
        <w:pStyle w:val="Heading1"/>
        <w:jc w:val="both"/>
      </w:pPr>
      <w:r w:rsidRPr="00E40990">
        <w:lastRenderedPageBreak/>
        <w:t>Research Study Guide &amp; Comparative Analysis: Digital Health Interventions and Multimodal AI Copilots in Bangladesh</w:t>
      </w:r>
    </w:p>
    <w:p w14:paraId="650766AA" w14:textId="77777777" w:rsidR="00E40990" w:rsidRPr="00E40990" w:rsidRDefault="00E40990" w:rsidP="00E40990">
      <w:pPr>
        <w:pStyle w:val="Heading2"/>
        <w:jc w:val="both"/>
      </w:pPr>
      <w:r w:rsidRPr="00E40990">
        <w:t>Section 1: Paper 3 Deep-Dive — Digital Health Intervention Model (Zaman et al., 2025)</w:t>
      </w:r>
    </w:p>
    <w:p w14:paraId="67FA656B" w14:textId="77777777" w:rsidR="00E40990" w:rsidRPr="00E40990" w:rsidRDefault="00E40990" w:rsidP="00E40990">
      <w:pPr>
        <w:pStyle w:val="NormalWeb"/>
        <w:jc w:val="both"/>
      </w:pPr>
      <w:r w:rsidRPr="00E40990">
        <w:t xml:space="preserve">Evaluating community-based digital primary healthcare interventions in low- and middle-income countries (LMICs) is critical for mitigating the escalating burden of non-communicable diseases (NCDs). In Bangladesh, where NCDs account for approximately 67% of total national mortality, rural populations face severe structural vulnerabilities, including acute shortages of certified physicians, geographical barriers, low health literacy, and systemic reliance on informal care providers. The landmark empirical study, </w:t>
      </w:r>
      <w:r w:rsidRPr="00E40990">
        <w:rPr>
          <w:i/>
          <w:iCs/>
        </w:rPr>
        <w:t>"Efficacy of using a digital health intervention model using community health workers for primary health services in Bangladesh: a repeated cross-sectional observational study"</w:t>
      </w:r>
      <w:r w:rsidRPr="00E40990">
        <w:t xml:space="preserve"> (Zaman et al., 2025), investigates an innovative, door-to-door healthcare delivery model. Implemented in rural Bangladesh through strategic partnerships between CMED Health, the Palli Karma-</w:t>
      </w:r>
      <w:proofErr w:type="spellStart"/>
      <w:r w:rsidRPr="00E40990">
        <w:t>Shahayak</w:t>
      </w:r>
      <w:proofErr w:type="spellEnd"/>
      <w:r w:rsidRPr="00E40990">
        <w:t xml:space="preserve"> Foundation (PKSF), the local partner NGO SOJAG, and the ENRICH program, this framework equips Community Health Workers (CHWs) with Internet of Things (IoT)-enabled diagnostic hardware and an Artificial Intelligence (AI)-driven Clinical Decision Support System (CDSS) to bridge primary healthcare gaps, promote early NCD screening, and advance Universal Health Coverage (UHC).</w:t>
      </w:r>
    </w:p>
    <w:p w14:paraId="0C1195A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COMMUNITY HEALTH WORKER (CHW / HA</w:t>
      </w:r>
      <w:proofErr w:type="gramStart"/>
      <w:r w:rsidRPr="00E40990">
        <w:rPr>
          <w:rStyle w:val="HTMLCode"/>
          <w:rFonts w:ascii="Times New Roman" w:hAnsi="Times New Roman" w:cs="Times New Roman"/>
        </w:rPr>
        <w:t>) ]</w:t>
      </w:r>
      <w:proofErr w:type="gramEnd"/>
    </w:p>
    <w:p w14:paraId="19A73B6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3F9FA5E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6AAD736D"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1B31FFE1"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SMART HEALTH </w:t>
      </w:r>
      <w:proofErr w:type="gramStart"/>
      <w:r w:rsidRPr="00E40990">
        <w:rPr>
          <w:rStyle w:val="HTMLCode"/>
          <w:rFonts w:ascii="Times New Roman" w:hAnsi="Times New Roman" w:cs="Times New Roman"/>
        </w:rPr>
        <w:t>KIT ]</w:t>
      </w:r>
      <w:proofErr w:type="gramEnd"/>
      <w:r w:rsidRPr="00E40990">
        <w:rPr>
          <w:rStyle w:val="HTMLCode"/>
          <w:rFonts w:ascii="Times New Roman" w:hAnsi="Times New Roman" w:cs="Times New Roman"/>
        </w:rPr>
        <w:t xml:space="preserve">                           [ ENRICHED SASTHO APP ]</w:t>
      </w:r>
    </w:p>
    <w:p w14:paraId="68322810"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Height / Weight Scale                        • Digital Profile Creation</w:t>
      </w:r>
    </w:p>
    <w:p w14:paraId="6737D908"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IoT Sphygmomanometer                         • Real-Time Vitals Entry</w:t>
      </w:r>
    </w:p>
    <w:p w14:paraId="648E0556"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IoT Glucometer &amp; Lancets                     • Automated AI-CDSS Triage</w:t>
      </w:r>
    </w:p>
    <w:p w14:paraId="376F90A1"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SpO2, Temp, ECG, MUAC Tape                            │</w:t>
      </w:r>
    </w:p>
    <w:p w14:paraId="4E0C48E7"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4855ACA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19CD10E8"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6B0E5B63"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AI-CDSS </w:t>
      </w:r>
      <w:proofErr w:type="gramStart"/>
      <w:r w:rsidRPr="00E40990">
        <w:rPr>
          <w:rStyle w:val="HTMLCode"/>
          <w:rFonts w:ascii="Times New Roman" w:hAnsi="Times New Roman" w:cs="Times New Roman"/>
        </w:rPr>
        <w:t>TRIAGE ]</w:t>
      </w:r>
      <w:proofErr w:type="gramEnd"/>
    </w:p>
    <w:p w14:paraId="20D4CD44"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1ED37D8D"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32844784"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17B85CC3"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LOW / MODERATE </w:t>
      </w:r>
      <w:proofErr w:type="gramStart"/>
      <w:r w:rsidRPr="00E40990">
        <w:rPr>
          <w:rStyle w:val="HTMLCode"/>
          <w:rFonts w:ascii="Times New Roman" w:hAnsi="Times New Roman" w:cs="Times New Roman"/>
        </w:rPr>
        <w:t>RISK ]</w:t>
      </w:r>
      <w:proofErr w:type="gramEnd"/>
      <w:r w:rsidRPr="00E40990">
        <w:rPr>
          <w:rStyle w:val="HTMLCode"/>
          <w:rFonts w:ascii="Times New Roman" w:hAnsi="Times New Roman" w:cs="Times New Roman"/>
        </w:rPr>
        <w:t xml:space="preserve">                              [ HIGH RISK ]</w:t>
      </w:r>
    </w:p>
    <w:p w14:paraId="16CB551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118C52A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4F4BE82C"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MEDICAL </w:t>
      </w:r>
      <w:proofErr w:type="gramStart"/>
      <w:r w:rsidRPr="00E40990">
        <w:rPr>
          <w:rStyle w:val="HTMLCode"/>
          <w:rFonts w:ascii="Times New Roman" w:hAnsi="Times New Roman" w:cs="Times New Roman"/>
        </w:rPr>
        <w:t>ASSISTANT ]</w:t>
      </w:r>
      <w:proofErr w:type="gramEnd"/>
      <w:r w:rsidRPr="00E40990">
        <w:rPr>
          <w:rStyle w:val="HTMLCode"/>
          <w:rFonts w:ascii="Times New Roman" w:hAnsi="Times New Roman" w:cs="Times New Roman"/>
        </w:rPr>
        <w:t xml:space="preserve">                          [ GENERAL PRACTITIONER ]</w:t>
      </w:r>
    </w:p>
    <w:p w14:paraId="2E16C477"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MATS Certified                               • Telemedicine / In-Person</w:t>
      </w:r>
    </w:p>
    <w:p w14:paraId="3A7BD2F6"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OTC Prescriptions                            • Diagnostic Referrals</w:t>
      </w:r>
    </w:p>
    <w:p w14:paraId="3B58F704"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Lifestyle Advice                             • Secondary/Tertiary Referral</w:t>
      </w:r>
    </w:p>
    <w:p w14:paraId="5F093183" w14:textId="77777777" w:rsidR="00E40990" w:rsidRPr="00E40990" w:rsidRDefault="00E40990" w:rsidP="00E40990">
      <w:pPr>
        <w:pStyle w:val="Heading3"/>
        <w:jc w:val="both"/>
      </w:pPr>
      <w:r w:rsidRPr="00E40990">
        <w:lastRenderedPageBreak/>
        <w:t>Methodological &amp; Viva Examination Q&amp;A Analysis</w:t>
      </w:r>
    </w:p>
    <w:p w14:paraId="7EBD5F5A"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 Core Public Health Challenge &amp; Health-Seeking Behaviors</w:t>
      </w:r>
    </w:p>
    <w:p w14:paraId="42000E0F" w14:textId="77777777" w:rsidR="00E40990" w:rsidRPr="00E40990" w:rsidRDefault="00E40990" w:rsidP="00E40990">
      <w:pPr>
        <w:pStyle w:val="NormalWeb"/>
        <w:jc w:val="both"/>
      </w:pPr>
      <w:r w:rsidRPr="00E40990">
        <w:rPr>
          <w:b/>
          <w:bCs/>
        </w:rPr>
        <w:t>Deconstruct the primary public health challenge and health-seeking behavior deficiencies in rural Bangladesh addressed by this research.</w:t>
      </w:r>
      <w:r w:rsidRPr="00E40990">
        <w:t xml:space="preserve"> Rural primary healthcare in Bangladesh suffers from an acute deficit and inequitable distribution of certified medical personnel compared to urban centers, compounded by harmful health-seeking behaviors (Page 2). Rural residents heavily depend on self-medication, local informal pharmacists, religious healers, and traditional practitioners ("witches") due to the absence of accessible formal care (Page 2). Furthermore, a lack of health literacy leaves communities oblivious to chronic disease risks, leading patients with non-communicable diseases (NCDs)—which trigger 67% of deaths in Bangladesh—to present only at advanced, irreversible clinical stages (Page 2).</w:t>
      </w:r>
    </w:p>
    <w:p w14:paraId="172833C9"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Q2: Research Gap in eHealth/mHealth Efficacy Tracking</w:t>
      </w:r>
    </w:p>
    <w:p w14:paraId="7C5773CB" w14:textId="77777777" w:rsidR="00E40990" w:rsidRPr="00E40990" w:rsidRDefault="00E40990" w:rsidP="00E40990">
      <w:pPr>
        <w:pStyle w:val="NormalWeb"/>
        <w:jc w:val="both"/>
      </w:pPr>
      <w:r w:rsidRPr="00E40990">
        <w:rPr>
          <w:b/>
          <w:bCs/>
        </w:rPr>
        <w:t>Evaluate the specific gap in existing eHealth/mHealth solutions regarding rural demographic access and longitudinal efficacy tracking.</w:t>
      </w:r>
      <w:r w:rsidRPr="00E40990">
        <w:t xml:space="preserve"> Although Bangladesh introduced national eHealth policies in 2011—spurring over 26 eHealth and mHealth initiatives by 2014—these solutions focused almost exclusively on urban demographics through online consultations, home sample collections, and medicine delivery (Page 2). A critical research gap existed because the accessibility, population uptake, and longitudinal clinical efficacy of digital healthcare models operating at the rural household level had never been empirically evaluated (Page 2). Existing platforms neglected rural populations, leaving a dearth of longitudinal evidence regarding whether doorstep digital interventions could sustainably improve population-level health vitals over time (Page 2).</w:t>
      </w:r>
    </w:p>
    <w:p w14:paraId="4202216A"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Q3: Research Objectives &amp; Operational Timeline</w:t>
      </w:r>
    </w:p>
    <w:p w14:paraId="66C8C449" w14:textId="77777777" w:rsidR="00E40990" w:rsidRPr="00E40990" w:rsidRDefault="00E40990" w:rsidP="00E40990">
      <w:pPr>
        <w:pStyle w:val="NormalWeb"/>
        <w:jc w:val="both"/>
      </w:pPr>
      <w:r w:rsidRPr="00E40990">
        <w:rPr>
          <w:b/>
          <w:bCs/>
        </w:rPr>
        <w:t>Formulate the primary research objectives regarding evaluating community health worker (CHW)-led digital interventions over an 18-month timeline.</w:t>
      </w:r>
      <w:r w:rsidRPr="00E40990">
        <w:t xml:space="preserve"> The primary objective was to evaluate the feasibility, operational effectiveness, and population-level clinical impact of a digital primary healthcare model delivered by CHWs in rural Bangladesh (Page 2, Abstract). Utilizing a repeated cross-sectional observational design, the study aimed to track and compare physiological vitals—specifically Body Mass Index (BMI), Blood Pressure (BP), Blood Glucose, and child Mid-Upper Arm Circumference (MUAC)—at 6-month evaluation intervals across an 18-month operational timeline (July 1, 2018 – December 31, 2019) to determine if doorstep screening and AI-assisted triage yield statistically significant health improvements (Page 2–3, Abstract).</w:t>
      </w:r>
    </w:p>
    <w:p w14:paraId="3F1F0A1F"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Q4: Policy Alignment with UHC and SDGs</w:t>
      </w:r>
    </w:p>
    <w:p w14:paraId="24D42CCB" w14:textId="77777777" w:rsidR="00E40990" w:rsidRPr="00E40990" w:rsidRDefault="00E40990" w:rsidP="00E40990">
      <w:pPr>
        <w:pStyle w:val="NormalWeb"/>
        <w:jc w:val="both"/>
      </w:pPr>
      <w:r w:rsidRPr="00E40990">
        <w:rPr>
          <w:b/>
          <w:bCs/>
        </w:rPr>
        <w:t>Explain how this study aligns with Universal Health Coverage (UHC) and Sustainable Development Goals (SDGs) through preventive NCD management.</w:t>
      </w:r>
      <w:r w:rsidRPr="00E40990">
        <w:t xml:space="preserve"> The model directly supports UHC and SDG 3 (Good Health and Well-Being) by establishing an equitable, primary healthcare architecture that prioritizes early NCD prevention and continuous risk monitoring over expensive tertiary treatment (Page 2, Abstract). By deploying CHWs to deliver household-level </w:t>
      </w:r>
      <w:r w:rsidRPr="00E40990">
        <w:lastRenderedPageBreak/>
        <w:t>screening, digital triaging, and health education, the intervention reduces financial and geographic barriers for underserved rural populations (Page 2, Page 11). Proactively detecting prehypertension, elevated blood glucose, and child malnutrition prevents chronic disease progression and catastrophic out-of-pocket medical expenditure, aligning directly with global health equity mandates (Page 2, Page 11).</w:t>
      </w:r>
    </w:p>
    <w:p w14:paraId="7AC71FF0"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Q5: Target Population, Catchment Area Dataset &amp; Institutional Partners</w:t>
      </w:r>
    </w:p>
    <w:p w14:paraId="4421433B" w14:textId="77777777" w:rsidR="00E40990" w:rsidRPr="00E40990" w:rsidRDefault="00E40990" w:rsidP="00E40990">
      <w:pPr>
        <w:pStyle w:val="NormalWeb"/>
        <w:jc w:val="both"/>
      </w:pPr>
      <w:r w:rsidRPr="00E40990">
        <w:rPr>
          <w:b/>
          <w:bCs/>
        </w:rPr>
        <w:t xml:space="preserve">Detail the baseline population demographics, household counts, institutional framework, and operational timeline for the pilot implementation in </w:t>
      </w:r>
      <w:proofErr w:type="spellStart"/>
      <w:r w:rsidRPr="00E40990">
        <w:rPr>
          <w:b/>
          <w:bCs/>
        </w:rPr>
        <w:t>Somvag</w:t>
      </w:r>
      <w:proofErr w:type="spellEnd"/>
      <w:r w:rsidRPr="00E40990">
        <w:rPr>
          <w:b/>
          <w:bCs/>
        </w:rPr>
        <w:t xml:space="preserve"> Union.</w:t>
      </w:r>
      <w:r w:rsidRPr="00E40990">
        <w:t xml:space="preserve"> The pilot project was conducted in </w:t>
      </w:r>
      <w:proofErr w:type="spellStart"/>
      <w:r w:rsidRPr="00E40990">
        <w:t>Somvag</w:t>
      </w:r>
      <w:proofErr w:type="spellEnd"/>
      <w:r w:rsidRPr="00E40990">
        <w:t xml:space="preserve"> Union—the smallest rural administrative unit in Bangladesh—through a strategic partnership between CMED Health, the Palli Karma-</w:t>
      </w:r>
      <w:proofErr w:type="spellStart"/>
      <w:r w:rsidRPr="00E40990">
        <w:t>Shahayak</w:t>
      </w:r>
      <w:proofErr w:type="spellEnd"/>
      <w:r w:rsidRPr="00E40990">
        <w:t xml:space="preserve"> Foundation (PKSF), the local partner NGO SOJAG, and the ENRICH program (Page 2, Page 13). Operating from July 1, 2018, to December 31, 2019, the catchment dataset encompassed all 7,090 households in </w:t>
      </w:r>
      <w:proofErr w:type="spellStart"/>
      <w:r w:rsidRPr="00E40990">
        <w:t>Somvag</w:t>
      </w:r>
      <w:proofErr w:type="spellEnd"/>
      <w:r w:rsidRPr="00E40990">
        <w:t xml:space="preserve"> Union, serving a total population of 32,581 individuals (Page 3). Baseline demographics revealed a balanced gender split of 50.67% male (n=16,508) and 49.33% female (n=16,073), with young adults aged 18–35 constituting the largest demographic segment at 32.25% (n=10,508) (Page 5, Table 2).</w:t>
      </w:r>
    </w:p>
    <w:p w14:paraId="4B1D10D0"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Q6: CHW Workforce Deployment &amp; Training Protocol</w:t>
      </w:r>
    </w:p>
    <w:p w14:paraId="351AE85C" w14:textId="77777777" w:rsidR="00E40990" w:rsidRPr="00E40990" w:rsidRDefault="00E40990" w:rsidP="00E40990">
      <w:pPr>
        <w:pStyle w:val="NormalWeb"/>
        <w:jc w:val="both"/>
      </w:pPr>
      <w:r w:rsidRPr="00E40990">
        <w:rPr>
          <w:b/>
          <w:bCs/>
        </w:rPr>
        <w:t>Analyze the deployment ratio, qualifications, and training protocol of the Health Assistants (HAs) utilized in the program.</w:t>
      </w:r>
      <w:r w:rsidRPr="00E40990">
        <w:t xml:space="preserve"> To service 7,090 households, 14 CHWs—designated as Health Assistants (HAs) and privately employed by CMED Health—were deployed, establishing a precise operational ratio of 1 HA per 500 households (Page 3). Candidates were required to possess at least eight years of formal schooling (Page 3). Before field deployment, </w:t>
      </w:r>
      <w:proofErr w:type="gramStart"/>
      <w:r w:rsidRPr="00E40990">
        <w:t>HAs</w:t>
      </w:r>
      <w:proofErr w:type="gramEnd"/>
      <w:r w:rsidRPr="00E40990">
        <w:t xml:space="preserve"> completed </w:t>
      </w:r>
      <w:proofErr w:type="spellStart"/>
      <w:r w:rsidRPr="00E40990">
        <w:t>a</w:t>
      </w:r>
      <w:proofErr w:type="spellEnd"/>
      <w:r w:rsidRPr="00E40990">
        <w:t xml:space="preserve"> intensive two-week training curriculum covering three competencies: operating analogue and IoT hardware in the Smart Health Kit, navigating the "Enriched </w:t>
      </w:r>
      <w:proofErr w:type="spellStart"/>
      <w:r w:rsidRPr="00E40990">
        <w:t>Sastho</w:t>
      </w:r>
      <w:proofErr w:type="spellEnd"/>
      <w:r w:rsidRPr="00E40990">
        <w:t>" mobile app for digital profile entry and automated AI risk profiling, and delivering standardized health counseling on NCD risk factors (Page 3).</w:t>
      </w:r>
    </w:p>
    <w:p w14:paraId="6450E15E"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 xml:space="preserve">Q7: Smart Health Kit &amp; "Enriched </w:t>
      </w:r>
      <w:proofErr w:type="spellStart"/>
      <w:r w:rsidRPr="00E40990">
        <w:rPr>
          <w:rFonts w:ascii="Times New Roman" w:hAnsi="Times New Roman" w:cs="Times New Roman"/>
        </w:rPr>
        <w:t>Sastho</w:t>
      </w:r>
      <w:proofErr w:type="spellEnd"/>
      <w:r w:rsidRPr="00E40990">
        <w:rPr>
          <w:rFonts w:ascii="Times New Roman" w:hAnsi="Times New Roman" w:cs="Times New Roman"/>
        </w:rPr>
        <w:t>" Technical Architecture</w:t>
      </w:r>
    </w:p>
    <w:p w14:paraId="0DE2CC16" w14:textId="77777777" w:rsidR="00E40990" w:rsidRPr="00E40990" w:rsidRDefault="00E40990" w:rsidP="00E40990">
      <w:pPr>
        <w:pStyle w:val="NormalWeb"/>
        <w:jc w:val="both"/>
      </w:pPr>
      <w:r w:rsidRPr="00E40990">
        <w:rPr>
          <w:b/>
          <w:bCs/>
        </w:rPr>
        <w:t xml:space="preserve">Deconstruct the technological architecture of the Smart Health Kit and the "Enriched </w:t>
      </w:r>
      <w:proofErr w:type="spellStart"/>
      <w:r w:rsidRPr="00E40990">
        <w:rPr>
          <w:b/>
          <w:bCs/>
        </w:rPr>
        <w:t>Sastho</w:t>
      </w:r>
      <w:proofErr w:type="spellEnd"/>
      <w:r w:rsidRPr="00E40990">
        <w:rPr>
          <w:b/>
          <w:bCs/>
        </w:rPr>
        <w:t>" mobile app.</w:t>
      </w:r>
      <w:r w:rsidRPr="00E40990">
        <w:t xml:space="preserve"> The hardware architecture comprised the "Smart Health Kit," containing analogue and IoT diagnostic tools: a height scale, digital weighing scale, IoT sphygmomanometer, IoT glucometer with single-use lancets, pulse oximeter (\</w:t>
      </w:r>
      <w:proofErr w:type="gramStart"/>
      <w:r w:rsidRPr="00E40990">
        <w:t>text{</w:t>
      </w:r>
      <w:proofErr w:type="gramEnd"/>
      <w:r w:rsidRPr="00E40990">
        <w:t xml:space="preserve">SpO}_2 and pulse rate), digital thermometer, MUAC measuring tape, and portable electrocardiogram (ECG) unit (Page 3–4, Figs. 1 &amp; 2). The software architecture centered on the Android-based "Enriched </w:t>
      </w:r>
      <w:proofErr w:type="spellStart"/>
      <w:r w:rsidRPr="00E40990">
        <w:t>Sastho</w:t>
      </w:r>
      <w:proofErr w:type="spellEnd"/>
      <w:r w:rsidRPr="00E40990">
        <w:t>" mobile application installed on HA smartphones (Page 3–4). The app built encrypted user health profiles during baseline visits, automatically captured IoT diagnostic transmissions or manual inputs, executed real-time risk stratification algorithms, and synced patient records to AWS cloud servers (Page 3–5).</w:t>
      </w:r>
    </w:p>
    <w:p w14:paraId="50BC21E9"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lastRenderedPageBreak/>
        <w:t>Q8: Triage &amp; AI-Based Clinical Decision Support System (CDSS)</w:t>
      </w:r>
    </w:p>
    <w:p w14:paraId="5C6DD124" w14:textId="77777777" w:rsidR="00E40990" w:rsidRPr="00E40990" w:rsidRDefault="00E40990" w:rsidP="00E40990">
      <w:pPr>
        <w:pStyle w:val="NormalWeb"/>
        <w:jc w:val="both"/>
      </w:pPr>
      <w:r w:rsidRPr="00E40990">
        <w:rPr>
          <w:b/>
          <w:bCs/>
        </w:rPr>
        <w:t>Explain how the AI-based Clinical Decision Support System (CDSS) triaged patients across Medical Assistants and GP doctors.</w:t>
      </w:r>
      <w:r w:rsidRPr="00E40990">
        <w:t xml:space="preserve"> Upon diagnostic input, the "Enriched </w:t>
      </w:r>
      <w:proofErr w:type="spellStart"/>
      <w:r w:rsidRPr="00E40990">
        <w:t>Sastho</w:t>
      </w:r>
      <w:proofErr w:type="spellEnd"/>
      <w:r w:rsidRPr="00E40990">
        <w:t>" app executed an embedded AI-CDSS algorithm that processed vitals and health histories against clinical decision rules to automate patient risk stratification (Page 3). Low- or moderate-risk patients received digital referrals to Medical Assistants—certified via Medical Assistant Training Schools (MATS)—who provided lifestyle advice and over-the-counter (OTC) medications (Page 3). High-risk patients or those presenting severe NCD profiles were triaged directly to General Practitioner (GP) doctors, who delivered consultations via telemedicine or in-person visits, ordered diagnostic testing, issued prescription drugs, or initiated secondary/tertiary hospital referrals (Page 3, Fig. 1).</w:t>
      </w:r>
    </w:p>
    <w:p w14:paraId="7BFD48B0"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Q9: Study Design, Longitudinal Intervals &amp; Viva Defense Framing</w:t>
      </w:r>
    </w:p>
    <w:p w14:paraId="3EDA7662" w14:textId="77777777" w:rsidR="00E40990" w:rsidRPr="00E40990" w:rsidRDefault="00E40990" w:rsidP="00E40990">
      <w:pPr>
        <w:pStyle w:val="NormalWeb"/>
        <w:jc w:val="both"/>
      </w:pPr>
      <w:r w:rsidRPr="00E40990">
        <w:rPr>
          <w:b/>
          <w:bCs/>
        </w:rPr>
        <w:t>Identify the research design type, data collection intervals, and defend the methodological trade-offs of this design in an oral viva.</w:t>
      </w:r>
      <w:r w:rsidRPr="00E40990">
        <w:t xml:space="preserve"> The study utilized a repeated cross-sectional observational design evaluated across three 6-month operational intervals: Period 1 (July 1 – Dec 31, 2018), Period 2 (Jan 1 – June 30, 2019), and Period 3 (July 1 – Dec 31, 2019) (Page 2, Page 5). In a viva defense, an examinee must justify selecting a repeated cross-sectional framework over a true longitudinal cohort study by citing severe participant attrition, high rural labor mobility, and prohibitive tracking costs in LMIC field settings. To defend against repeated-measures selection bias, analysts isolated only the latest measurement instance for each participant within each 6-month evaluation window, providing conservative population-level outcome snapshots while controlling for duplicate visit skew (Page 5, Page 12).</w:t>
      </w:r>
    </w:p>
    <w:p w14:paraId="5DFC5D8C"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Q10: Statistical Software, Normality Testing &amp; Regression Models</w:t>
      </w:r>
    </w:p>
    <w:p w14:paraId="359DBCCB" w14:textId="77777777" w:rsidR="00E40990" w:rsidRPr="00E40990" w:rsidRDefault="00E40990" w:rsidP="00E40990">
      <w:pPr>
        <w:pStyle w:val="NormalWeb"/>
        <w:jc w:val="both"/>
      </w:pPr>
      <w:r w:rsidRPr="00E40990">
        <w:rPr>
          <w:b/>
          <w:bCs/>
        </w:rPr>
        <w:t>Detail the statistical tools, regression models, and normality/hypothesis tests used.</w:t>
      </w:r>
      <w:r w:rsidRPr="00E40990">
        <w:t xml:space="preserve"> Raw data exported from AWS cloud storage were queried via MySQL and processed in Python within Google </w:t>
      </w:r>
      <w:proofErr w:type="spellStart"/>
      <w:r w:rsidRPr="00E40990">
        <w:t>Colaboratory</w:t>
      </w:r>
      <w:proofErr w:type="spellEnd"/>
      <w:r w:rsidRPr="00E40990">
        <w:t xml:space="preserve"> (Page 5). Continuous numerical variables were evaluated for distribution normality using the D'Agostino and Pearson's test (Page 5). Normally distributed continuous metrics were evaluated using Student's t-test or Welch's t-test, whereas non-normally distributed continuous variables were analyzed using the Wilcoxon signed-rank test (Page 5). Categorical proportional changes across periods were tested using the two-proportion z-test, with statistical significance defined at p &lt; 0.05 (Page 5). Multivariate logistic regression was performed to derive Odds Ratios (OR) and 95% Confidence Intervals (CI) for NCD predictors (Page 5).</w:t>
      </w:r>
    </w:p>
    <w:p w14:paraId="7F609807"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Q11: Baseline Vital Statistics &amp; Prevalence Findings</w:t>
      </w:r>
    </w:p>
    <w:p w14:paraId="37B52E0B" w14:textId="77777777" w:rsidR="00E40990" w:rsidRPr="00E40990" w:rsidRDefault="00E40990" w:rsidP="00E40990">
      <w:pPr>
        <w:pStyle w:val="NormalWeb"/>
        <w:jc w:val="both"/>
      </w:pPr>
      <w:r w:rsidRPr="00E40990">
        <w:rPr>
          <w:b/>
          <w:bCs/>
        </w:rPr>
        <w:t>Summarize the baseline findings for BMI, blood pressure, blood glucose, and child malnutrition (MUAC) across the served cohort.</w:t>
      </w:r>
      <w:r w:rsidRPr="00E40990">
        <w:t xml:space="preserve"> Baseline descriptive analysis of adults (\</w:t>
      </w:r>
      <w:proofErr w:type="spellStart"/>
      <w:r w:rsidRPr="00E40990">
        <w:t>ge</w:t>
      </w:r>
      <w:proofErr w:type="spellEnd"/>
      <w:r w:rsidRPr="00E40990">
        <w:t xml:space="preserve"> 18 years, Table 3) revealed an overweight prevalence of 21.76% (24.13% in women vs. 17.20% in men) and obesity at 4.06% (Page 5–6). Blood pressure screenings (n=15,549) indicated 78.54% normal, 8.18% prehypertension, and 6.50% mild hypertension (Page 6). Blood glucose testing (n=1,775) showed 70.65% normal, 16.45% high, 5.07% borderline high, and 3.83% diabetic requiring confirmation (Page 6). Among children under seven evaluated via MUAC (n=1,009), </w:t>
      </w:r>
      <w:r w:rsidRPr="00E40990">
        <w:lastRenderedPageBreak/>
        <w:t>87.61% were adequately nourished, 11.00% suffered from moderate malnutrition, and 1.39% exhibited severe acute malnutrition (Page 6, Table 3).</w:t>
      </w:r>
    </w:p>
    <w:p w14:paraId="3CB42C3F"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Q12: Multivariate Logistic Regression &amp; Directional Odds Ratios</w:t>
      </w:r>
    </w:p>
    <w:p w14:paraId="671234F7" w14:textId="77777777" w:rsidR="00E40990" w:rsidRPr="00E40990" w:rsidRDefault="00E40990" w:rsidP="00E40990">
      <w:pPr>
        <w:pStyle w:val="NormalWeb"/>
        <w:jc w:val="both"/>
      </w:pPr>
      <w:r w:rsidRPr="00E40990">
        <w:rPr>
          <w:b/>
          <w:bCs/>
        </w:rPr>
        <w:t>Evaluate the multivariate odds ratios (OR) for developing hypertension, diabetes, cardiovascular disease (CVD), and stroke.</w:t>
      </w:r>
      <w:r w:rsidRPr="00E40990">
        <w:t xml:space="preserve"> Multivariate logistic regression (Table 4) demonstrated that age \</w:t>
      </w:r>
      <w:proofErr w:type="spellStart"/>
      <w:r w:rsidRPr="00E40990">
        <w:t>ge</w:t>
      </w:r>
      <w:proofErr w:type="spellEnd"/>
      <w:r w:rsidRPr="00E40990">
        <w:t xml:space="preserve"> 40 years was the single strongest independent predictor for hypertension (OR: 13.56; 95% CI: 12.06–15.24; p &lt; 0.01) and diabetes (OR: 3.96; 95% CI: 3.35–4.69; p &lt; 0.01) (Page 6–7). Female sex predicted higher hypertension odds (OR: 2.67; 95% CI: 2.42–2.95; p &lt; 0.01) (Page 7). Crucially, the directional co-occurrence vectors between diabetes and hypertension revealed distinct estimates: Diabetes predicted by Hypertension yielded an OR of 7.16 (95% CI: 6.13–8.36; p &lt; 0.01), whereas Hypertension predicted by Diabetes yielded an OR of 7.35 (95% CI: 6.30–8.59; p &lt; 0.01) (Page 7, Table 4). Cardiovascular disease (CVD) was strongly predicted by existing hypertension (OR: 12.50; 95% CI: 7.54–20.73; p &lt; 0.01), and stroke was highly associated with underlying CVD (OR: 8.12; 95% CI: 3.76–17.54; p &lt; 0.01) (Page 7–8).</w:t>
      </w:r>
    </w:p>
    <w:p w14:paraId="4086DDE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MULTIVARIATE RISK FACTOR ODDS RATIOS (OR</w:t>
      </w:r>
      <w:proofErr w:type="gramStart"/>
      <w:r w:rsidRPr="00E40990">
        <w:rPr>
          <w:rStyle w:val="HTMLCode"/>
          <w:rFonts w:ascii="Times New Roman" w:hAnsi="Times New Roman" w:cs="Times New Roman"/>
        </w:rPr>
        <w:t>) ]</w:t>
      </w:r>
      <w:proofErr w:type="gramEnd"/>
    </w:p>
    <w:p w14:paraId="10FB5ED4" w14:textId="77777777" w:rsidR="00E40990" w:rsidRPr="00E40990" w:rsidRDefault="00E40990" w:rsidP="00E40990">
      <w:pPr>
        <w:pStyle w:val="HTMLPreformatted"/>
        <w:jc w:val="both"/>
        <w:rPr>
          <w:rStyle w:val="HTMLCode"/>
          <w:rFonts w:ascii="Times New Roman" w:hAnsi="Times New Roman" w:cs="Times New Roman"/>
        </w:rPr>
      </w:pPr>
    </w:p>
    <w:p w14:paraId="1671AD2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Age ≥ 40 ──► Hypertension        │ OR = 13.56 (CI: 12.06–15.24, p &lt; 0.01)</w:t>
      </w:r>
    </w:p>
    <w:p w14:paraId="220D801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Age ≥ 40 ──► Diabetes            │ OR = </w:t>
      </w:r>
      <w:proofErr w:type="gramStart"/>
      <w:r w:rsidRPr="00E40990">
        <w:rPr>
          <w:rStyle w:val="HTMLCode"/>
          <w:rFonts w:ascii="Times New Roman" w:hAnsi="Times New Roman" w:cs="Times New Roman"/>
        </w:rPr>
        <w:t>3.96  (</w:t>
      </w:r>
      <w:proofErr w:type="gramEnd"/>
      <w:r w:rsidRPr="00E40990">
        <w:rPr>
          <w:rStyle w:val="HTMLCode"/>
          <w:rFonts w:ascii="Times New Roman" w:hAnsi="Times New Roman" w:cs="Times New Roman"/>
        </w:rPr>
        <w:t>CI: 3.35–4.69,   p &lt; 0.01)</w:t>
      </w:r>
    </w:p>
    <w:p w14:paraId="7AF8165F"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Hypertension ──► Diabetes            │ OR = </w:t>
      </w:r>
      <w:proofErr w:type="gramStart"/>
      <w:r w:rsidRPr="00E40990">
        <w:rPr>
          <w:rStyle w:val="HTMLCode"/>
          <w:rFonts w:ascii="Times New Roman" w:hAnsi="Times New Roman" w:cs="Times New Roman"/>
        </w:rPr>
        <w:t>7.16  (</w:t>
      </w:r>
      <w:proofErr w:type="gramEnd"/>
      <w:r w:rsidRPr="00E40990">
        <w:rPr>
          <w:rStyle w:val="HTMLCode"/>
          <w:rFonts w:ascii="Times New Roman" w:hAnsi="Times New Roman" w:cs="Times New Roman"/>
        </w:rPr>
        <w:t>CI: 6.13–8.36,   p &lt; 0.01)</w:t>
      </w:r>
    </w:p>
    <w:p w14:paraId="1A7F2BC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Diabetes ──► Hypertension        │ OR = </w:t>
      </w:r>
      <w:proofErr w:type="gramStart"/>
      <w:r w:rsidRPr="00E40990">
        <w:rPr>
          <w:rStyle w:val="HTMLCode"/>
          <w:rFonts w:ascii="Times New Roman" w:hAnsi="Times New Roman" w:cs="Times New Roman"/>
        </w:rPr>
        <w:t>7.35  (</w:t>
      </w:r>
      <w:proofErr w:type="gramEnd"/>
      <w:r w:rsidRPr="00E40990">
        <w:rPr>
          <w:rStyle w:val="HTMLCode"/>
          <w:rFonts w:ascii="Times New Roman" w:hAnsi="Times New Roman" w:cs="Times New Roman"/>
        </w:rPr>
        <w:t>CI: 6.30–8.59,   p &lt; 0.01)</w:t>
      </w:r>
    </w:p>
    <w:p w14:paraId="1BC049E4"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Hypertension ──► CVD                 │ OR = 12.50 (CI: 7.54–20.</w:t>
      </w:r>
      <w:proofErr w:type="gramStart"/>
      <w:r w:rsidRPr="00E40990">
        <w:rPr>
          <w:rStyle w:val="HTMLCode"/>
          <w:rFonts w:ascii="Times New Roman" w:hAnsi="Times New Roman" w:cs="Times New Roman"/>
        </w:rPr>
        <w:t>73,  p</w:t>
      </w:r>
      <w:proofErr w:type="gramEnd"/>
      <w:r w:rsidRPr="00E40990">
        <w:rPr>
          <w:rStyle w:val="HTMLCode"/>
          <w:rFonts w:ascii="Times New Roman" w:hAnsi="Times New Roman" w:cs="Times New Roman"/>
        </w:rPr>
        <w:t xml:space="preserve"> &lt; 0.01)</w:t>
      </w:r>
    </w:p>
    <w:p w14:paraId="3ADF7151"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CVD ──► Stroke              │ OR = </w:t>
      </w:r>
      <w:proofErr w:type="gramStart"/>
      <w:r w:rsidRPr="00E40990">
        <w:rPr>
          <w:rStyle w:val="HTMLCode"/>
          <w:rFonts w:ascii="Times New Roman" w:hAnsi="Times New Roman" w:cs="Times New Roman"/>
        </w:rPr>
        <w:t>8.12  (</w:t>
      </w:r>
      <w:proofErr w:type="gramEnd"/>
      <w:r w:rsidRPr="00E40990">
        <w:rPr>
          <w:rStyle w:val="HTMLCode"/>
          <w:rFonts w:ascii="Times New Roman" w:hAnsi="Times New Roman" w:cs="Times New Roman"/>
        </w:rPr>
        <w:t>CI: 3.76–17.54,  p &lt; 0.01)</w:t>
      </w:r>
    </w:p>
    <w:p w14:paraId="290B00D3"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Q13: Longitudinal Metric Outcomes &amp; Mixed-Methods Integration</w:t>
      </w:r>
    </w:p>
    <w:p w14:paraId="262B74AC" w14:textId="77777777" w:rsidR="00E40990" w:rsidRPr="00E40990" w:rsidRDefault="00E40990" w:rsidP="00E40990">
      <w:pPr>
        <w:pStyle w:val="NormalWeb"/>
        <w:jc w:val="both"/>
      </w:pPr>
      <w:r w:rsidRPr="00E40990">
        <w:rPr>
          <w:b/>
          <w:bCs/>
        </w:rPr>
        <w:t>Assess longitudinal changes in BMI, BP, and MUAC across evaluation periods, integrating qualitative FGD/KII findings.</w:t>
      </w:r>
      <w:r w:rsidRPr="00E40990">
        <w:t xml:space="preserve"> Proportional testing across evaluation windows demonstrated significant physiological improvements alongside declining sample sizes due to program maturation: BMI (n=15,144 \</w:t>
      </w:r>
      <w:proofErr w:type="spellStart"/>
      <w:r w:rsidRPr="00E40990">
        <w:t>rightarrow</w:t>
      </w:r>
      <w:proofErr w:type="spellEnd"/>
      <w:r w:rsidRPr="00E40990">
        <w:t xml:space="preserve"> 12,309 \</w:t>
      </w:r>
      <w:proofErr w:type="spellStart"/>
      <w:r w:rsidRPr="00E40990">
        <w:t>rightarrow</w:t>
      </w:r>
      <w:proofErr w:type="spellEnd"/>
      <w:r w:rsidRPr="00E40990">
        <w:t xml:space="preserve"> 9,426), BP (n=14,288 \</w:t>
      </w:r>
      <w:proofErr w:type="spellStart"/>
      <w:r w:rsidRPr="00E40990">
        <w:t>rightarrow</w:t>
      </w:r>
      <w:proofErr w:type="spellEnd"/>
      <w:r w:rsidRPr="00E40990">
        <w:t xml:space="preserve"> 11,134 \</w:t>
      </w:r>
      <w:proofErr w:type="spellStart"/>
      <w:r w:rsidRPr="00E40990">
        <w:t>rightarrow</w:t>
      </w:r>
      <w:proofErr w:type="spellEnd"/>
      <w:r w:rsidRPr="00E40990">
        <w:t xml:space="preserve"> 8,593), and MUAC (n=689 \</w:t>
      </w:r>
      <w:proofErr w:type="spellStart"/>
      <w:r w:rsidRPr="00E40990">
        <w:t>rightarrow</w:t>
      </w:r>
      <w:proofErr w:type="spellEnd"/>
      <w:r w:rsidRPr="00E40990">
        <w:t xml:space="preserve"> 383 \</w:t>
      </w:r>
      <w:proofErr w:type="spellStart"/>
      <w:r w:rsidRPr="00E40990">
        <w:t>rightarrow</w:t>
      </w:r>
      <w:proofErr w:type="spellEnd"/>
      <w:r w:rsidRPr="00E40990">
        <w:t xml:space="preserve"> 410) (Figs. 3, 4, 6). Adults with normal BMI increased from 64.90% (P1) to 67.02% (P2) and 68.59% (P3), while underweight proportions dropped from 10.00% to 5.64% (p &lt; 0.05) (Page 6, Fig. 3). Normal BP rates rose from 72.50% (P1) to 78.05% (P2) and 82.19% (P3), while prehypertension dropped from 9.13% to 4.92% (Page 6, Fig. 4; Wilcoxon test diastolic p &lt; 0.001, systolic p = 0.006). Child MUAC nourishment increased from 82.87% (P1) to 93.17% (P3), while malnutrition dropped from 14.95% to 6.59% (p &lt; 0.05) (Page 10, Fig. 6). Integrating qualitative data from Focus Group Discussions (FGDs) and Key Informant Interviews (KIIs) reveals the behavioral mechanism behind these numbers: families actively modified dietary habits and child feeding practices upon receiving direct, visual diagnostic feedback from CHWs (Page 3, Page 11).</w:t>
      </w:r>
    </w:p>
    <w:p w14:paraId="6C27B20A"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Q14: Anomaly Analysis — Blood Glucose Mechanics &amp; Selection Skew</w:t>
      </w:r>
    </w:p>
    <w:p w14:paraId="49E61561" w14:textId="77777777" w:rsidR="00E40990" w:rsidRPr="00E40990" w:rsidRDefault="00E40990" w:rsidP="00E40990">
      <w:pPr>
        <w:pStyle w:val="NormalWeb"/>
        <w:jc w:val="both"/>
      </w:pPr>
      <w:r w:rsidRPr="00E40990">
        <w:rPr>
          <w:b/>
          <w:bCs/>
        </w:rPr>
        <w:t>Analyze the economic and behavioral mechanics behind the adverse blood glucose trend, citing exact cohort sample drops.</w:t>
      </w:r>
      <w:r w:rsidRPr="00E40990">
        <w:t xml:space="preserve"> Blood glucose outcomes displayed an apparent clinical regression across evaluation periods: normal glucose proportions fell from 73.93% (P1) to 51.49% (P2) and 37.27% (P3), while high glucose rates rose from 15.67% (P1) to 29.66% (P2) and 38.64% </w:t>
      </w:r>
      <w:r w:rsidRPr="00E40990">
        <w:lastRenderedPageBreak/>
        <w:t>(P3) (Page 8–10, Fig. 5). This anomaly was driven by financial user fees and selection bias, reflected in sharp sample size contractions (n=1,442 \</w:t>
      </w:r>
      <w:proofErr w:type="spellStart"/>
      <w:r w:rsidRPr="00E40990">
        <w:t>rightarrow</w:t>
      </w:r>
      <w:proofErr w:type="spellEnd"/>
      <w:r w:rsidRPr="00E40990">
        <w:t xml:space="preserve"> 435 \</w:t>
      </w:r>
      <w:proofErr w:type="spellStart"/>
      <w:r w:rsidRPr="00E40990">
        <w:t>rightarrow</w:t>
      </w:r>
      <w:proofErr w:type="spellEnd"/>
      <w:r w:rsidRPr="00E40990">
        <w:t xml:space="preserve"> 220) (Page 9, Fig. 5). Unlike free BMI, BP, and MUAC screenings, blood glucose testing required strip consumables, forcing CMED to charge a minor user fee (Page 10–11). Non-diabetic participants who tested normal in Period 1 declined paid follow-up screenings in subsequent periods (Page 10). Conversely, confirmed diabetic patients actively paid for continuous monitoring, heavily skewing the testing sample in Periods 2 and 3 toward high-risk, chronic diabetic cohorts (Page 10).</w:t>
      </w:r>
    </w:p>
    <w:p w14:paraId="1ACF0BDF"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Q15: Methodological Critique — Gender Skew, External Validity &amp; Sustainability</w:t>
      </w:r>
    </w:p>
    <w:p w14:paraId="1407377E" w14:textId="77777777" w:rsidR="00E40990" w:rsidRPr="00E40990" w:rsidRDefault="00E40990" w:rsidP="00E40990">
      <w:pPr>
        <w:pStyle w:val="NormalWeb"/>
        <w:jc w:val="both"/>
      </w:pPr>
      <w:r w:rsidRPr="00E40990">
        <w:rPr>
          <w:b/>
          <w:bCs/>
        </w:rPr>
        <w:t>Critique the trial's external validity due to daytime gender sampling bias, data loss limitations, and financial sustainability.</w:t>
      </w:r>
      <w:r w:rsidRPr="00E40990">
        <w:t xml:space="preserve"> While proving field feasibility, the study's methodological rigor is constrained by a severe daytime sampling bias: visits occurred during daylight hours when working men were away, resulting in an adult screening sample that was 59.70% female (Page 10). Methodologically, this skew undermines the external validity of baseline NCD risk estimates for rural adult males, who likely exhibit unobserved occupational and lifestyle risk profiles (Page 10). Furthermore, disease histories relied partly on self-reporting, and server-side technical glitches prevented the extraction of downstream secondary/tertiary referral completion rates (Page 12). Single-union testing also restricts generalizability to urban centers (Page 12). Nevertheless, the model demonstrated high financial scalability: costing an estimated $1.00 USD per family per month, it provides a self-sustaining framework for public-private partnerships to advance UHC (Page 11–12).</w:t>
      </w:r>
    </w:p>
    <w:p w14:paraId="73E88934" w14:textId="77777777" w:rsidR="00E40990" w:rsidRPr="00E40990" w:rsidRDefault="00E40990" w:rsidP="00E40990">
      <w:pPr>
        <w:pStyle w:val="NormalWeb"/>
        <w:jc w:val="both"/>
      </w:pPr>
      <w:r w:rsidRPr="00E40990">
        <w:t>Evaluating field-based CHW models demonstrates how human-in-the-loop systems solve physical diagnostic access in rural communities; however, addressing highly sensitive and stigmatized health domains—such as adolescent sexual, reproductive, and mental health—demands fully automated, voice-enabled AI modalities that eliminate interpersonal barriers entirely.</w:t>
      </w:r>
    </w:p>
    <w:p w14:paraId="3AE48514" w14:textId="77777777" w:rsidR="00E40990" w:rsidRPr="00E40990" w:rsidRDefault="00E40990" w:rsidP="00E40990">
      <w:pPr>
        <w:pStyle w:val="Heading2"/>
        <w:jc w:val="both"/>
      </w:pPr>
      <w:r w:rsidRPr="00E40990">
        <w:t>Section 2: Paper 4 Deep-Dive — Multimodal AI Medical Copilot (Ahamed et al., 2026)</w:t>
      </w:r>
    </w:p>
    <w:p w14:paraId="6BD22D66" w14:textId="77777777" w:rsidR="00E40990" w:rsidRPr="00E40990" w:rsidRDefault="00E40990" w:rsidP="00E40990">
      <w:pPr>
        <w:pStyle w:val="NormalWeb"/>
        <w:jc w:val="both"/>
      </w:pPr>
      <w:r w:rsidRPr="00E40990">
        <w:t xml:space="preserve">Adolescents in Bangladesh (comprising over 20% of the national population, exceeding 36 million individuals) face severe public health crises regarding Sexual, Reproductive, and Mental Health (SRMH). Entrenched socio-cultural taboos, intense societal stigma, systemic poverty, and an acute deficit of specialized youth services leave 63% of Bangladeshi adolescents deprived of essential reproductive healthcare and 87% without mental health support. Overcoming these barriers requires technological innovations capable of delivering private, confidential, and clinically validated health guidance. The study titled </w:t>
      </w:r>
      <w:r w:rsidRPr="00E40990">
        <w:rPr>
          <w:i/>
          <w:iCs/>
        </w:rPr>
        <w:t>"SuSastho.AI: A multimodal medical copilot for adolescents using evidence-based medicine and large language models"</w:t>
      </w:r>
      <w:r w:rsidRPr="00E40990">
        <w:t xml:space="preserve"> (Ahamed et al., 2026) details the engineering, algorithmic design, and clinical validation of a voice-activated AI medical copilot. By integrating fine-tuned Large Language Models (LLMs), Retrieval-Augmented Generation (RAG), Chain-of-Thought (</w:t>
      </w:r>
      <w:proofErr w:type="spellStart"/>
      <w:r w:rsidRPr="00E40990">
        <w:t>CoT</w:t>
      </w:r>
      <w:proofErr w:type="spellEnd"/>
      <w:r w:rsidRPr="00E40990">
        <w:t>) prompting, and an Evidence-Based Medicine (EBM) framework, SuSastho.AI provides private, culturally sensitive, low-latency health information tailored to adolescent communication patterns.</w:t>
      </w:r>
    </w:p>
    <w:p w14:paraId="792499C9" w14:textId="77777777" w:rsidR="00E40990" w:rsidRPr="00E40990" w:rsidRDefault="00E40990" w:rsidP="00E40990">
      <w:pPr>
        <w:pStyle w:val="Heading3"/>
        <w:jc w:val="both"/>
      </w:pPr>
      <w:r w:rsidRPr="00E40990">
        <w:lastRenderedPageBreak/>
        <w:t>System Architectural Pipelines</w:t>
      </w:r>
    </w:p>
    <w:p w14:paraId="0C2CBE6A"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w:t>
      </w:r>
    </w:p>
    <w:p w14:paraId="2B91AED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1. OFFLINE KNOWLEDGE BASE INGESTION &amp; INDEXING PIPELINE</w:t>
      </w:r>
    </w:p>
    <w:p w14:paraId="0EEE43A2"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w:t>
      </w:r>
    </w:p>
    <w:p w14:paraId="65A54E2E" w14:textId="77777777" w:rsidR="00E40990" w:rsidRPr="00E40990" w:rsidRDefault="00E40990" w:rsidP="00E40990">
      <w:pPr>
        <w:pStyle w:val="HTMLPreformatted"/>
        <w:jc w:val="both"/>
        <w:rPr>
          <w:rStyle w:val="HTMLCode"/>
          <w:rFonts w:ascii="Times New Roman" w:hAnsi="Times New Roman" w:cs="Times New Roman"/>
        </w:rPr>
      </w:pPr>
    </w:p>
    <w:p w14:paraId="11B51A9F"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AUTHORITATIVE SRMH </w:t>
      </w:r>
      <w:proofErr w:type="gramStart"/>
      <w:r w:rsidRPr="00E40990">
        <w:rPr>
          <w:rStyle w:val="HTMLCode"/>
          <w:rFonts w:ascii="Times New Roman" w:hAnsi="Times New Roman" w:cs="Times New Roman"/>
        </w:rPr>
        <w:t>SOURCES ]</w:t>
      </w:r>
      <w:proofErr w:type="gramEnd"/>
    </w:p>
    <w:p w14:paraId="6BCB0C6B"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roofErr w:type="spellStart"/>
      <w:r w:rsidRPr="00E40990">
        <w:rPr>
          <w:rStyle w:val="HTMLCode"/>
          <w:rFonts w:ascii="Times New Roman" w:hAnsi="Times New Roman" w:cs="Times New Roman"/>
        </w:rPr>
        <w:t>MoH</w:t>
      </w:r>
      <w:proofErr w:type="spellEnd"/>
      <w:r w:rsidRPr="00E40990">
        <w:rPr>
          <w:rStyle w:val="HTMLCode"/>
          <w:rFonts w:ascii="Times New Roman" w:hAnsi="Times New Roman" w:cs="Times New Roman"/>
        </w:rPr>
        <w:t xml:space="preserve"> Guidelines, WHO/UNICEF, Peer-Reviewed South Asian Literature, NGO Materials)</w:t>
      </w:r>
    </w:p>
    <w:p w14:paraId="67A849B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3E212AE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1978B572"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MULTI-TIER CLINICIAN </w:t>
      </w:r>
      <w:proofErr w:type="gramStart"/>
      <w:r w:rsidRPr="00E40990">
        <w:rPr>
          <w:rStyle w:val="HTMLCode"/>
          <w:rFonts w:ascii="Times New Roman" w:hAnsi="Times New Roman" w:cs="Times New Roman"/>
        </w:rPr>
        <w:t>VALIDATION ]</w:t>
      </w:r>
      <w:proofErr w:type="gramEnd"/>
    </w:p>
    <w:p w14:paraId="46D586B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(2 Independent Clinician Review Teams + 3rd Senior Clinician Tie-Breaker Team)</w:t>
      </w:r>
    </w:p>
    <w:p w14:paraId="089F06EF"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57D9C57B"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5879E48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CLINICIAN-VALIDATED KNOWLEDGE </w:t>
      </w:r>
      <w:proofErr w:type="gramStart"/>
      <w:r w:rsidRPr="00E40990">
        <w:rPr>
          <w:rStyle w:val="HTMLCode"/>
          <w:rFonts w:ascii="Times New Roman" w:hAnsi="Times New Roman" w:cs="Times New Roman"/>
        </w:rPr>
        <w:t>BASE ]</w:t>
      </w:r>
      <w:proofErr w:type="gramEnd"/>
    </w:p>
    <w:p w14:paraId="57414857"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(2,063 Validated Documents across 20 SRMH Categories: 11 SRH / 9 Mental Health)</w:t>
      </w:r>
    </w:p>
    <w:p w14:paraId="7E811302"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38C33906"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346F7A6A"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CONTEXT-AWARE </w:t>
      </w:r>
      <w:proofErr w:type="gramStart"/>
      <w:r w:rsidRPr="00E40990">
        <w:rPr>
          <w:rStyle w:val="HTMLCode"/>
          <w:rFonts w:ascii="Times New Roman" w:hAnsi="Times New Roman" w:cs="Times New Roman"/>
        </w:rPr>
        <w:t>CHUNKING ]</w:t>
      </w:r>
      <w:proofErr w:type="gramEnd"/>
      <w:r w:rsidRPr="00E40990">
        <w:rPr>
          <w:rStyle w:val="HTMLCode"/>
          <w:rFonts w:ascii="Times New Roman" w:hAnsi="Times New Roman" w:cs="Times New Roman"/>
        </w:rPr>
        <w:t xml:space="preserve"> ──► [ HAMMING DEDUPLICATION ] ──► [ E5 VECTOR EMBEDDINGS ]</w:t>
      </w:r>
    </w:p>
    <w:p w14:paraId="33B8092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(Preserves Clinical </w:t>
      </w:r>
      <w:proofErr w:type="gramStart"/>
      <w:r w:rsidRPr="00E40990">
        <w:rPr>
          <w:rStyle w:val="HTMLCode"/>
          <w:rFonts w:ascii="Times New Roman" w:hAnsi="Times New Roman" w:cs="Times New Roman"/>
        </w:rPr>
        <w:t xml:space="preserve">Context)   </w:t>
      </w:r>
      <w:proofErr w:type="gramEnd"/>
      <w:r w:rsidRPr="00E40990">
        <w:rPr>
          <w:rStyle w:val="HTMLCode"/>
          <w:rFonts w:ascii="Times New Roman" w:hAnsi="Times New Roman" w:cs="Times New Roman"/>
        </w:rPr>
        <w:t>(Removes Redundant Passages) (Multilingual E5 Vector Indexing)</w:t>
      </w:r>
    </w:p>
    <w:p w14:paraId="3644E6EE" w14:textId="77777777" w:rsidR="00E40990" w:rsidRPr="00E40990" w:rsidRDefault="00E40990" w:rsidP="00E40990">
      <w:pPr>
        <w:pStyle w:val="HTMLPreformatted"/>
        <w:jc w:val="both"/>
        <w:rPr>
          <w:rStyle w:val="HTMLCode"/>
          <w:rFonts w:ascii="Times New Roman" w:hAnsi="Times New Roman" w:cs="Times New Roman"/>
        </w:rPr>
      </w:pPr>
    </w:p>
    <w:p w14:paraId="0C5BFB4D" w14:textId="77777777" w:rsidR="00E40990" w:rsidRPr="00E40990" w:rsidRDefault="00E40990" w:rsidP="00E40990">
      <w:pPr>
        <w:pStyle w:val="HTMLPreformatted"/>
        <w:jc w:val="both"/>
        <w:rPr>
          <w:rStyle w:val="HTMLCode"/>
          <w:rFonts w:ascii="Times New Roman" w:hAnsi="Times New Roman" w:cs="Times New Roman"/>
        </w:rPr>
      </w:pPr>
    </w:p>
    <w:p w14:paraId="3FC46D5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w:t>
      </w:r>
    </w:p>
    <w:p w14:paraId="6DA3C7E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2. REAL-TIME ONLINE INFERENCE &amp; CONVERSATIONAL PIPELINE</w:t>
      </w:r>
    </w:p>
    <w:p w14:paraId="3F3890DB"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w:t>
      </w:r>
    </w:p>
    <w:p w14:paraId="7819F45A" w14:textId="77777777" w:rsidR="00E40990" w:rsidRPr="00E40990" w:rsidRDefault="00E40990" w:rsidP="00E40990">
      <w:pPr>
        <w:pStyle w:val="HTMLPreformatted"/>
        <w:jc w:val="both"/>
        <w:rPr>
          <w:rStyle w:val="HTMLCode"/>
          <w:rFonts w:ascii="Times New Roman" w:hAnsi="Times New Roman" w:cs="Times New Roman"/>
        </w:rPr>
      </w:pPr>
    </w:p>
    <w:p w14:paraId="16C015E3"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ADOLESCENT </w:t>
      </w:r>
      <w:proofErr w:type="gramStart"/>
      <w:r w:rsidRPr="00E40990">
        <w:rPr>
          <w:rStyle w:val="HTMLCode"/>
          <w:rFonts w:ascii="Times New Roman" w:hAnsi="Times New Roman" w:cs="Times New Roman"/>
        </w:rPr>
        <w:t>USER ]</w:t>
      </w:r>
      <w:proofErr w:type="gramEnd"/>
      <w:r w:rsidRPr="00E40990">
        <w:rPr>
          <w:rStyle w:val="HTMLCode"/>
          <w:rFonts w:ascii="Times New Roman" w:hAnsi="Times New Roman" w:cs="Times New Roman"/>
        </w:rPr>
        <w:t xml:space="preserve"> ──( Text / Speech Input )──► [ FLUTTER MOBILE / WEB APP ]</w:t>
      </w:r>
    </w:p>
    <w:p w14:paraId="62145C3C"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42236188"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6261824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SPRING BOOT </w:t>
      </w:r>
      <w:proofErr w:type="gramStart"/>
      <w:r w:rsidRPr="00E40990">
        <w:rPr>
          <w:rStyle w:val="HTMLCode"/>
          <w:rFonts w:ascii="Times New Roman" w:hAnsi="Times New Roman" w:cs="Times New Roman"/>
        </w:rPr>
        <w:t>BACKEND ]</w:t>
      </w:r>
      <w:proofErr w:type="gramEnd"/>
    </w:p>
    <w:p w14:paraId="51D0093A"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34FEE6B0"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31E4C801"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30D98E94"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SPEECH </w:t>
      </w:r>
      <w:proofErr w:type="gramStart"/>
      <w:r w:rsidRPr="00E40990">
        <w:rPr>
          <w:rStyle w:val="HTMLCode"/>
          <w:rFonts w:ascii="Times New Roman" w:hAnsi="Times New Roman" w:cs="Times New Roman"/>
        </w:rPr>
        <w:t>RECOGNITION ]</w:t>
      </w:r>
      <w:proofErr w:type="gramEnd"/>
      <w:r w:rsidRPr="00E40990">
        <w:rPr>
          <w:rStyle w:val="HTMLCode"/>
          <w:rFonts w:ascii="Times New Roman" w:hAnsi="Times New Roman" w:cs="Times New Roman"/>
        </w:rPr>
        <w:t xml:space="preserve">                                 [ LLM MODULE ]</w:t>
      </w:r>
    </w:p>
    <w:p w14:paraId="253F90CB"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Wav2Vec Acoustic Model                                         │</w:t>
      </w:r>
    </w:p>
    <w:p w14:paraId="12A28B1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5-Gram Language Model                                          ▼</w:t>
      </w:r>
    </w:p>
    <w:p w14:paraId="00BEFF46"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roofErr w:type="gramStart"/>
      <w:r w:rsidRPr="00E40990">
        <w:rPr>
          <w:rStyle w:val="HTMLCode"/>
          <w:rFonts w:ascii="Times New Roman" w:hAnsi="Times New Roman" w:cs="Times New Roman"/>
        </w:rPr>
        <w:t xml:space="preserve">   [</w:t>
      </w:r>
      <w:proofErr w:type="gramEnd"/>
      <w:r w:rsidRPr="00E40990">
        <w:rPr>
          <w:rStyle w:val="HTMLCode"/>
          <w:rFonts w:ascii="Times New Roman" w:hAnsi="Times New Roman" w:cs="Times New Roman"/>
        </w:rPr>
        <w:t xml:space="preserve"> TASK-QG: QUERY GENERATION ]</w:t>
      </w:r>
    </w:p>
    <w:p w14:paraId="3A53D4F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 Extract Clinical Intent</w:t>
      </w:r>
    </w:p>
    <w:p w14:paraId="3D1D7B2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 Dual EN/BN Search Strings</w:t>
      </w:r>
    </w:p>
    <w:p w14:paraId="2F0A0BF7"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2F79CE2F"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6EE7B78A"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roofErr w:type="gramStart"/>
      <w:r w:rsidRPr="00E40990">
        <w:rPr>
          <w:rStyle w:val="HTMLCode"/>
          <w:rFonts w:ascii="Times New Roman" w:hAnsi="Times New Roman" w:cs="Times New Roman"/>
        </w:rPr>
        <w:t xml:space="preserve">   [</w:t>
      </w:r>
      <w:proofErr w:type="gramEnd"/>
      <w:r w:rsidRPr="00E40990">
        <w:rPr>
          <w:rStyle w:val="HTMLCode"/>
          <w:rFonts w:ascii="Times New Roman" w:hAnsi="Times New Roman" w:cs="Times New Roman"/>
        </w:rPr>
        <w:t xml:space="preserve"> E5 VECTOR DOCUMENT RETRIEVAL ]</w:t>
      </w:r>
    </w:p>
    <w:p w14:paraId="4A791A80"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 Similarity Thresholding</w:t>
      </w:r>
    </w:p>
    <w:p w14:paraId="22FA739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 3 Ordered Document Sets</w:t>
      </w:r>
    </w:p>
    <w:p w14:paraId="7D3178EA"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6DF89C0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
    <w:p w14:paraId="7586651F"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w:t>
      </w:r>
      <w:proofErr w:type="gramStart"/>
      <w:r w:rsidRPr="00E40990">
        <w:rPr>
          <w:rStyle w:val="HTMLCode"/>
          <w:rFonts w:ascii="Times New Roman" w:hAnsi="Times New Roman" w:cs="Times New Roman"/>
        </w:rPr>
        <w:t xml:space="preserve">   [</w:t>
      </w:r>
      <w:proofErr w:type="gramEnd"/>
      <w:r w:rsidRPr="00E40990">
        <w:rPr>
          <w:rStyle w:val="HTMLCode"/>
          <w:rFonts w:ascii="Times New Roman" w:hAnsi="Times New Roman" w:cs="Times New Roman"/>
        </w:rPr>
        <w:t xml:space="preserve"> TASK-AG: ANSWER GENERATION ]</w:t>
      </w:r>
    </w:p>
    <w:p w14:paraId="3FE25976"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 7-Step </w:t>
      </w:r>
      <w:proofErr w:type="spellStart"/>
      <w:r w:rsidRPr="00E40990">
        <w:rPr>
          <w:rStyle w:val="HTMLCode"/>
          <w:rFonts w:ascii="Times New Roman" w:hAnsi="Times New Roman" w:cs="Times New Roman"/>
        </w:rPr>
        <w:t>CoT</w:t>
      </w:r>
      <w:proofErr w:type="spellEnd"/>
      <w:r w:rsidRPr="00E40990">
        <w:rPr>
          <w:rStyle w:val="HTMLCode"/>
          <w:rFonts w:ascii="Times New Roman" w:hAnsi="Times New Roman" w:cs="Times New Roman"/>
        </w:rPr>
        <w:t xml:space="preserve"> EBM Reasoning</w:t>
      </w:r>
    </w:p>
    <w:p w14:paraId="698EDFCD"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 Relevance Scoring (0-5)</w:t>
      </w:r>
    </w:p>
    <w:p w14:paraId="292CB6C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 Fine-Tuned Llama 3 8B Output</w:t>
      </w:r>
    </w:p>
    <w:p w14:paraId="336DD5ED"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lastRenderedPageBreak/>
        <w:t xml:space="preserve">                                  │                                                   │</w:t>
      </w:r>
    </w:p>
    <w:p w14:paraId="17B4BDD1"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0BE2B0CD"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12A572F4"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SPEECH </w:t>
      </w:r>
      <w:proofErr w:type="gramStart"/>
      <w:r w:rsidRPr="00E40990">
        <w:rPr>
          <w:rStyle w:val="HTMLCode"/>
          <w:rFonts w:ascii="Times New Roman" w:hAnsi="Times New Roman" w:cs="Times New Roman"/>
        </w:rPr>
        <w:t>SYNTHESIS ]</w:t>
      </w:r>
      <w:proofErr w:type="gramEnd"/>
    </w:p>
    <w:p w14:paraId="7037C33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VITS End-to-End Neural TTS</w:t>
      </w:r>
    </w:p>
    <w:p w14:paraId="264A221A"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050B0D9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w:t>
      </w:r>
    </w:p>
    <w:p w14:paraId="14156B5F"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FINAL VOICE / TEXT </w:t>
      </w:r>
      <w:proofErr w:type="gramStart"/>
      <w:r w:rsidRPr="00E40990">
        <w:rPr>
          <w:rStyle w:val="HTMLCode"/>
          <w:rFonts w:ascii="Times New Roman" w:hAnsi="Times New Roman" w:cs="Times New Roman"/>
        </w:rPr>
        <w:t>RESPONSE ]</w:t>
      </w:r>
      <w:proofErr w:type="gramEnd"/>
      <w:r w:rsidRPr="00E40990">
        <w:rPr>
          <w:rStyle w:val="HTMLCode"/>
          <w:rFonts w:ascii="Times New Roman" w:hAnsi="Times New Roman" w:cs="Times New Roman"/>
        </w:rPr>
        <w:t xml:space="preserve"> ◄─┴── ( Safe Refusal OR Clinically Validated Answer )</w:t>
      </w:r>
    </w:p>
    <w:p w14:paraId="14C4C540" w14:textId="77777777" w:rsidR="00E40990" w:rsidRPr="00E40990" w:rsidRDefault="00E40990" w:rsidP="00E40990">
      <w:pPr>
        <w:pStyle w:val="Heading3"/>
        <w:jc w:val="both"/>
      </w:pPr>
      <w:r w:rsidRPr="00E40990">
        <w:t>Methodological &amp; Viva Examination Q&amp;A Analysis</w:t>
      </w:r>
    </w:p>
    <w:p w14:paraId="5BCFE265"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 Socio-Cultural &amp; Structural Barriers in Adolescent SRMH</w:t>
      </w:r>
    </w:p>
    <w:p w14:paraId="512D14BB" w14:textId="77777777" w:rsidR="00E40990" w:rsidRPr="00E40990" w:rsidRDefault="00E40990" w:rsidP="00E40990">
      <w:pPr>
        <w:pStyle w:val="NormalWeb"/>
        <w:jc w:val="both"/>
      </w:pPr>
      <w:r w:rsidRPr="00E40990">
        <w:rPr>
          <w:b/>
          <w:bCs/>
        </w:rPr>
        <w:t>Deconstruct the socio-cultural, structural, and financial barriers limiting Bangladeshi adolescents' access to SRMH services.</w:t>
      </w:r>
      <w:r w:rsidRPr="00E40990">
        <w:t xml:space="preserve"> Bangladeshi adolescents face severe structural and cultural impediments to obtaining SRMH care: 63% are deprived of essential sexual and reproductive health services, only 13% receive mental health support, and barely 12%–13% possess comprehensive HIV literacy (Page 1–2). Entrenched socio-cultural taboos and intense social stigma suppress discussions regarding reproductive physiology, STI prevention, and mental wellness, forcing adolescents to suffer silently or seek dangerous informal advice (Page 1–2). Structurally, youth-friendly clinical facilities are virtually non-existent in rural unions and urban slums (Page 1–2). Financially, 79.3% of total healthcare expenditure in Bangladesh is paid out of pocket, presenting an insurmountable barrier for impoverished youth (Page 2).</w:t>
      </w:r>
    </w:p>
    <w:p w14:paraId="4981342F"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Q2: Technological Gap in Existing Healthcare Chatbots</w:t>
      </w:r>
    </w:p>
    <w:p w14:paraId="7CBBB847" w14:textId="77777777" w:rsidR="00E40990" w:rsidRPr="00E40990" w:rsidRDefault="00E40990" w:rsidP="00E40990">
      <w:pPr>
        <w:pStyle w:val="NormalWeb"/>
        <w:jc w:val="both"/>
      </w:pPr>
      <w:r w:rsidRPr="00E40990">
        <w:rPr>
          <w:b/>
          <w:bCs/>
        </w:rPr>
        <w:t xml:space="preserve">Evaluate the limitations of prior conversational agents (e.g., ELIZA, </w:t>
      </w:r>
      <w:proofErr w:type="spellStart"/>
      <w:r w:rsidRPr="00E40990">
        <w:rPr>
          <w:b/>
          <w:bCs/>
        </w:rPr>
        <w:t>AdolescentBot</w:t>
      </w:r>
      <w:proofErr w:type="spellEnd"/>
      <w:r w:rsidRPr="00E40990">
        <w:rPr>
          <w:b/>
          <w:bCs/>
        </w:rPr>
        <w:t xml:space="preserve">, </w:t>
      </w:r>
      <w:proofErr w:type="spellStart"/>
      <w:r w:rsidRPr="00E40990">
        <w:rPr>
          <w:b/>
          <w:bCs/>
        </w:rPr>
        <w:t>SnehAI</w:t>
      </w:r>
      <w:proofErr w:type="spellEnd"/>
      <w:r w:rsidRPr="00E40990">
        <w:rPr>
          <w:b/>
          <w:bCs/>
        </w:rPr>
        <w:t>) regarding rule reliance, lack of voice interaction, and hallucination risks.</w:t>
      </w:r>
      <w:r w:rsidRPr="00E40990">
        <w:t xml:space="preserve"> Early conversational software like ELIZA relied on basic heuristic keyword matching without contextual comprehension (Page 2). Subsequent systems like </w:t>
      </w:r>
      <w:proofErr w:type="spellStart"/>
      <w:r w:rsidRPr="00E40990">
        <w:t>AdolescentBot</w:t>
      </w:r>
      <w:proofErr w:type="spellEnd"/>
      <w:r w:rsidRPr="00E40990">
        <w:t xml:space="preserve"> provided SRH education in Bangladesh but depended on rigid, predefined Q&amp;A pairs, lacking generative personalization or voice interface capabilities (Page 2). Hinglish-based </w:t>
      </w:r>
      <w:proofErr w:type="spellStart"/>
      <w:r w:rsidRPr="00E40990">
        <w:t>SnehAI</w:t>
      </w:r>
      <w:proofErr w:type="spellEnd"/>
      <w:r w:rsidRPr="00E40990">
        <w:t xml:space="preserve"> improved engagement but remained bound to rule-based intent recognition, failing when presented with ambiguous or complex queries (Page 2). Modern unconstrained LLMs like </w:t>
      </w:r>
      <w:proofErr w:type="spellStart"/>
      <w:r w:rsidRPr="00E40990">
        <w:t>ChatDoctor</w:t>
      </w:r>
      <w:proofErr w:type="spellEnd"/>
      <w:r w:rsidRPr="00E40990">
        <w:t xml:space="preserve"> offer generative flexibility but introduce severe clinical risks through unmitigated medical hallucinations, absence of EBM guardrails, and occasional reinforcement of gender stereotypes (Page 2). Prior tools thus lacked the clinical safety, voice accessibility, and structured reasoning required for vulnerable adolescents (Page 2).</w:t>
      </w:r>
    </w:p>
    <w:p w14:paraId="48996764"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Q3: Primary Engineering &amp; Clinical Objectives of SuSastho.AI</w:t>
      </w:r>
    </w:p>
    <w:p w14:paraId="40203AE0" w14:textId="77777777" w:rsidR="00E40990" w:rsidRPr="00E40990" w:rsidRDefault="00E40990" w:rsidP="00E40990">
      <w:pPr>
        <w:pStyle w:val="NormalWeb"/>
        <w:jc w:val="both"/>
      </w:pPr>
      <w:r w:rsidRPr="00E40990">
        <w:rPr>
          <w:b/>
          <w:bCs/>
        </w:rPr>
        <w:t>Define the primary engineering and clinical objectives of the SuSastho.AI copilot.</w:t>
      </w:r>
      <w:r w:rsidRPr="00E40990">
        <w:t xml:space="preserve"> The primary objective was to design, implement, and clinically validate SuSastho.AI—a multimodal, voice-enabled, evidence-based AI healthcare copilot delivering anonymous, non-judgmental, accurate, and culturally appropriate SRMH guidance to Bangladeshi adolescents (Page 2, Abstract). Engineering-wise, the system aimed to integrate fine-tuned LLMs with Retrieval-Augmented Generation (RAG) and Chain-of-Thought (</w:t>
      </w:r>
      <w:proofErr w:type="spellStart"/>
      <w:r w:rsidRPr="00E40990">
        <w:t>CoT</w:t>
      </w:r>
      <w:proofErr w:type="spellEnd"/>
      <w:r w:rsidRPr="00E40990">
        <w:t>) clinical reasoning to eliminate LLM hallucinations, achieve real-time speech-to-speech interaction in Bengali, and enforce strict refusal guardrails when queries exceed validated medical bounds (Page 2).</w:t>
      </w:r>
    </w:p>
    <w:p w14:paraId="2F7F6B28"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lastRenderedPageBreak/>
        <w:t>Q4: Evidence-Based Medicine Integration Architecture</w:t>
      </w:r>
    </w:p>
    <w:p w14:paraId="463EB7D2" w14:textId="77777777" w:rsidR="00E40990" w:rsidRPr="00E40990" w:rsidRDefault="00E40990" w:rsidP="00E40990">
      <w:pPr>
        <w:pStyle w:val="NormalWeb"/>
        <w:jc w:val="both"/>
      </w:pPr>
      <w:r w:rsidRPr="00E40990">
        <w:rPr>
          <w:b/>
          <w:bCs/>
        </w:rPr>
        <w:t>Explain how integrating Evidence-Based Medicine (EBM) with LLMs creates an affordable, scalable copilot for underserved demographics.</w:t>
      </w:r>
      <w:r w:rsidRPr="00E40990">
        <w:t xml:space="preserve"> Integrating Evidence-Based Medicine (EBM) transforms generative LLMs from unconstrained text predictors into bounded clinical support systems (Page 2). By requiring the LLM to synthesize responses exclusively from systematically appraised, clinician-validated medical literature, the copilot suppresses arbitrary token generation and fabricated advice (Page 2). This architecture allows youth to access expert-backed clinical information via basic smartphones, bypassing expensive private doctor fees (addressing the 79.3% out-of-pocket health expense barrier) and circumventing social stigma through completely private, automated interactions (Page 2).</w:t>
      </w:r>
    </w:p>
    <w:p w14:paraId="6F1EC868"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Q5: Knowledge Base Curation &amp; Multi-Tier Validation</w:t>
      </w:r>
    </w:p>
    <w:p w14:paraId="0AFB24D0" w14:textId="77777777" w:rsidR="00E40990" w:rsidRPr="00E40990" w:rsidRDefault="00E40990" w:rsidP="00E40990">
      <w:pPr>
        <w:pStyle w:val="NormalWeb"/>
        <w:jc w:val="both"/>
      </w:pPr>
      <w:r w:rsidRPr="00E40990">
        <w:rPr>
          <w:b/>
          <w:bCs/>
        </w:rPr>
        <w:t>Detail the composition, curation, and multi-tier clinician validation process of the 2,063-document Knowledge Base across 20 SRMH categories.</w:t>
      </w:r>
      <w:r w:rsidRPr="00E40990">
        <w:t xml:space="preserve"> The copilot's Knowledge Base (KB) comprises 2,063 medical documents across 20 distinct SRMH categories (11 SRH categories such as sexuality education, antenatal care, STI prevention, and safe abortion; 9 mental health categories including anxiety, depression, burnout, and suicide) (Page 3, Fig. 3). Documents were curated from authoritative sources, including Ministry of Health guidelines, WHO/UNICEF regional frameworks, national NGO publications, and South Asian peer-reviewed SRMH literature (Page 3). To ensure clinical validity, data underwent a rigorous multi-tier validation protocol: two independent clinician teams evaluated all content for internal and external validity, while a third senior clinician team resolved inter-team disagreements (Page 3).</w:t>
      </w:r>
    </w:p>
    <w:p w14:paraId="5FBFE9BF"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Q6: Adolescent Communication Fine-Tuning Dataset</w:t>
      </w:r>
    </w:p>
    <w:p w14:paraId="60772857" w14:textId="77777777" w:rsidR="00E40990" w:rsidRPr="00E40990" w:rsidRDefault="00E40990" w:rsidP="00E40990">
      <w:pPr>
        <w:pStyle w:val="NormalWeb"/>
        <w:jc w:val="both"/>
      </w:pPr>
      <w:r w:rsidRPr="00E40990">
        <w:rPr>
          <w:b/>
          <w:bCs/>
        </w:rPr>
        <w:t xml:space="preserve">Analyze the composition and purpose of the 8,614 fine-tuning </w:t>
      </w:r>
      <w:proofErr w:type="gramStart"/>
      <w:r w:rsidRPr="00E40990">
        <w:rPr>
          <w:b/>
          <w:bCs/>
        </w:rPr>
        <w:t>dataset</w:t>
      </w:r>
      <w:proofErr w:type="gramEnd"/>
      <w:r w:rsidRPr="00E40990">
        <w:rPr>
          <w:b/>
          <w:bCs/>
        </w:rPr>
        <w:t xml:space="preserve"> built for Task-QG and Task-AG.</w:t>
      </w:r>
      <w:r w:rsidRPr="00E40990">
        <w:t xml:space="preserve"> To bridge the linguistic divide between formal medical literature and informal adolescent expressions, clinical experts curated an 8,614-example fine-tuning dataset (Page 3). The dataset contains 5,396 Task-QG (Search Query Generation) instances and 3,218 Task-AG (Answer Generation) instances (Page 3). Derived from focus group discussions with youth, these examples incorporate colloquial Bengali phrasing, local idioms, indirect metaphors for sensitive anatomical terms, slang, spelling errors, and "</w:t>
      </w:r>
      <w:proofErr w:type="spellStart"/>
      <w:r w:rsidRPr="00E40990">
        <w:t>Banglish</w:t>
      </w:r>
      <w:proofErr w:type="spellEnd"/>
      <w:r w:rsidRPr="00E40990">
        <w:t>" (Bengali words written in English/Roman script), training the LLM to extract core clinical intent from unstructured inputs (Page 3).</w:t>
      </w:r>
    </w:p>
    <w:p w14:paraId="56537748"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Q7: Full Technical Stack &amp; Multimodal Architecture</w:t>
      </w:r>
    </w:p>
    <w:p w14:paraId="5B13F1A7" w14:textId="77777777" w:rsidR="00E40990" w:rsidRPr="00E40990" w:rsidRDefault="00E40990" w:rsidP="00E40990">
      <w:pPr>
        <w:pStyle w:val="NormalWeb"/>
        <w:jc w:val="both"/>
      </w:pPr>
      <w:r w:rsidRPr="00E40990">
        <w:rPr>
          <w:b/>
          <w:bCs/>
        </w:rPr>
        <w:t>Deconstruct the backend (Spring Boot), mobile application (Flutter), speech recognition (Wav2Vec + 5-gram), and speech synthesis (VITS) modules.</w:t>
      </w:r>
      <w:r w:rsidRPr="00E40990">
        <w:t xml:space="preserve"> SuSastho.AI utilizes a microservice architecture (Page 3–4, Fig. 4). The frontend is built using Flutter for cross-platform deployment across Android, iOS, and Web interfaces (Page 3–4). The backend is engineered in Spring Boot, managing API orchestration, profile database logging, user chat histories, real-time monitoring dashboards, and query routing (Page 3–4, Fig. 5). Voice processing is multimodal: incoming user speech is transcribed into text by a Speech Recognition module combining a Wav2Vec acoustic model with a custom 5-gram language model (Page 4). Synthesized vocal </w:t>
      </w:r>
      <w:r w:rsidRPr="00E40990">
        <w:lastRenderedPageBreak/>
        <w:t>responses are generated by a Speech Synthesis module using a VITS end-to-end neural text-to-speech model trained for natural Bengali speech (Page 4).</w:t>
      </w:r>
    </w:p>
    <w:p w14:paraId="272A6E1C"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Q8: Document Retrieval Pipeline &amp; Chunk Processing</w:t>
      </w:r>
    </w:p>
    <w:p w14:paraId="21CEE4DE" w14:textId="77777777" w:rsidR="00E40990" w:rsidRPr="00E40990" w:rsidRDefault="00E40990" w:rsidP="00E40990">
      <w:pPr>
        <w:pStyle w:val="NormalWeb"/>
        <w:jc w:val="both"/>
      </w:pPr>
      <w:r w:rsidRPr="00E40990">
        <w:rPr>
          <w:b/>
          <w:bCs/>
        </w:rPr>
        <w:t xml:space="preserve">Detail the context-aware chunking, </w:t>
      </w:r>
      <w:proofErr w:type="gramStart"/>
      <w:r w:rsidRPr="00E40990">
        <w:rPr>
          <w:b/>
          <w:bCs/>
        </w:rPr>
        <w:t>Hamming</w:t>
      </w:r>
      <w:proofErr w:type="gramEnd"/>
      <w:r w:rsidRPr="00E40990">
        <w:rPr>
          <w:b/>
          <w:bCs/>
        </w:rPr>
        <w:t xml:space="preserve"> distance duplicate removal, and Multilingual E5 vector embedding retrieval mechanism.</w:t>
      </w:r>
      <w:r w:rsidRPr="00E40990">
        <w:t xml:space="preserve"> When search queries are generated, validated medical documents in the KB undergo context-aware chunking to preserve crucial clinical surroundings and prevent truncated, dangerous medical recommendations (Page 4). To optimize memory overhead and vector indexing, duplicate or highly overlapping text passages are eliminated using string Hamming distance metrics (Page 4). The remaining document chunks are converted into fixed-length vector embeddings using the Multilingual E5 embedding model, which excels at semantic representation in Bengali (Page 4). Vector similarity scores are calculated between user query embeddings and document embeddings, retrieving passages that exceed a defined similarity threshold (Page 4).</w:t>
      </w:r>
    </w:p>
    <w:p w14:paraId="192ED112"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Q9: Chain-of-Thought (</w:t>
      </w:r>
      <w:proofErr w:type="spellStart"/>
      <w:r w:rsidRPr="00E40990">
        <w:rPr>
          <w:rFonts w:ascii="Times New Roman" w:hAnsi="Times New Roman" w:cs="Times New Roman"/>
        </w:rPr>
        <w:t>CoT</w:t>
      </w:r>
      <w:proofErr w:type="spellEnd"/>
      <w:r w:rsidRPr="00E40990">
        <w:rPr>
          <w:rFonts w:ascii="Times New Roman" w:hAnsi="Times New Roman" w:cs="Times New Roman"/>
        </w:rPr>
        <w:t>) Dual-Task Prompting Mechanics</w:t>
      </w:r>
    </w:p>
    <w:p w14:paraId="341770C3" w14:textId="77777777" w:rsidR="00E40990" w:rsidRPr="00E40990" w:rsidRDefault="00E40990" w:rsidP="00E40990">
      <w:pPr>
        <w:pStyle w:val="NormalWeb"/>
        <w:jc w:val="both"/>
      </w:pPr>
      <w:r w:rsidRPr="00E40990">
        <w:rPr>
          <w:b/>
          <w:bCs/>
        </w:rPr>
        <w:t>Explain the step-by-step operation of Task-QG (Search Query Generation) and Task-AG (Answer Generation) in suppressing hallucinations.</w:t>
      </w:r>
      <w:r w:rsidRPr="00E40990">
        <w:t xml:space="preserve"> The system executes a structured two-stage </w:t>
      </w:r>
      <w:proofErr w:type="spellStart"/>
      <w:r w:rsidRPr="00E40990">
        <w:t>CoT</w:t>
      </w:r>
      <w:proofErr w:type="spellEnd"/>
      <w:r w:rsidRPr="00E40990">
        <w:t xml:space="preserve"> prompting sequence (Figs. 1 &amp; 2). In Task-QG, the LLM analyzes user queries and conversation history, extracts underlying health concerns, and generates precise search queries in both English and Bengali (Page 3, Fig. 1). In Task-AG, retrieved document chunks are fed into the LLM across three ordered relevance sets (Page 4). The LLM executes explicit 7-step clinical reasoning: Step 1 (Understand Query), Step 2 (Analyze Documents), Step 3 (Evaluate Specific Relevance &amp; General Applicability to Adolescents), Step 4 (Answer Analysis &amp; Limitation Review), Step 5 (Assign Relevance Score from 0 to 5), Step 6 (Draft English Answer), and Step 7 (Generate Natural Bengali Output) (Fig. 2). If all retrieved document sets yield low relevance scores, the system safely defaults to a pre-defined refusal response, systematically preventing medical hallucinations (Page 4).</w:t>
      </w:r>
    </w:p>
    <w:p w14:paraId="024DBEC9"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Q10: LLM Engine Selection &amp; Evolutionary Iterations</w:t>
      </w:r>
    </w:p>
    <w:p w14:paraId="7B9CE59B" w14:textId="77777777" w:rsidR="00E40990" w:rsidRPr="00E40990" w:rsidRDefault="00E40990" w:rsidP="00E40990">
      <w:pPr>
        <w:pStyle w:val="NormalWeb"/>
        <w:jc w:val="both"/>
      </w:pPr>
      <w:r w:rsidRPr="00E40990">
        <w:rPr>
          <w:b/>
          <w:bCs/>
        </w:rPr>
        <w:t>Trace the model evolution from Bloom and RASA to the fine-tuned Llama 3 8B Instruct model.</w:t>
      </w:r>
      <w:r w:rsidRPr="00E40990">
        <w:t xml:space="preserve"> System engineering progressed through distinct computational iterations (Page 4–5). Initial frameworks using RASA and Chatterbot failed due to rigid intent rules incapable of handling open-ended medical QA (Page 4). Transitioning to the open-source Bloom model improved Bengali generation, but its lack of conversational instruction tuning led to unsafe, nonsensical, and hallucinated medical outputs (Page 4–5). Integrating basic RAG into Bloom reduced errors but introduced context errors—such as assuming non-pregnant users asking about nausea were pregnant (Page 5). This was temporarily addressed via keyword filtering and ultimately solved by switching to Llama 3 8B Instruct (Page 5). Fine-tuning Llama 3 8B Instruct on the 8,614 </w:t>
      </w:r>
      <w:proofErr w:type="spellStart"/>
      <w:r w:rsidRPr="00E40990">
        <w:t>CoT</w:t>
      </w:r>
      <w:proofErr w:type="spellEnd"/>
      <w:r w:rsidRPr="00E40990">
        <w:t xml:space="preserve"> dataset yielded superior Bengali linguistic comprehension, context retention, and strict adherence to EBM safety guardrails (Page 4–5).</w:t>
      </w:r>
    </w:p>
    <w:p w14:paraId="4D215B2E"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lastRenderedPageBreak/>
        <w:t>Q11: Pilot Study Design, Ethical Safety Governance &amp; Viva Defense</w:t>
      </w:r>
    </w:p>
    <w:p w14:paraId="13B3C576" w14:textId="77777777" w:rsidR="00E40990" w:rsidRPr="00E40990" w:rsidRDefault="00E40990" w:rsidP="00E40990">
      <w:pPr>
        <w:pStyle w:val="NormalWeb"/>
        <w:jc w:val="both"/>
      </w:pPr>
      <w:r w:rsidRPr="00E40990">
        <w:rPr>
          <w:b/>
          <w:bCs/>
        </w:rPr>
        <w:t>Outline the pilot study sample size (n=32), evaluator profile, total queries (n=428), and defend the ethical exclusion of adolescents.</w:t>
      </w:r>
      <w:r w:rsidRPr="00E40990">
        <w:t xml:space="preserve"> To enforce strict clinical safety, adolescents were deliberately excluded from the initial pilot trial to prevent exposing vulnerable minors to unvalidated model outputs (Page 5). The pilot was conducted with n=32 adult participants comprising adolescent health professionals, medical doctors, and quality assurance experts (81.3% male, 18.8% female; mean age 29.5 \pm 5.9 years) (Page 5). Evaluators submitted 428 queries spanning diverse SRMH scenarios to assess system stability, conversational range, and safety guardrails (Page 5). In a viva defense, an examinee must defend using adult expert proxies as an essential ethical risk-mitigation protocol that establishes baseline clinical safety prior to conducting direct trials with minor adolescent cohorts (Page 5).</w:t>
      </w:r>
    </w:p>
    <w:p w14:paraId="72AAF9DC"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Q12: Expert Human Review vs. Automated NLP Metrics</w:t>
      </w:r>
    </w:p>
    <w:p w14:paraId="24405D64" w14:textId="77777777" w:rsidR="00E40990" w:rsidRPr="00E40990" w:rsidRDefault="00E40990" w:rsidP="00E40990">
      <w:pPr>
        <w:pStyle w:val="NormalWeb"/>
        <w:jc w:val="both"/>
      </w:pPr>
      <w:r w:rsidRPr="00E40990">
        <w:rPr>
          <w:b/>
          <w:bCs/>
        </w:rPr>
        <w:t>Explain why standard automated NLP metrics (BLEU, ROUGE) were rejected in favor of multi-evaluator clinical human review.</w:t>
      </w:r>
      <w:r w:rsidRPr="00E40990">
        <w:t xml:space="preserve"> Automated NLP evaluation metrics like BLEU, ROUGE, and METEOR measure n-gram lexical overlap between generated text and reference strings (Page 4–5). These metrics were rejected because they cannot evaluate semantic health nuances, clinical accuracy, conversational context, logical consistency, or potential medical harm (Page 5). A response could achieve a high BLEU score while containing a fatal clinical error, or receive a low ROUGE score while providing a correct paraphrased medical recommendation (Page 5). Consequently, evaluation relied entirely on multi-evaluator human review by SRMH clinical experts using standardized scoring checklists, with three independent evaluators resolving discrepancies (Page 5).</w:t>
      </w:r>
    </w:p>
    <w:p w14:paraId="544B9187"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Q13: Baseline Knowledge-Based Performance Metrics</w:t>
      </w:r>
    </w:p>
    <w:p w14:paraId="721ADDD4" w14:textId="77777777" w:rsidR="00E40990" w:rsidRPr="00E40990" w:rsidRDefault="00E40990" w:rsidP="00E40990">
      <w:pPr>
        <w:pStyle w:val="NormalWeb"/>
        <w:jc w:val="both"/>
      </w:pPr>
      <w:r w:rsidRPr="00E40990">
        <w:rPr>
          <w:b/>
          <w:bCs/>
        </w:rPr>
        <w:t>Summarize the copilot's accuracy (86.68%), partial correctness, and error types when evaluated against available KB content.</w:t>
      </w:r>
      <w:r w:rsidRPr="00E40990">
        <w:t xml:space="preserve"> When evaluated on queries corresponding to information within the Knowledge Base (Table 1), SuSastho.AI achieved an overall accuracy of 86.68%, with 2.57% partially correct responses and 10.75% incorrect responses (Page 5, Table 1). For queries explicitly covered by the KB, the system achieved 91.3% accuracy for explicit KB answers and 86.4% for implicit KB answers (Page 6, Table 1). Crucially, when presented with out-of-scope queries not covered by the KB, the copilot achieved 100% safety correctness by executing proper refusals and declining to invent unverified medical advice (Page 6, Table 1).</w:t>
      </w:r>
    </w:p>
    <w:p w14:paraId="0BBCFC8A"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Q14: Comparative Benchmark Analysis</w:t>
      </w:r>
    </w:p>
    <w:p w14:paraId="6C30EA9C" w14:textId="77777777" w:rsidR="00E40990" w:rsidRPr="00E40990" w:rsidRDefault="00E40990" w:rsidP="00E40990">
      <w:pPr>
        <w:pStyle w:val="NormalWeb"/>
        <w:jc w:val="both"/>
      </w:pPr>
      <w:r w:rsidRPr="00E40990">
        <w:rPr>
          <w:b/>
          <w:bCs/>
        </w:rPr>
        <w:t xml:space="preserve">Compare </w:t>
      </w:r>
      <w:proofErr w:type="spellStart"/>
      <w:r w:rsidRPr="00E40990">
        <w:rPr>
          <w:b/>
          <w:bCs/>
        </w:rPr>
        <w:t>SuSastho.AI's</w:t>
      </w:r>
      <w:proofErr w:type="spellEnd"/>
      <w:r w:rsidRPr="00E40990">
        <w:rPr>
          <w:b/>
          <w:bCs/>
        </w:rPr>
        <w:t xml:space="preserve"> performance against standard RAG and baseline Llama 3 8B in correctness, hallucination, and refusal rates.</w:t>
      </w:r>
      <w:r w:rsidRPr="00E40990">
        <w:t xml:space="preserve"> Across all 428 pilot queries, SuSastho.AI outperformed both standard RAG and baseline un-tuned LLMs (Fig. 10). SuSastho.AI achieved a correctness rate of 61.9%, compared to 40.4% for RAG + Llama 3 8B and 45.8% for baseline Llama 3 8B (Page 6, Fig. 10). SuSastho.AI drastically reduced incorrect/hallucinated answers to 8.6%, compared to 12.9% for RAG and 35.5% for baseline Llama 3 (Page 6, Fig. 10). Furthermore, SuSastho.AI maintained a balanced refusal rate of 26.9% (correctly blocking out-of-scope or </w:t>
      </w:r>
      <w:r w:rsidRPr="00E40990">
        <w:lastRenderedPageBreak/>
        <w:t>unsafe questions), whereas standard RAG over-refused at 42.3% and baseline Llama 3 dangerously under-refused at 1.6%, attempting to answer unsafe queries with high hallucination rates (Page 6, Fig. 10).</w:t>
      </w:r>
    </w:p>
    <w:p w14:paraId="2BA5508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COMPARATIVE RESPONSE ACCURACY (%</w:t>
      </w:r>
      <w:proofErr w:type="gramStart"/>
      <w:r w:rsidRPr="00E40990">
        <w:rPr>
          <w:rStyle w:val="HTMLCode"/>
          <w:rFonts w:ascii="Times New Roman" w:hAnsi="Times New Roman" w:cs="Times New Roman"/>
        </w:rPr>
        <w:t>) ]</w:t>
      </w:r>
      <w:proofErr w:type="gramEnd"/>
    </w:p>
    <w:p w14:paraId="000EBCE3" w14:textId="77777777" w:rsidR="00E40990" w:rsidRPr="00E40990" w:rsidRDefault="00E40990" w:rsidP="00E40990">
      <w:pPr>
        <w:pStyle w:val="HTMLPreformatted"/>
        <w:jc w:val="both"/>
        <w:rPr>
          <w:rStyle w:val="HTMLCode"/>
          <w:rFonts w:ascii="Times New Roman" w:hAnsi="Times New Roman" w:cs="Times New Roman"/>
        </w:rPr>
      </w:pPr>
    </w:p>
    <w:p w14:paraId="5070F747"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SuSastho.AI       </w:t>
      </w:r>
      <w:r w:rsidRPr="00F27F24">
        <w:rPr>
          <w:rStyle w:val="HTMLCode"/>
          <w:rFonts w:ascii="Times New Roman" w:hAnsi="Times New Roman" w:cs="Times New Roman"/>
          <w:color w:val="BFBFBF" w:themeColor="background1" w:themeShade="BF"/>
        </w:rPr>
        <w:t>██████████████████████████████</w:t>
      </w:r>
      <w:r w:rsidRPr="00E40990">
        <w:rPr>
          <w:rStyle w:val="HTMLCode"/>
          <w:rFonts w:ascii="Times New Roman" w:hAnsi="Times New Roman" w:cs="Times New Roman"/>
        </w:rPr>
        <w:t xml:space="preserve"> 61.9%</w:t>
      </w:r>
    </w:p>
    <w:p w14:paraId="18CB3C1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Baseline Llama </w:t>
      </w:r>
      <w:proofErr w:type="gramStart"/>
      <w:r w:rsidRPr="00F27F24">
        <w:rPr>
          <w:rStyle w:val="HTMLCode"/>
          <w:rFonts w:ascii="Times New Roman" w:hAnsi="Times New Roman" w:cs="Times New Roman"/>
        </w:rPr>
        <w:t xml:space="preserve">3 </w:t>
      </w:r>
      <w:r w:rsidRPr="00F27F24">
        <w:rPr>
          <w:rStyle w:val="HTMLCode"/>
          <w:rFonts w:ascii="Times New Roman" w:hAnsi="Times New Roman" w:cs="Times New Roman"/>
          <w:color w:val="BFBFBF" w:themeColor="background1" w:themeShade="BF"/>
        </w:rPr>
        <w:t xml:space="preserve"> █</w:t>
      </w:r>
      <w:proofErr w:type="gramEnd"/>
      <w:r w:rsidRPr="00F27F24">
        <w:rPr>
          <w:rStyle w:val="HTMLCode"/>
          <w:rFonts w:ascii="Times New Roman" w:hAnsi="Times New Roman" w:cs="Times New Roman"/>
          <w:color w:val="BFBFBF" w:themeColor="background1" w:themeShade="BF"/>
        </w:rPr>
        <w:t xml:space="preserve">████████████ </w:t>
      </w:r>
      <w:r w:rsidRPr="00E40990">
        <w:rPr>
          <w:rStyle w:val="HTMLCode"/>
          <w:rFonts w:ascii="Times New Roman" w:hAnsi="Times New Roman" w:cs="Times New Roman"/>
        </w:rPr>
        <w:t>45.8%</w:t>
      </w:r>
    </w:p>
    <w:p w14:paraId="47CCB836"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RAG + Llama 3    </w:t>
      </w:r>
      <w:r w:rsidRPr="00F27F24">
        <w:rPr>
          <w:rStyle w:val="HTMLCode"/>
          <w:rFonts w:ascii="Times New Roman" w:hAnsi="Times New Roman" w:cs="Times New Roman"/>
          <w:color w:val="BFBFBF" w:themeColor="background1" w:themeShade="BF"/>
        </w:rPr>
        <w:t xml:space="preserve"> ███████████ </w:t>
      </w:r>
      <w:r w:rsidRPr="00E40990">
        <w:rPr>
          <w:rStyle w:val="HTMLCode"/>
          <w:rFonts w:ascii="Times New Roman" w:hAnsi="Times New Roman" w:cs="Times New Roman"/>
        </w:rPr>
        <w:t>40.4%</w:t>
      </w:r>
    </w:p>
    <w:p w14:paraId="13C3CD81"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Correctness</w:t>
      </w:r>
    </w:p>
    <w:p w14:paraId="59AF9831" w14:textId="77777777" w:rsidR="00E40990" w:rsidRPr="00E40990" w:rsidRDefault="00E40990" w:rsidP="00E40990">
      <w:pPr>
        <w:pStyle w:val="Heading4"/>
        <w:jc w:val="both"/>
        <w:rPr>
          <w:rFonts w:ascii="Times New Roman" w:hAnsi="Times New Roman" w:cs="Times New Roman"/>
        </w:rPr>
      </w:pPr>
      <w:r w:rsidRPr="00E40990">
        <w:rPr>
          <w:rFonts w:ascii="Times New Roman" w:hAnsi="Times New Roman" w:cs="Times New Roman"/>
        </w:rPr>
        <w:t xml:space="preserve">Q15: Methodological Critique — Adult Proxies, </w:t>
      </w:r>
      <w:proofErr w:type="spellStart"/>
      <w:r w:rsidRPr="00E40990">
        <w:rPr>
          <w:rFonts w:ascii="Times New Roman" w:hAnsi="Times New Roman" w:cs="Times New Roman"/>
        </w:rPr>
        <w:t>Banglish</w:t>
      </w:r>
      <w:proofErr w:type="spellEnd"/>
      <w:r w:rsidRPr="00E40990">
        <w:rPr>
          <w:rFonts w:ascii="Times New Roman" w:hAnsi="Times New Roman" w:cs="Times New Roman"/>
        </w:rPr>
        <w:t xml:space="preserve"> Parsing &amp; Upgrade Roadmap</w:t>
      </w:r>
    </w:p>
    <w:p w14:paraId="406E70D5" w14:textId="77777777" w:rsidR="00E40990" w:rsidRPr="00E40990" w:rsidRDefault="00E40990" w:rsidP="00E40990">
      <w:pPr>
        <w:pStyle w:val="NormalWeb"/>
        <w:jc w:val="both"/>
      </w:pPr>
      <w:r w:rsidRPr="00E40990">
        <w:rPr>
          <w:b/>
          <w:bCs/>
        </w:rPr>
        <w:t>Critique user satisfaction outcomes, voice/</w:t>
      </w:r>
      <w:proofErr w:type="spellStart"/>
      <w:r w:rsidRPr="00E40990">
        <w:rPr>
          <w:b/>
          <w:bCs/>
        </w:rPr>
        <w:t>Banglish</w:t>
      </w:r>
      <w:proofErr w:type="spellEnd"/>
      <w:r w:rsidRPr="00E40990">
        <w:rPr>
          <w:b/>
          <w:bCs/>
        </w:rPr>
        <w:t xml:space="preserve"> parsing limitations, perception of artificiality, and the necessity of adolescent co-design.</w:t>
      </w:r>
      <w:r w:rsidRPr="00E40990">
        <w:t xml:space="preserve"> Usability questionnaires (n=32) demonstrated high user acceptance: 87.0% agreed they found needed information, 90.7% rated answers as relevant, 96.9% found responses useful, and 84.4% reported overall satisfaction (Page 6–7, Fig. 11). However, critical limitations were identified: 25.0% of users felt interactions lacked human warmth ("perception of artificiality"), and 21.9% reported parsing failures when queries contained highly ambiguous phrasing or complex "</w:t>
      </w:r>
      <w:proofErr w:type="spellStart"/>
      <w:r w:rsidRPr="00E40990">
        <w:t>Banglish</w:t>
      </w:r>
      <w:proofErr w:type="spellEnd"/>
      <w:r w:rsidRPr="00E40990">
        <w:t>" (Page 6–7). Methodologically, relying on 32 adult experts limits insights into adolescent user experience; future validation phases must employ strict adolescent co-design and ethical assent protocols directly with youth cohorts (Page 5, Page 7). Planned upgrades include expanding field testing to adolescent groups, refining multi-dialect voice parsing, and engineering a dedicated Bangla Medical-GPT model (Page 7).</w:t>
      </w:r>
    </w:p>
    <w:p w14:paraId="67EB7DD5" w14:textId="77777777" w:rsidR="00E40990" w:rsidRPr="00E40990" w:rsidRDefault="00E40990" w:rsidP="00E40990">
      <w:pPr>
        <w:pStyle w:val="NormalWeb"/>
        <w:jc w:val="both"/>
      </w:pPr>
      <w:r w:rsidRPr="00E40990">
        <w:t>To facilitate rapid review and recall for oral defenses, the core experimental metrics, technical configurations, and empirical findings from both studies are synthesized below.</w:t>
      </w:r>
    </w:p>
    <w:p w14:paraId="50474824" w14:textId="77777777" w:rsidR="00E40990" w:rsidRPr="00E40990" w:rsidRDefault="00E40990" w:rsidP="00E40990">
      <w:pPr>
        <w:pStyle w:val="Heading2"/>
        <w:jc w:val="both"/>
      </w:pPr>
      <w:r w:rsidRPr="00E40990">
        <w:t>Section 3: Executive Answer Keys for Viva Revision</w:t>
      </w:r>
    </w:p>
    <w:p w14:paraId="59A77F45"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w:t>
      </w:r>
    </w:p>
    <w:p w14:paraId="09CA4D04"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EXECUTIVE REVISION KEY SUMMARY                    │</w:t>
      </w:r>
    </w:p>
    <w:p w14:paraId="30F948DA"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w:t>
      </w:r>
    </w:p>
    <w:p w14:paraId="666CA816"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PAPER 3: ZAMAN ET AL. (2025)      │ PAPER 4: AHAMED ET AL. (2026)      │</w:t>
      </w:r>
    </w:p>
    <w:p w14:paraId="71794C79"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w:t>
      </w:r>
    </w:p>
    <w:p w14:paraId="5577C128"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 Catchment: 32,581 people        │ • KB Size: 2,063 validated docs    │</w:t>
      </w:r>
    </w:p>
    <w:p w14:paraId="6E39F777"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Households: 7,090 in </w:t>
      </w:r>
      <w:proofErr w:type="spellStart"/>
      <w:r w:rsidRPr="00E40990">
        <w:rPr>
          <w:rStyle w:val="HTMLCode"/>
          <w:rFonts w:ascii="Times New Roman" w:hAnsi="Times New Roman" w:cs="Times New Roman"/>
        </w:rPr>
        <w:t>Somvag</w:t>
      </w:r>
      <w:proofErr w:type="spellEnd"/>
      <w:r w:rsidRPr="00E40990">
        <w:rPr>
          <w:rStyle w:val="HTMLCode"/>
          <w:rFonts w:ascii="Times New Roman" w:hAnsi="Times New Roman" w:cs="Times New Roman"/>
        </w:rPr>
        <w:t xml:space="preserve">     │ • Categories: 20 SRMH topics       │</w:t>
      </w:r>
    </w:p>
    <w:p w14:paraId="40D78B90"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xml:space="preserve">│ • Deployment: 1 CHW / 500 homes   │ • Fine-Tuning Set: 8,614 </w:t>
      </w:r>
      <w:proofErr w:type="gramStart"/>
      <w:r w:rsidRPr="00E40990">
        <w:rPr>
          <w:rStyle w:val="HTMLCode"/>
          <w:rFonts w:ascii="Times New Roman" w:hAnsi="Times New Roman" w:cs="Times New Roman"/>
        </w:rPr>
        <w:t>examples  │</w:t>
      </w:r>
      <w:proofErr w:type="gramEnd"/>
    </w:p>
    <w:p w14:paraId="2811EC8E"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 Partners: CMED, PKSF, SOJAG     │ • Core LLM: Llama 3 8B Instruct    │</w:t>
      </w:r>
    </w:p>
    <w:p w14:paraId="52ACC3E0"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 Stats: Welch t-test, Wilcoxon   │ • Speech: Wav2Vec + VITS           │</w:t>
      </w:r>
    </w:p>
    <w:p w14:paraId="48E33C5F"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 Regression: Directional ORs     │ • KB Accuracy: 86.68%              │</w:t>
      </w:r>
    </w:p>
    <w:p w14:paraId="508FD3BD"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 Results: Significant BMI/BP/MUAC│ • Benchmark Correctness: 61.9%     │</w:t>
      </w:r>
    </w:p>
    <w:p w14:paraId="38BAE196"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 • Cost: ~$1.00 USD / family/month │ • Incorrect Rate: Reduced to 8.6</w:t>
      </w:r>
      <w:proofErr w:type="gramStart"/>
      <w:r w:rsidRPr="00E40990">
        <w:rPr>
          <w:rStyle w:val="HTMLCode"/>
          <w:rFonts w:ascii="Times New Roman" w:hAnsi="Times New Roman" w:cs="Times New Roman"/>
        </w:rPr>
        <w:t>%  │</w:t>
      </w:r>
      <w:proofErr w:type="gramEnd"/>
    </w:p>
    <w:p w14:paraId="746D0EDB" w14:textId="77777777" w:rsidR="00E40990" w:rsidRPr="00E40990" w:rsidRDefault="00E40990" w:rsidP="00E40990">
      <w:pPr>
        <w:pStyle w:val="HTMLPreformatted"/>
        <w:jc w:val="both"/>
        <w:rPr>
          <w:rStyle w:val="HTMLCode"/>
          <w:rFonts w:ascii="Times New Roman" w:hAnsi="Times New Roman" w:cs="Times New Roman"/>
        </w:rPr>
      </w:pPr>
      <w:r w:rsidRPr="00E40990">
        <w:rPr>
          <w:rStyle w:val="HTMLCode"/>
          <w:rFonts w:ascii="Times New Roman" w:hAnsi="Times New Roman" w:cs="Times New Roman"/>
        </w:rPr>
        <w:t>└───────────────────────────────────┴────────────────────────────────────┘</w:t>
      </w:r>
    </w:p>
    <w:p w14:paraId="16DFDFD2" w14:textId="77777777" w:rsidR="00E40990" w:rsidRPr="00E40990" w:rsidRDefault="00E40990" w:rsidP="00E40990">
      <w:pPr>
        <w:pStyle w:val="Heading3"/>
        <w:jc w:val="both"/>
      </w:pPr>
      <w:r w:rsidRPr="00E40990">
        <w:t>Paper 3 — Answer Key: Digital Health Intervention Model (Zaman et al., 2025)</w:t>
      </w:r>
    </w:p>
    <w:p w14:paraId="259A434C"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lastRenderedPageBreak/>
        <w:t>Core Problem:</w:t>
      </w:r>
      <w:r w:rsidRPr="00E40990">
        <w:rPr>
          <w:rFonts w:ascii="Times New Roman" w:hAnsi="Times New Roman" w:cs="Times New Roman"/>
        </w:rPr>
        <w:t xml:space="preserve"> High NCD burden (67% of Bangladesh deaths) combined with severe rural doctor shortages, low health literacy, and reliance on uncertified local healers/pharmacists/witches.</w:t>
      </w:r>
    </w:p>
    <w:p w14:paraId="2A148371"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Research Gap:</w:t>
      </w:r>
      <w:r w:rsidRPr="00E40990">
        <w:rPr>
          <w:rFonts w:ascii="Times New Roman" w:hAnsi="Times New Roman" w:cs="Times New Roman"/>
        </w:rPr>
        <w:t xml:space="preserve"> Lack of empirical evaluations on rural access, uptake, and longitudinal clinical efficacy of digital eHealth/mHealth solutions.</w:t>
      </w:r>
    </w:p>
    <w:p w14:paraId="70034ECE"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Research Objective:</w:t>
      </w:r>
      <w:r w:rsidRPr="00E40990">
        <w:rPr>
          <w:rFonts w:ascii="Times New Roman" w:hAnsi="Times New Roman" w:cs="Times New Roman"/>
        </w:rPr>
        <w:t xml:space="preserve"> Evaluate the effectiveness of a CHW-led digital health intervention model in rural Bangladesh over an 18-month timeline with 6-month evaluation windows.</w:t>
      </w:r>
    </w:p>
    <w:p w14:paraId="49F31CFC"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Policy Alignment:</w:t>
      </w:r>
      <w:r w:rsidRPr="00E40990">
        <w:rPr>
          <w:rFonts w:ascii="Times New Roman" w:hAnsi="Times New Roman" w:cs="Times New Roman"/>
        </w:rPr>
        <w:t xml:space="preserve"> Direct alignment with Universal Health Coverage (UHC) and SDG 3 by shifting healthcare from reactive hospital treatment to rural preventive NCD management.</w:t>
      </w:r>
    </w:p>
    <w:p w14:paraId="0EABDBF9"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Catchment &amp; Partners:</w:t>
      </w:r>
      <w:r w:rsidRPr="00E40990">
        <w:rPr>
          <w:rFonts w:ascii="Times New Roman" w:hAnsi="Times New Roman" w:cs="Times New Roman"/>
        </w:rPr>
        <w:t xml:space="preserve"> </w:t>
      </w:r>
      <w:proofErr w:type="spellStart"/>
      <w:r w:rsidRPr="00E40990">
        <w:rPr>
          <w:rFonts w:ascii="Times New Roman" w:hAnsi="Times New Roman" w:cs="Times New Roman"/>
        </w:rPr>
        <w:t>Somvag</w:t>
      </w:r>
      <w:proofErr w:type="spellEnd"/>
      <w:r w:rsidRPr="00E40990">
        <w:rPr>
          <w:rFonts w:ascii="Times New Roman" w:hAnsi="Times New Roman" w:cs="Times New Roman"/>
        </w:rPr>
        <w:t xml:space="preserve"> Union; 7,090 households; 32,581 served individuals (50.67% male, 49.33% female; 32.25% aged 18–35 years); Partners: CMED Health, PKSF, SOJAG NGO, ENRICH program; July 2018 – Dec 2019.</w:t>
      </w:r>
    </w:p>
    <w:p w14:paraId="72228C90"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CHW Workforce:</w:t>
      </w:r>
      <w:r w:rsidRPr="00E40990">
        <w:rPr>
          <w:rFonts w:ascii="Times New Roman" w:hAnsi="Times New Roman" w:cs="Times New Roman"/>
        </w:rPr>
        <w:t xml:space="preserve"> 14 Health Assistants (HAs) deployed (1 HA per 500 households); required \</w:t>
      </w:r>
      <w:proofErr w:type="spellStart"/>
      <w:r w:rsidRPr="00E40990">
        <w:rPr>
          <w:rFonts w:ascii="Times New Roman" w:hAnsi="Times New Roman" w:cs="Times New Roman"/>
        </w:rPr>
        <w:t>ge</w:t>
      </w:r>
      <w:proofErr w:type="spellEnd"/>
      <w:r w:rsidRPr="00E40990">
        <w:rPr>
          <w:rFonts w:ascii="Times New Roman" w:hAnsi="Times New Roman" w:cs="Times New Roman"/>
        </w:rPr>
        <w:t xml:space="preserve"> 8 years schooling; 2-week training in Smart Health Kit, app navigation, and NCD counseling.</w:t>
      </w:r>
    </w:p>
    <w:p w14:paraId="3277577D"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Hardware/Software Stack:</w:t>
      </w:r>
      <w:r w:rsidRPr="00E40990">
        <w:rPr>
          <w:rFonts w:ascii="Times New Roman" w:hAnsi="Times New Roman" w:cs="Times New Roman"/>
        </w:rPr>
        <w:t xml:space="preserve"> Smart Health Kit (analogue + IoT scales, IoT blood pressure cuff, IoT glucometer, pulse oximeter, ECG, MUAC tape) paired with "Enriched </w:t>
      </w:r>
      <w:proofErr w:type="spellStart"/>
      <w:r w:rsidRPr="00E40990">
        <w:rPr>
          <w:rFonts w:ascii="Times New Roman" w:hAnsi="Times New Roman" w:cs="Times New Roman"/>
        </w:rPr>
        <w:t>Sastho</w:t>
      </w:r>
      <w:proofErr w:type="spellEnd"/>
      <w:r w:rsidRPr="00E40990">
        <w:rPr>
          <w:rFonts w:ascii="Times New Roman" w:hAnsi="Times New Roman" w:cs="Times New Roman"/>
        </w:rPr>
        <w:t>" Android app on AWS cloud.</w:t>
      </w:r>
    </w:p>
    <w:p w14:paraId="276434E6"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Triage &amp; CDSS:</w:t>
      </w:r>
      <w:r w:rsidRPr="00E40990">
        <w:rPr>
          <w:rFonts w:ascii="Times New Roman" w:hAnsi="Times New Roman" w:cs="Times New Roman"/>
        </w:rPr>
        <w:t xml:space="preserve"> AI-CDSS categorizes risk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Low/Moderate assigned to MATS-certified Medical Assistants (OTC drugs/counseling)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High assigned to GP Doctors (telemedicine/in-person, diagnostic orders, tertiary referrals).</w:t>
      </w:r>
    </w:p>
    <w:p w14:paraId="4A4E10E7"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Study Design &amp; Viva Defense:</w:t>
      </w:r>
      <w:r w:rsidRPr="00E40990">
        <w:rPr>
          <w:rFonts w:ascii="Times New Roman" w:hAnsi="Times New Roman" w:cs="Times New Roman"/>
        </w:rPr>
        <w:t xml:space="preserve"> Repeated cross-sectional observational design; evaluated across three 6-month intervals (P1, P2, P3); latest instance selected per participant per window. Defend choice over true longitudinal cohort due to high rural labor attrition and tracking costs in LMICs.</w:t>
      </w:r>
    </w:p>
    <w:p w14:paraId="2FEB5459"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Statistical Suite:</w:t>
      </w:r>
      <w:r w:rsidRPr="00E40990">
        <w:rPr>
          <w:rFonts w:ascii="Times New Roman" w:hAnsi="Times New Roman" w:cs="Times New Roman"/>
        </w:rPr>
        <w:t xml:space="preserve"> AWS/MySQL extraction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Python/Google </w:t>
      </w:r>
      <w:proofErr w:type="spellStart"/>
      <w:r w:rsidRPr="00E40990">
        <w:rPr>
          <w:rFonts w:ascii="Times New Roman" w:hAnsi="Times New Roman" w:cs="Times New Roman"/>
        </w:rPr>
        <w:t>Colab</w:t>
      </w:r>
      <w:proofErr w:type="spellEnd"/>
      <w:r w:rsidRPr="00E40990">
        <w:rPr>
          <w:rFonts w:ascii="Times New Roman" w:hAnsi="Times New Roman" w:cs="Times New Roman"/>
        </w:rPr>
        <w:t>; D'Agostino &amp; Pearson test for normality; Student's/Welch's t-test (normal), Wilcoxon signed-rank test (non-normal), two-proportion z-test (categorical proportions), multivariate logistic regression (OR). Significance at p &lt; 0.05.</w:t>
      </w:r>
    </w:p>
    <w:p w14:paraId="720F996B"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Baseline Vitals:</w:t>
      </w:r>
      <w:r w:rsidRPr="00E40990">
        <w:rPr>
          <w:rFonts w:ascii="Times New Roman" w:hAnsi="Times New Roman" w:cs="Times New Roman"/>
        </w:rPr>
        <w:t xml:space="preserve"> Adult overweight 21.76%, prehypertension 8.18%, high blood glucose 16.45%; Child malnutrition (MUAC &lt; 7 </w:t>
      </w:r>
      <w:proofErr w:type="spellStart"/>
      <w:r w:rsidRPr="00E40990">
        <w:rPr>
          <w:rFonts w:ascii="Times New Roman" w:hAnsi="Times New Roman" w:cs="Times New Roman"/>
        </w:rPr>
        <w:t>yrs</w:t>
      </w:r>
      <w:proofErr w:type="spellEnd"/>
      <w:r w:rsidRPr="00E40990">
        <w:rPr>
          <w:rFonts w:ascii="Times New Roman" w:hAnsi="Times New Roman" w:cs="Times New Roman"/>
        </w:rPr>
        <w:t>) 11.00%.</w:t>
      </w:r>
    </w:p>
    <w:p w14:paraId="5B7D9BD3"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Key Risk Factors &amp; Directional Vector ORs:</w:t>
      </w:r>
      <w:r w:rsidRPr="00E40990">
        <w:rPr>
          <w:rFonts w:ascii="Times New Roman" w:hAnsi="Times New Roman" w:cs="Times New Roman"/>
        </w:rPr>
        <w:t xml:space="preserve"> Age \</w:t>
      </w:r>
      <w:proofErr w:type="spellStart"/>
      <w:r w:rsidRPr="00E40990">
        <w:rPr>
          <w:rFonts w:ascii="Times New Roman" w:hAnsi="Times New Roman" w:cs="Times New Roman"/>
        </w:rPr>
        <w:t>ge</w:t>
      </w:r>
      <w:proofErr w:type="spellEnd"/>
      <w:r w:rsidRPr="00E40990">
        <w:rPr>
          <w:rFonts w:ascii="Times New Roman" w:hAnsi="Times New Roman" w:cs="Times New Roman"/>
        </w:rPr>
        <w:t xml:space="preserve"> 40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Hypertension OR: 13.56 (95% CI: 12.06–15.24; p &lt; 0.01), Diabetes OR: 3.96 (95% CI: 3.35–4.69; p &lt; 0.01); Diabetes predicted by Hypertension OR: 7.16 (95% CI: 6.13–8.36; p &lt; 0.01); Hypertension predicted by Diabetes OR: 7.35 (95% CI: 6.30–8.59; p &lt; 0.01); Hypertension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CVD OR: 12.50 (95% CI: 7.54–20.73; p &lt; 0.01); CVD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Stroke OR: 8.12 (95% CI: 3.76–17.54; p &lt; 0.01).</w:t>
      </w:r>
    </w:p>
    <w:p w14:paraId="7CCFD487"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Longitudinal Metric Outcomes &amp; FGD Mechanics:</w:t>
      </w:r>
      <w:r w:rsidRPr="00E40990">
        <w:rPr>
          <w:rFonts w:ascii="Times New Roman" w:hAnsi="Times New Roman" w:cs="Times New Roman"/>
        </w:rPr>
        <w:t xml:space="preserve"> Statistically significant improvements in normal BMI (64.90%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68.59%; n=15,144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9,426), normal BP (72.50%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82.19%; prehypertension reduced from 9.13% to 4.92%; n=14,288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8,593), and child MUAC nourishment (82.87%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93.17%; n=689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410). Qualitative FGDs show families changed dietary practices upon receiving visual diagnostic feedback.</w:t>
      </w:r>
    </w:p>
    <w:p w14:paraId="4C1927F1"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Glucose Anomaly Mechanics:</w:t>
      </w:r>
      <w:r w:rsidRPr="00E40990">
        <w:rPr>
          <w:rFonts w:ascii="Times New Roman" w:hAnsi="Times New Roman" w:cs="Times New Roman"/>
        </w:rPr>
        <w:t xml:space="preserve"> Apparent regression in blood glucose (high glucose increased from 15.67% to 38.64%) driven by financial strip fees and sample contraction (n=1,442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435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220); non-diabetic participants dropped out after normal initial readings, while diabetic patients paid for continuous monitoring, skewing follow-up samples.</w:t>
      </w:r>
    </w:p>
    <w:p w14:paraId="7C1E2DC7" w14:textId="77777777" w:rsidR="00E40990" w:rsidRPr="00E40990" w:rsidRDefault="00E40990" w:rsidP="00E40990">
      <w:pPr>
        <w:numPr>
          <w:ilvl w:val="0"/>
          <w:numId w:val="5"/>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Limitations &amp; External Validity:</w:t>
      </w:r>
      <w:r w:rsidRPr="00E40990">
        <w:rPr>
          <w:rFonts w:ascii="Times New Roman" w:hAnsi="Times New Roman" w:cs="Times New Roman"/>
        </w:rPr>
        <w:t xml:space="preserve"> Daytime sampling gender bias (59.7% adult female sample) limits external validity for rural adult male NCD estimates; single-union scope; self-reported historical conditions; server-side referral tracking data loss; proven financial sustainability model at ~$1.00 USD/month/family via public-private partnerships.</w:t>
      </w:r>
    </w:p>
    <w:p w14:paraId="2CCF1458" w14:textId="77777777" w:rsidR="00E40990" w:rsidRPr="00E40990" w:rsidRDefault="00E40990" w:rsidP="00E40990">
      <w:pPr>
        <w:pStyle w:val="Heading3"/>
        <w:jc w:val="both"/>
      </w:pPr>
      <w:r w:rsidRPr="00E40990">
        <w:t>Paper 4 — Answer Key: Multimodal AI Medical Copilot (Ahamed et al., 2026)</w:t>
      </w:r>
    </w:p>
    <w:p w14:paraId="1F4C40EC"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lastRenderedPageBreak/>
        <w:t>Core SRMH Problem:</w:t>
      </w:r>
      <w:r w:rsidRPr="00E40990">
        <w:rPr>
          <w:rFonts w:ascii="Times New Roman" w:hAnsi="Times New Roman" w:cs="Times New Roman"/>
        </w:rPr>
        <w:t xml:space="preserve"> 63% of Bangladeshi adolescents lack access to reproductive health services, 87% lack mental health support, and 79.3% of medical costs are paid out-of-pocket, compounded by severe social stigma and taboos.</w:t>
      </w:r>
    </w:p>
    <w:p w14:paraId="4B63661D"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Prior Chatbot Limitations:</w:t>
      </w:r>
      <w:r w:rsidRPr="00E40990">
        <w:rPr>
          <w:rFonts w:ascii="Times New Roman" w:hAnsi="Times New Roman" w:cs="Times New Roman"/>
        </w:rPr>
        <w:t xml:space="preserve"> ELIZA (basic pattern matching), </w:t>
      </w:r>
      <w:proofErr w:type="spellStart"/>
      <w:r w:rsidRPr="00E40990">
        <w:rPr>
          <w:rFonts w:ascii="Times New Roman" w:hAnsi="Times New Roman" w:cs="Times New Roman"/>
        </w:rPr>
        <w:t>AdolescentBot</w:t>
      </w:r>
      <w:proofErr w:type="spellEnd"/>
      <w:r w:rsidRPr="00E40990">
        <w:rPr>
          <w:rFonts w:ascii="Times New Roman" w:hAnsi="Times New Roman" w:cs="Times New Roman"/>
        </w:rPr>
        <w:t>/</w:t>
      </w:r>
      <w:proofErr w:type="spellStart"/>
      <w:r w:rsidRPr="00E40990">
        <w:rPr>
          <w:rFonts w:ascii="Times New Roman" w:hAnsi="Times New Roman" w:cs="Times New Roman"/>
        </w:rPr>
        <w:t>SnehAI</w:t>
      </w:r>
      <w:proofErr w:type="spellEnd"/>
      <w:r w:rsidRPr="00E40990">
        <w:rPr>
          <w:rFonts w:ascii="Times New Roman" w:hAnsi="Times New Roman" w:cs="Times New Roman"/>
        </w:rPr>
        <w:t xml:space="preserve"> (rigid, rule-based systems lacking personalization or voice), </w:t>
      </w:r>
      <w:proofErr w:type="spellStart"/>
      <w:r w:rsidRPr="00E40990">
        <w:rPr>
          <w:rFonts w:ascii="Times New Roman" w:hAnsi="Times New Roman" w:cs="Times New Roman"/>
        </w:rPr>
        <w:t>ChatDoctor</w:t>
      </w:r>
      <w:proofErr w:type="spellEnd"/>
      <w:r w:rsidRPr="00E40990">
        <w:rPr>
          <w:rFonts w:ascii="Times New Roman" w:hAnsi="Times New Roman" w:cs="Times New Roman"/>
        </w:rPr>
        <w:t xml:space="preserve"> (unmitigated LLM medical hallucinations).</w:t>
      </w:r>
    </w:p>
    <w:p w14:paraId="3F515235"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Core Engineering Objective:</w:t>
      </w:r>
      <w:r w:rsidRPr="00E40990">
        <w:rPr>
          <w:rFonts w:ascii="Times New Roman" w:hAnsi="Times New Roman" w:cs="Times New Roman"/>
        </w:rPr>
        <w:t xml:space="preserve"> Build SuSastho.AI—a multimodal, voice-enabled, evidence-based AI copilot using fine-tuned LLMs, RAG, and </w:t>
      </w:r>
      <w:proofErr w:type="spellStart"/>
      <w:r w:rsidRPr="00E40990">
        <w:rPr>
          <w:rFonts w:ascii="Times New Roman" w:hAnsi="Times New Roman" w:cs="Times New Roman"/>
        </w:rPr>
        <w:t>CoT</w:t>
      </w:r>
      <w:proofErr w:type="spellEnd"/>
      <w:r w:rsidRPr="00E40990">
        <w:rPr>
          <w:rFonts w:ascii="Times New Roman" w:hAnsi="Times New Roman" w:cs="Times New Roman"/>
        </w:rPr>
        <w:t xml:space="preserve"> reasoning to deliver safe, anonymous SRMH guidance to adolescents.</w:t>
      </w:r>
    </w:p>
    <w:p w14:paraId="2DCB95C5"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Clinical EBM Alignment:</w:t>
      </w:r>
      <w:r w:rsidRPr="00E40990">
        <w:rPr>
          <w:rFonts w:ascii="Times New Roman" w:hAnsi="Times New Roman" w:cs="Times New Roman"/>
        </w:rPr>
        <w:t xml:space="preserve"> Synthesizes Evidence-Based Medicine (EBM) with fine-tuned LLMs, ensuring responses derive strictly from appraised clinical sources, bypassing out-of-pocket financial and stigma barriers.</w:t>
      </w:r>
    </w:p>
    <w:p w14:paraId="763D6A39"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Knowledge Base Composition:</w:t>
      </w:r>
      <w:r w:rsidRPr="00E40990">
        <w:rPr>
          <w:rFonts w:ascii="Times New Roman" w:hAnsi="Times New Roman" w:cs="Times New Roman"/>
        </w:rPr>
        <w:t xml:space="preserve"> 2,063 validated medical documents across 20 SRMH categories (11 SRH, 9 mental health); verified via a 2-layer independent clinician review plus a 3rd tie-breaker team.</w:t>
      </w:r>
    </w:p>
    <w:p w14:paraId="2D210DBC"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Fine-Tuning Dataset:</w:t>
      </w:r>
      <w:r w:rsidRPr="00E40990">
        <w:rPr>
          <w:rFonts w:ascii="Times New Roman" w:hAnsi="Times New Roman" w:cs="Times New Roman"/>
        </w:rPr>
        <w:t xml:space="preserve"> 8,614 expert-curated examples (5,396 Task-QG, 3,218 Task-AG) incorporating adolescent slang, colloquial Bengali, indirect phrasing, and </w:t>
      </w:r>
      <w:proofErr w:type="spellStart"/>
      <w:r w:rsidRPr="00E40990">
        <w:rPr>
          <w:rFonts w:ascii="Times New Roman" w:hAnsi="Times New Roman" w:cs="Times New Roman"/>
        </w:rPr>
        <w:t>Banglish</w:t>
      </w:r>
      <w:proofErr w:type="spellEnd"/>
      <w:r w:rsidRPr="00E40990">
        <w:rPr>
          <w:rFonts w:ascii="Times New Roman" w:hAnsi="Times New Roman" w:cs="Times New Roman"/>
        </w:rPr>
        <w:t>.</w:t>
      </w:r>
    </w:p>
    <w:p w14:paraId="6818B70B"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System Stack Architecture:</w:t>
      </w:r>
      <w:r w:rsidRPr="00E40990">
        <w:rPr>
          <w:rFonts w:ascii="Times New Roman" w:hAnsi="Times New Roman" w:cs="Times New Roman"/>
        </w:rPr>
        <w:t xml:space="preserve"> Backend: Spring Boot; Frontend: Flutter (Mobile/Web); ASR: Wav2Vec acoustic model + 5-gram language model; TTS: VITS end-to-end neural speech synthesizer; Core Engine: Fine-tuned Llama 3 8B Instruct.</w:t>
      </w:r>
    </w:p>
    <w:p w14:paraId="1733015B"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Retrieval Pipeline:</w:t>
      </w:r>
      <w:r w:rsidRPr="00E40990">
        <w:rPr>
          <w:rFonts w:ascii="Times New Roman" w:hAnsi="Times New Roman" w:cs="Times New Roman"/>
        </w:rPr>
        <w:t xml:space="preserve"> Context-aware chunking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Hamming distance deduplication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Multilingual E5 vector embedding retrieval based on similarity thresholding.</w:t>
      </w:r>
    </w:p>
    <w:p w14:paraId="1AC7CA2A"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 xml:space="preserve">Dual-Task </w:t>
      </w:r>
      <w:proofErr w:type="spellStart"/>
      <w:r w:rsidRPr="00E40990">
        <w:rPr>
          <w:rFonts w:ascii="Times New Roman" w:hAnsi="Times New Roman" w:cs="Times New Roman"/>
          <w:b/>
          <w:bCs/>
        </w:rPr>
        <w:t>CoT</w:t>
      </w:r>
      <w:proofErr w:type="spellEnd"/>
      <w:r w:rsidRPr="00E40990">
        <w:rPr>
          <w:rFonts w:ascii="Times New Roman" w:hAnsi="Times New Roman" w:cs="Times New Roman"/>
          <w:b/>
          <w:bCs/>
        </w:rPr>
        <w:t xml:space="preserve"> Mechanics:</w:t>
      </w:r>
      <w:r w:rsidRPr="00E40990">
        <w:rPr>
          <w:rFonts w:ascii="Times New Roman" w:hAnsi="Times New Roman" w:cs="Times New Roman"/>
        </w:rPr>
        <w:t xml:space="preserve"> Task-QG generates English/Bengali vector search strings; Task-AG executes 7-step </w:t>
      </w:r>
      <w:proofErr w:type="spellStart"/>
      <w:r w:rsidRPr="00E40990">
        <w:rPr>
          <w:rFonts w:ascii="Times New Roman" w:hAnsi="Times New Roman" w:cs="Times New Roman"/>
        </w:rPr>
        <w:t>CoT</w:t>
      </w:r>
      <w:proofErr w:type="spellEnd"/>
      <w:r w:rsidRPr="00E40990">
        <w:rPr>
          <w:rFonts w:ascii="Times New Roman" w:hAnsi="Times New Roman" w:cs="Times New Roman"/>
        </w:rPr>
        <w:t xml:space="preserve"> reasoning across 3 chunk sets, assigning 0–5 relevance scores; automatically defaults to refusal if scores are low.</w:t>
      </w:r>
    </w:p>
    <w:p w14:paraId="7DA37962"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Model Evolution Path:</w:t>
      </w:r>
      <w:r w:rsidRPr="00E40990">
        <w:rPr>
          <w:rFonts w:ascii="Times New Roman" w:hAnsi="Times New Roman" w:cs="Times New Roman"/>
        </w:rPr>
        <w:t xml:space="preserve"> RASA/Chatterbot (inflexible)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Bloom (lacked conversational tuning, severe context errors) \</w:t>
      </w:r>
      <w:proofErr w:type="spellStart"/>
      <w:r w:rsidRPr="00E40990">
        <w:rPr>
          <w:rFonts w:ascii="Times New Roman" w:hAnsi="Times New Roman" w:cs="Times New Roman"/>
        </w:rPr>
        <w:t>rightarrow</w:t>
      </w:r>
      <w:proofErr w:type="spellEnd"/>
      <w:r w:rsidRPr="00E40990">
        <w:rPr>
          <w:rFonts w:ascii="Times New Roman" w:hAnsi="Times New Roman" w:cs="Times New Roman"/>
        </w:rPr>
        <w:t xml:space="preserve"> Fine-tuned Llama 3 8B Instruct (superior Bengali comprehension, context retention, and guardrail adherence).</w:t>
      </w:r>
    </w:p>
    <w:p w14:paraId="0374936D"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Pilot Study Setup &amp; Ethical Defense:</w:t>
      </w:r>
      <w:r w:rsidRPr="00E40990">
        <w:rPr>
          <w:rFonts w:ascii="Times New Roman" w:hAnsi="Times New Roman" w:cs="Times New Roman"/>
        </w:rPr>
        <w:t xml:space="preserve"> n=32 evaluators (doctors, health experts; mean age 29.5 years); 428 total SRMH queries; adolescents excluded from initial trials as a deliberate ethical safety protocol to protect vulnerable minors.</w:t>
      </w:r>
    </w:p>
    <w:p w14:paraId="2A486297"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Evaluation Strategy:</w:t>
      </w:r>
      <w:r w:rsidRPr="00E40990">
        <w:rPr>
          <w:rFonts w:ascii="Times New Roman" w:hAnsi="Times New Roman" w:cs="Times New Roman"/>
        </w:rPr>
        <w:t xml:space="preserve"> Rejected BLEU/ROUGE/METEOR (lexical overlap metrics fail to evaluate medical accuracy/safety); relied on expert human clinical review across standardized checklists.</w:t>
      </w:r>
    </w:p>
    <w:p w14:paraId="35FAF1DB"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KB Benchmark Accuracy:</w:t>
      </w:r>
      <w:r w:rsidRPr="00E40990">
        <w:rPr>
          <w:rFonts w:ascii="Times New Roman" w:hAnsi="Times New Roman" w:cs="Times New Roman"/>
        </w:rPr>
        <w:t xml:space="preserve"> 86.68% overall correctness on KB-related queries (91.3% explicit KB, 86.4% implicit KB); 100% correct refusal rate for out-of-scope queries.</w:t>
      </w:r>
    </w:p>
    <w:p w14:paraId="771D1E78"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Comparative Benchmark Results:</w:t>
      </w:r>
      <w:r w:rsidRPr="00E40990">
        <w:rPr>
          <w:rFonts w:ascii="Times New Roman" w:hAnsi="Times New Roman" w:cs="Times New Roman"/>
        </w:rPr>
        <w:t xml:space="preserve"> SuSastho.AI achieved 61.9% overall correctness vs. RAG + Llama 3 (40.4%) and baseline Llama 3 (45.8%); reduced incorrect/hallucinated answers to 8.6% (vs. 12.9% RAG, 35.5% Llama 3); maintained a 26.9% refusal rate.</w:t>
      </w:r>
    </w:p>
    <w:p w14:paraId="3326DF79" w14:textId="77777777" w:rsidR="00E40990" w:rsidRPr="00E40990" w:rsidRDefault="00E40990" w:rsidP="00E40990">
      <w:pPr>
        <w:numPr>
          <w:ilvl w:val="0"/>
          <w:numId w:val="6"/>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Usability &amp; Future Work:</w:t>
      </w:r>
      <w:r w:rsidRPr="00E40990">
        <w:rPr>
          <w:rFonts w:ascii="Times New Roman" w:hAnsi="Times New Roman" w:cs="Times New Roman"/>
        </w:rPr>
        <w:t xml:space="preserve"> Usability: 87.0% query resolution, 90.7% relevance, 84.4% overall satisfaction; Limitations: 25.0% perceived artificiality, parsing struggles with complex </w:t>
      </w:r>
      <w:proofErr w:type="spellStart"/>
      <w:r w:rsidRPr="00E40990">
        <w:rPr>
          <w:rFonts w:ascii="Times New Roman" w:hAnsi="Times New Roman" w:cs="Times New Roman"/>
        </w:rPr>
        <w:t>Banglish</w:t>
      </w:r>
      <w:proofErr w:type="spellEnd"/>
      <w:r w:rsidRPr="00E40990">
        <w:rPr>
          <w:rFonts w:ascii="Times New Roman" w:hAnsi="Times New Roman" w:cs="Times New Roman"/>
        </w:rPr>
        <w:t>; Future Work: direct adolescent cohort co-design deployment, full Bangla Medical-GPT development.</w:t>
      </w:r>
    </w:p>
    <w:p w14:paraId="755804CA" w14:textId="77777777" w:rsidR="00E40990" w:rsidRPr="00E40990" w:rsidRDefault="00E40990" w:rsidP="00E40990">
      <w:pPr>
        <w:pStyle w:val="NormalWeb"/>
        <w:jc w:val="both"/>
      </w:pPr>
      <w:r w:rsidRPr="00E40990">
        <w:t>A side-by-side comparative analysis synthesizes the methodological contrasts between human-mediated field interventions and fully automated conversational AI modalities.</w:t>
      </w:r>
    </w:p>
    <w:p w14:paraId="4CBC9F6F" w14:textId="77777777" w:rsidR="00E40990" w:rsidRPr="00E40990" w:rsidRDefault="00E40990" w:rsidP="00E40990">
      <w:pPr>
        <w:pStyle w:val="Heading2"/>
        <w:jc w:val="both"/>
      </w:pPr>
      <w:r w:rsidRPr="00E40990">
        <w:t>Section 4: Comparative Analysis — Paper 3 vs. Paper 4</w:t>
      </w:r>
    </w:p>
    <w:p w14:paraId="7B3D4E72" w14:textId="77777777" w:rsidR="00E40990" w:rsidRPr="00E40990" w:rsidRDefault="00E40990" w:rsidP="00E40990">
      <w:pPr>
        <w:pStyle w:val="NormalWeb"/>
        <w:jc w:val="both"/>
      </w:pPr>
      <w:r w:rsidRPr="00E40990">
        <w:lastRenderedPageBreak/>
        <w:t>While both research initiatives target healthcare inequities in Bangladesh, they operate at opposite ends of the delivery spectrum. Paper 3 (Zaman et al., 2025) evaluates a human-in-the-loop, field-based intervention relying on physical Community Health Workers equipped with IoT hardware to combat non-communicable diseases across rural households. Conversely, Paper 4 (Ahamed et al., 2026) investigates a fully automated, software-driven, multimodal AI copilot engineered to deliver confidential, voice-activated sexual, reproductive, and mental health guidance directly to adolescents. The table below delineates the structural, technical, and analytical dimensions of both studies.</w:t>
      </w:r>
    </w:p>
    <w:p w14:paraId="79F7658B" w14:textId="77777777" w:rsidR="00E40990" w:rsidRPr="00E40990" w:rsidRDefault="00E40990" w:rsidP="00E40990">
      <w:pPr>
        <w:pStyle w:val="Heading3"/>
        <w:jc w:val="both"/>
      </w:pPr>
      <w:r w:rsidRPr="00E40990">
        <w:t>Comprehensive Cross-Study Comparison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6"/>
        <w:gridCol w:w="3683"/>
        <w:gridCol w:w="4105"/>
      </w:tblGrid>
      <w:tr w:rsidR="00E40990" w:rsidRPr="00E40990" w14:paraId="2E5AA219"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22FF88B3" w14:textId="77777777" w:rsidR="00E40990" w:rsidRPr="00E40990" w:rsidRDefault="00E40990" w:rsidP="00E40990">
            <w:pPr>
              <w:pStyle w:val="NormalWeb"/>
              <w:jc w:val="both"/>
            </w:pPr>
            <w:r w:rsidRPr="00E40990">
              <w:t>Parameter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BF09A" w14:textId="77777777" w:rsidR="00E40990" w:rsidRPr="00E40990" w:rsidRDefault="00E40990" w:rsidP="00E40990">
            <w:pPr>
              <w:pStyle w:val="NormalWeb"/>
              <w:jc w:val="both"/>
            </w:pPr>
            <w:r w:rsidRPr="00E40990">
              <w:t>Paper 3 (Zaman et al., 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A18E9" w14:textId="77777777" w:rsidR="00E40990" w:rsidRPr="00E40990" w:rsidRDefault="00E40990" w:rsidP="00E40990">
            <w:pPr>
              <w:pStyle w:val="NormalWeb"/>
              <w:jc w:val="both"/>
            </w:pPr>
            <w:r w:rsidRPr="00E40990">
              <w:t>Paper 4 (Ahamed et al., 2026)</w:t>
            </w:r>
          </w:p>
        </w:tc>
      </w:tr>
      <w:tr w:rsidR="00E40990" w:rsidRPr="00E40990" w14:paraId="507C775F"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660971DF" w14:textId="77777777" w:rsidR="00E40990" w:rsidRPr="00E40990" w:rsidRDefault="00E40990" w:rsidP="00E40990">
            <w:pPr>
              <w:pStyle w:val="NormalWeb"/>
              <w:jc w:val="both"/>
            </w:pPr>
            <w:r w:rsidRPr="00E40990">
              <w:rPr>
                <w:b/>
                <w:bCs/>
              </w:rPr>
              <w:t>Target Problem</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25B38" w14:textId="77777777" w:rsidR="00E40990" w:rsidRPr="00E40990" w:rsidRDefault="00E40990" w:rsidP="00E40990">
            <w:pPr>
              <w:pStyle w:val="NormalWeb"/>
              <w:jc w:val="both"/>
            </w:pPr>
            <w:r w:rsidRPr="00E40990">
              <w:t xml:space="preserve">• High NCD burden (67% of national </w:t>
            </w:r>
            <w:proofErr w:type="gramStart"/>
            <w:r w:rsidRPr="00E40990">
              <w:t>deaths)&lt;</w:t>
            </w:r>
            <w:proofErr w:type="spellStart"/>
            <w:proofErr w:type="gramEnd"/>
            <w:r w:rsidRPr="00E40990">
              <w:t>br</w:t>
            </w:r>
            <w:proofErr w:type="spellEnd"/>
            <w:r w:rsidRPr="00E40990">
              <w:t>&gt;• Severe rural physician shortages&lt;</w:t>
            </w:r>
            <w:proofErr w:type="spellStart"/>
            <w:r w:rsidRPr="00E40990">
              <w:t>br</w:t>
            </w:r>
            <w:proofErr w:type="spellEnd"/>
            <w:r w:rsidRPr="00E40990">
              <w:t>&gt;• Low health literacy&lt;</w:t>
            </w:r>
            <w:proofErr w:type="spellStart"/>
            <w:r w:rsidRPr="00E40990">
              <w:t>br</w:t>
            </w:r>
            <w:proofErr w:type="spellEnd"/>
            <w:r w:rsidRPr="00E40990">
              <w:t>&gt;• Systemic reliance on informal healers/pharmacists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239B4" w14:textId="77777777" w:rsidR="00E40990" w:rsidRPr="00E40990" w:rsidRDefault="00E40990" w:rsidP="00E40990">
            <w:pPr>
              <w:pStyle w:val="NormalWeb"/>
              <w:jc w:val="both"/>
            </w:pPr>
            <w:r w:rsidRPr="00E40990">
              <w:t>• Socio-cultural taboos &amp; intense social stigma&lt;</w:t>
            </w:r>
            <w:proofErr w:type="spellStart"/>
            <w:r w:rsidRPr="00E40990">
              <w:t>br</w:t>
            </w:r>
            <w:proofErr w:type="spellEnd"/>
            <w:r w:rsidRPr="00E40990">
              <w:t xml:space="preserve">&gt;• Severe adolescent SRMH access gap (63% lack SRH, 87% lack mental </w:t>
            </w:r>
            <w:proofErr w:type="gramStart"/>
            <w:r w:rsidRPr="00E40990">
              <w:t>health)&lt;</w:t>
            </w:r>
            <w:proofErr w:type="spellStart"/>
            <w:proofErr w:type="gramEnd"/>
            <w:r w:rsidRPr="00E40990">
              <w:t>br</w:t>
            </w:r>
            <w:proofErr w:type="spellEnd"/>
            <w:r w:rsidRPr="00E40990">
              <w:t>&gt;• High out-of-pocket expenses (79.3%)</w:t>
            </w:r>
          </w:p>
        </w:tc>
      </w:tr>
      <w:tr w:rsidR="00E40990" w:rsidRPr="00E40990" w14:paraId="4A51F9D7"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51FC4E34" w14:textId="77777777" w:rsidR="00E40990" w:rsidRPr="00E40990" w:rsidRDefault="00E40990" w:rsidP="00E40990">
            <w:pPr>
              <w:pStyle w:val="NormalWeb"/>
              <w:jc w:val="both"/>
            </w:pPr>
            <w:r w:rsidRPr="00E40990">
              <w:rPr>
                <w:b/>
                <w:bCs/>
              </w:rPr>
              <w:t>Primary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100CC" w14:textId="77777777" w:rsidR="00E40990" w:rsidRPr="00E40990" w:rsidRDefault="00E40990" w:rsidP="00E40990">
            <w:pPr>
              <w:pStyle w:val="NormalWeb"/>
              <w:jc w:val="both"/>
            </w:pPr>
            <w:r w:rsidRPr="00E40990">
              <w:t>• Evaluate efficacy &amp; health outcome impact of CHW-led digital health intervention model over an 18-month rural deployment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87F21" w14:textId="77777777" w:rsidR="00E40990" w:rsidRPr="00E40990" w:rsidRDefault="00E40990" w:rsidP="00E40990">
            <w:pPr>
              <w:pStyle w:val="NormalWeb"/>
              <w:jc w:val="both"/>
            </w:pPr>
            <w:r w:rsidRPr="00E40990">
              <w:t>• Engineer &amp; validate SuSastho.AI, a voice-enabled, evidence-based AI copilot providing anonymous, hallucination-free SRMH advice to youth</w:t>
            </w:r>
          </w:p>
        </w:tc>
      </w:tr>
      <w:tr w:rsidR="00E40990" w:rsidRPr="00E40990" w14:paraId="372B4105"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45EA99AD" w14:textId="77777777" w:rsidR="00E40990" w:rsidRPr="00E40990" w:rsidRDefault="00E40990" w:rsidP="00E40990">
            <w:pPr>
              <w:pStyle w:val="NormalWeb"/>
              <w:jc w:val="both"/>
            </w:pPr>
            <w:r w:rsidRPr="00E40990">
              <w:rPr>
                <w:b/>
                <w:bCs/>
              </w:rPr>
              <w:t>Dataset / Primary Data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66341" w14:textId="77777777" w:rsidR="00E40990" w:rsidRPr="00E40990" w:rsidRDefault="00E40990" w:rsidP="00E40990">
            <w:pPr>
              <w:pStyle w:val="NormalWeb"/>
              <w:jc w:val="both"/>
            </w:pPr>
            <w:r w:rsidRPr="00E40990">
              <w:t xml:space="preserve">• Longitudinal field dataset of 32,581 residents across 7,090 households in </w:t>
            </w:r>
            <w:proofErr w:type="spellStart"/>
            <w:r w:rsidRPr="00E40990">
              <w:t>Somvag</w:t>
            </w:r>
            <w:proofErr w:type="spellEnd"/>
            <w:r w:rsidRPr="00E40990">
              <w:t xml:space="preserve"> Union (July 2018 – Dec 2019)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A938B" w14:textId="77777777" w:rsidR="00E40990" w:rsidRPr="00E40990" w:rsidRDefault="00E40990" w:rsidP="00E40990">
            <w:pPr>
              <w:pStyle w:val="NormalWeb"/>
              <w:jc w:val="both"/>
            </w:pPr>
            <w:r w:rsidRPr="00E40990">
              <w:t xml:space="preserve">• Clinician-validated Knowledge Base (2,063 documents across 20 SRMH </w:t>
            </w:r>
            <w:proofErr w:type="gramStart"/>
            <w:r w:rsidRPr="00E40990">
              <w:t>topics)&lt;</w:t>
            </w:r>
            <w:proofErr w:type="spellStart"/>
            <w:proofErr w:type="gramEnd"/>
            <w:r w:rsidRPr="00E40990">
              <w:t>br</w:t>
            </w:r>
            <w:proofErr w:type="spellEnd"/>
            <w:r w:rsidRPr="00E40990">
              <w:t>&gt;• 8,614 fine-tuning dialogue examples&lt;</w:t>
            </w:r>
            <w:proofErr w:type="spellStart"/>
            <w:r w:rsidRPr="00E40990">
              <w:t>br</w:t>
            </w:r>
            <w:proofErr w:type="spellEnd"/>
            <w:r w:rsidRPr="00E40990">
              <w:t>&gt;• 428 pilot evaluation queries</w:t>
            </w:r>
          </w:p>
        </w:tc>
      </w:tr>
      <w:tr w:rsidR="00E40990" w:rsidRPr="00E40990" w14:paraId="04B96C71"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116A2AAC" w14:textId="77777777" w:rsidR="00E40990" w:rsidRPr="00E40990" w:rsidRDefault="00E40990" w:rsidP="00E40990">
            <w:pPr>
              <w:pStyle w:val="NormalWeb"/>
              <w:jc w:val="both"/>
            </w:pPr>
            <w:r w:rsidRPr="00E40990">
              <w:rPr>
                <w:b/>
                <w:bCs/>
              </w:rPr>
              <w:t>Core Methodology &amp; Tech Stack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3B165" w14:textId="77777777" w:rsidR="00E40990" w:rsidRPr="00E40990" w:rsidRDefault="00E40990" w:rsidP="00E40990">
            <w:pPr>
              <w:pStyle w:val="NormalWeb"/>
              <w:jc w:val="both"/>
            </w:pPr>
            <w:r w:rsidRPr="00E40990">
              <w:t xml:space="preserve">• </w:t>
            </w:r>
            <w:r w:rsidRPr="00E40990">
              <w:rPr>
                <w:b/>
                <w:bCs/>
              </w:rPr>
              <w:t>Human-in-the-Loop Field Model</w:t>
            </w:r>
            <w:r w:rsidRPr="00E40990">
              <w:t>&lt;</w:t>
            </w:r>
            <w:proofErr w:type="spellStart"/>
            <w:r w:rsidRPr="00E40990">
              <w:t>br</w:t>
            </w:r>
            <w:proofErr w:type="spellEnd"/>
            <w:r w:rsidRPr="00E40990">
              <w:t xml:space="preserve">&gt;• 14 CHWs (HAs) with Smart Health Kits (IoT scales, BP cuff, glucometer, SpO2, </w:t>
            </w:r>
            <w:proofErr w:type="gramStart"/>
            <w:r w:rsidRPr="00E40990">
              <w:t>ECG)&lt;</w:t>
            </w:r>
            <w:proofErr w:type="spellStart"/>
            <w:proofErr w:type="gramEnd"/>
            <w:r w:rsidRPr="00E40990">
              <w:t>br</w:t>
            </w:r>
            <w:proofErr w:type="spellEnd"/>
            <w:r w:rsidRPr="00E40990">
              <w:t xml:space="preserve">&gt;• "Enriched </w:t>
            </w:r>
            <w:proofErr w:type="spellStart"/>
            <w:r w:rsidRPr="00E40990">
              <w:t>Sastho</w:t>
            </w:r>
            <w:proofErr w:type="spellEnd"/>
            <w:r w:rsidRPr="00E40990">
              <w:t>" Android app + AWS cloud backend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95047" w14:textId="77777777" w:rsidR="00E40990" w:rsidRPr="00E40990" w:rsidRDefault="00E40990" w:rsidP="00E40990">
            <w:pPr>
              <w:pStyle w:val="NormalWeb"/>
              <w:jc w:val="both"/>
            </w:pPr>
            <w:r w:rsidRPr="00E40990">
              <w:t xml:space="preserve">• </w:t>
            </w:r>
            <w:r w:rsidRPr="00E40990">
              <w:rPr>
                <w:b/>
                <w:bCs/>
              </w:rPr>
              <w:t>Fully Automated AI Model</w:t>
            </w:r>
            <w:r w:rsidRPr="00E40990">
              <w:t>&lt;</w:t>
            </w:r>
            <w:proofErr w:type="spellStart"/>
            <w:r w:rsidRPr="00E40990">
              <w:t>br</w:t>
            </w:r>
            <w:proofErr w:type="spellEnd"/>
            <w:r w:rsidRPr="00E40990">
              <w:t xml:space="preserve">&gt;• Fine-tuned Llama 3 8B Instruct + RAG + Dual-Task </w:t>
            </w:r>
            <w:proofErr w:type="spellStart"/>
            <w:r w:rsidRPr="00E40990">
              <w:t>CoT</w:t>
            </w:r>
            <w:proofErr w:type="spellEnd"/>
            <w:r w:rsidRPr="00E40990">
              <w:t xml:space="preserve"> (Task-QG/</w:t>
            </w:r>
            <w:proofErr w:type="gramStart"/>
            <w:r w:rsidRPr="00E40990">
              <w:t>AG)&lt;</w:t>
            </w:r>
            <w:proofErr w:type="spellStart"/>
            <w:proofErr w:type="gramEnd"/>
            <w:r w:rsidRPr="00E40990">
              <w:t>br</w:t>
            </w:r>
            <w:proofErr w:type="spellEnd"/>
            <w:r w:rsidRPr="00E40990">
              <w:t>&gt;• Wav2Vec + 5-gram ASR &amp; VITS TTS&lt;</w:t>
            </w:r>
            <w:proofErr w:type="spellStart"/>
            <w:r w:rsidRPr="00E40990">
              <w:t>br</w:t>
            </w:r>
            <w:proofErr w:type="spellEnd"/>
            <w:r w:rsidRPr="00E40990">
              <w:t>&gt;• Multilingual E5 vector search + Spring Boot/Flutter</w:t>
            </w:r>
          </w:p>
        </w:tc>
      </w:tr>
      <w:tr w:rsidR="00E40990" w:rsidRPr="00E40990" w14:paraId="60B86D7D"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5881EAD0" w14:textId="77777777" w:rsidR="00E40990" w:rsidRPr="00E40990" w:rsidRDefault="00E40990" w:rsidP="00E40990">
            <w:pPr>
              <w:pStyle w:val="NormalWeb"/>
              <w:jc w:val="both"/>
            </w:pPr>
            <w:r w:rsidRPr="00E40990">
              <w:rPr>
                <w:b/>
                <w:bCs/>
              </w:rPr>
              <w:t>Type of Analysis Performed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A1D82" w14:textId="77777777" w:rsidR="00E40990" w:rsidRPr="00E40990" w:rsidRDefault="00E40990" w:rsidP="00E40990">
            <w:pPr>
              <w:pStyle w:val="NormalWeb"/>
              <w:jc w:val="both"/>
            </w:pPr>
            <w:r w:rsidRPr="00E40990">
              <w:t>• Descriptive statistics&lt;</w:t>
            </w:r>
            <w:proofErr w:type="spellStart"/>
            <w:r w:rsidRPr="00E40990">
              <w:t>br</w:t>
            </w:r>
            <w:proofErr w:type="spellEnd"/>
            <w:r w:rsidRPr="00E40990">
              <w:t>&gt;• D'Agostino-Pearson normality tests&lt;</w:t>
            </w:r>
            <w:proofErr w:type="spellStart"/>
            <w:r w:rsidRPr="00E40990">
              <w:t>br</w:t>
            </w:r>
            <w:proofErr w:type="spellEnd"/>
            <w:r w:rsidRPr="00E40990">
              <w:t>&gt;• Student's/Welch's t-tests &amp; Wilcoxon signed-rank tests&lt;</w:t>
            </w:r>
            <w:proofErr w:type="spellStart"/>
            <w:r w:rsidRPr="00E40990">
              <w:t>br</w:t>
            </w:r>
            <w:proofErr w:type="spellEnd"/>
            <w:r w:rsidRPr="00E40990">
              <w:t>&gt;• 2-proportion z-tests&lt;</w:t>
            </w:r>
            <w:proofErr w:type="spellStart"/>
            <w:r w:rsidRPr="00E40990">
              <w:t>br</w:t>
            </w:r>
            <w:proofErr w:type="spellEnd"/>
            <w:r w:rsidRPr="00E40990">
              <w:t>&gt;• Multivariate Logistic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AC5F1" w14:textId="77777777" w:rsidR="00E40990" w:rsidRPr="00E40990" w:rsidRDefault="00E40990" w:rsidP="00E40990">
            <w:pPr>
              <w:pStyle w:val="NormalWeb"/>
              <w:jc w:val="both"/>
            </w:pPr>
            <w:r w:rsidRPr="00E40990">
              <w:t>• Multi-evaluator clinical human review&lt;</w:t>
            </w:r>
            <w:proofErr w:type="spellStart"/>
            <w:r w:rsidRPr="00E40990">
              <w:t>br</w:t>
            </w:r>
            <w:proofErr w:type="spellEnd"/>
            <w:r w:rsidRPr="00E40990">
              <w:t>&gt;• KB-bounded accuracy scoring&lt;</w:t>
            </w:r>
            <w:proofErr w:type="spellStart"/>
            <w:r w:rsidRPr="00E40990">
              <w:t>br</w:t>
            </w:r>
            <w:proofErr w:type="spellEnd"/>
            <w:r w:rsidRPr="00E40990">
              <w:t>&gt;• Comparative benchmark evaluation vs. standard RAG and baseline LLMs&lt;</w:t>
            </w:r>
            <w:proofErr w:type="spellStart"/>
            <w:r w:rsidRPr="00E40990">
              <w:t>br</w:t>
            </w:r>
            <w:proofErr w:type="spellEnd"/>
            <w:r w:rsidRPr="00E40990">
              <w:t>&gt;• Custom user usability profiling</w:t>
            </w:r>
          </w:p>
        </w:tc>
      </w:tr>
      <w:tr w:rsidR="00E40990" w:rsidRPr="00E40990" w14:paraId="28CDDEDF"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1E4D446E" w14:textId="77777777" w:rsidR="00E40990" w:rsidRPr="00E40990" w:rsidRDefault="00E40990" w:rsidP="00E40990">
            <w:pPr>
              <w:pStyle w:val="NormalWeb"/>
              <w:jc w:val="both"/>
            </w:pPr>
            <w:r w:rsidRPr="00E40990">
              <w:rPr>
                <w:b/>
                <w:bCs/>
              </w:rPr>
              <w:t>Proposed Solution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6F8A5" w14:textId="77777777" w:rsidR="00E40990" w:rsidRPr="00E40990" w:rsidRDefault="00E40990" w:rsidP="00E40990">
            <w:pPr>
              <w:pStyle w:val="NormalWeb"/>
              <w:jc w:val="both"/>
            </w:pPr>
            <w:r w:rsidRPr="00E40990">
              <w:t xml:space="preserve">• </w:t>
            </w:r>
            <w:r w:rsidRPr="00E40990">
              <w:rPr>
                <w:b/>
                <w:bCs/>
              </w:rPr>
              <w:t>Tiered Field Triage</w:t>
            </w:r>
            <w:r w:rsidRPr="00E40990">
              <w:t>&lt;</w:t>
            </w:r>
            <w:proofErr w:type="spellStart"/>
            <w:r w:rsidRPr="00E40990">
              <w:t>br</w:t>
            </w:r>
            <w:proofErr w:type="spellEnd"/>
            <w:r w:rsidRPr="00E40990">
              <w:t>&gt;• CHW Doorstep Screening \</w:t>
            </w:r>
            <w:proofErr w:type="spellStart"/>
            <w:r w:rsidRPr="00E40990">
              <w:t>rightarrow</w:t>
            </w:r>
            <w:proofErr w:type="spellEnd"/>
            <w:r w:rsidRPr="00E40990">
              <w:t xml:space="preserve"> AI-CDSS Risk Classification \</w:t>
            </w:r>
            <w:proofErr w:type="spellStart"/>
            <w:r w:rsidRPr="00E40990">
              <w:t>rightarrow</w:t>
            </w:r>
            <w:proofErr w:type="spellEnd"/>
            <w:r w:rsidRPr="00E40990">
              <w:t xml:space="preserve"> Medical Assistant Consultation \</w:t>
            </w:r>
            <w:proofErr w:type="spellStart"/>
            <w:r w:rsidRPr="00E40990">
              <w:t>rightarrow</w:t>
            </w:r>
            <w:proofErr w:type="spellEnd"/>
            <w:r w:rsidRPr="00E40990">
              <w:t xml:space="preserve"> Telemedicine GP Doctor \</w:t>
            </w:r>
            <w:proofErr w:type="spellStart"/>
            <w:r w:rsidRPr="00E40990">
              <w:t>rightarrow</w:t>
            </w:r>
            <w:proofErr w:type="spellEnd"/>
            <w:r w:rsidRPr="00E40990">
              <w:t xml:space="preserve"> Hospital Referral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D8CC2" w14:textId="77777777" w:rsidR="00E40990" w:rsidRPr="00E40990" w:rsidRDefault="00E40990" w:rsidP="00E40990">
            <w:pPr>
              <w:pStyle w:val="NormalWeb"/>
              <w:jc w:val="both"/>
            </w:pPr>
            <w:r w:rsidRPr="00E40990">
              <w:t xml:space="preserve">• </w:t>
            </w:r>
            <w:r w:rsidRPr="00E40990">
              <w:rPr>
                <w:b/>
                <w:bCs/>
              </w:rPr>
              <w:t>Multimodal Conversational Pipeline</w:t>
            </w:r>
            <w:r w:rsidRPr="00E40990">
              <w:t>&lt;</w:t>
            </w:r>
            <w:proofErr w:type="spellStart"/>
            <w:r w:rsidRPr="00E40990">
              <w:t>br</w:t>
            </w:r>
            <w:proofErr w:type="spellEnd"/>
            <w:r w:rsidRPr="00E40990">
              <w:t>&gt;• Voice Input \</w:t>
            </w:r>
            <w:proofErr w:type="spellStart"/>
            <w:r w:rsidRPr="00E40990">
              <w:t>rightarrow</w:t>
            </w:r>
            <w:proofErr w:type="spellEnd"/>
            <w:r w:rsidRPr="00E40990">
              <w:t xml:space="preserve"> Wav2Vec ASR \</w:t>
            </w:r>
            <w:proofErr w:type="spellStart"/>
            <w:r w:rsidRPr="00E40990">
              <w:t>rightarrow</w:t>
            </w:r>
            <w:proofErr w:type="spellEnd"/>
            <w:r w:rsidRPr="00E40990">
              <w:t xml:space="preserve"> Task-QG Query Gen \</w:t>
            </w:r>
            <w:proofErr w:type="spellStart"/>
            <w:r w:rsidRPr="00E40990">
              <w:t>rightarrow</w:t>
            </w:r>
            <w:proofErr w:type="spellEnd"/>
            <w:r w:rsidRPr="00E40990">
              <w:t xml:space="preserve"> E5 Vector Retrieval \</w:t>
            </w:r>
            <w:proofErr w:type="spellStart"/>
            <w:r w:rsidRPr="00E40990">
              <w:t>rightarrow</w:t>
            </w:r>
            <w:proofErr w:type="spellEnd"/>
            <w:r w:rsidRPr="00E40990">
              <w:t xml:space="preserve"> 7-Step </w:t>
            </w:r>
            <w:proofErr w:type="spellStart"/>
            <w:r w:rsidRPr="00E40990">
              <w:t>CoT</w:t>
            </w:r>
            <w:proofErr w:type="spellEnd"/>
            <w:r w:rsidRPr="00E40990">
              <w:t xml:space="preserve"> Task-AG Reasoning \</w:t>
            </w:r>
            <w:proofErr w:type="spellStart"/>
            <w:r w:rsidRPr="00E40990">
              <w:t>rightarrow</w:t>
            </w:r>
            <w:proofErr w:type="spellEnd"/>
            <w:r w:rsidRPr="00E40990">
              <w:t xml:space="preserve"> VITS TTS \</w:t>
            </w:r>
            <w:proofErr w:type="spellStart"/>
            <w:r w:rsidRPr="00E40990">
              <w:t>rightarrow</w:t>
            </w:r>
            <w:proofErr w:type="spellEnd"/>
            <w:r w:rsidRPr="00E40990">
              <w:t xml:space="preserve"> Voice Output</w:t>
            </w:r>
          </w:p>
        </w:tc>
      </w:tr>
      <w:tr w:rsidR="00E40990" w:rsidRPr="00E40990" w14:paraId="51B069B6"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7CEBD62B" w14:textId="77777777" w:rsidR="00E40990" w:rsidRPr="00E40990" w:rsidRDefault="00E40990" w:rsidP="00E40990">
            <w:pPr>
              <w:pStyle w:val="NormalWeb"/>
              <w:jc w:val="both"/>
            </w:pPr>
            <w:r w:rsidRPr="00E40990">
              <w:rPr>
                <w:b/>
                <w:bCs/>
              </w:rPr>
              <w:lastRenderedPageBreak/>
              <w:t>Evaluation Framework &amp; Metrics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4228F" w14:textId="77777777" w:rsidR="00E40990" w:rsidRPr="00E40990" w:rsidRDefault="00E40990" w:rsidP="00E40990">
            <w:pPr>
              <w:pStyle w:val="NormalWeb"/>
              <w:jc w:val="both"/>
            </w:pPr>
            <w:r w:rsidRPr="00E40990">
              <w:t xml:space="preserve">• Longitudinal vital changes across three 6-month periods (BMI, Systolic/Diastolic BP, Glucose, Child </w:t>
            </w:r>
            <w:proofErr w:type="gramStart"/>
            <w:r w:rsidRPr="00E40990">
              <w:t>MUAC)&lt;</w:t>
            </w:r>
            <w:proofErr w:type="spellStart"/>
            <w:proofErr w:type="gramEnd"/>
            <w:r w:rsidRPr="00E40990">
              <w:t>br</w:t>
            </w:r>
            <w:proofErr w:type="spellEnd"/>
            <w:r w:rsidRPr="00E40990">
              <w:t>&gt;• Multivariate Risk Factor Odds Ratios (OR)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EBA5E" w14:textId="77777777" w:rsidR="00E40990" w:rsidRPr="00E40990" w:rsidRDefault="00E40990" w:rsidP="00E40990">
            <w:pPr>
              <w:pStyle w:val="NormalWeb"/>
              <w:jc w:val="both"/>
            </w:pPr>
            <w:r w:rsidRPr="00E40990">
              <w:t>• Clinical correctness %&lt;</w:t>
            </w:r>
            <w:proofErr w:type="spellStart"/>
            <w:r w:rsidRPr="00E40990">
              <w:t>br</w:t>
            </w:r>
            <w:proofErr w:type="spellEnd"/>
            <w:r w:rsidRPr="00E40990">
              <w:t>&gt;• Partial correctness %&lt;</w:t>
            </w:r>
            <w:proofErr w:type="spellStart"/>
            <w:r w:rsidRPr="00E40990">
              <w:t>br</w:t>
            </w:r>
            <w:proofErr w:type="spellEnd"/>
            <w:r w:rsidRPr="00E40990">
              <w:t>&gt;• Incorrect/hallucination %&lt;</w:t>
            </w:r>
            <w:proofErr w:type="spellStart"/>
            <w:r w:rsidRPr="00E40990">
              <w:t>br</w:t>
            </w:r>
            <w:proofErr w:type="spellEnd"/>
            <w:r w:rsidRPr="00E40990">
              <w:t>&gt;• Safety refusal %&lt;</w:t>
            </w:r>
            <w:proofErr w:type="spellStart"/>
            <w:r w:rsidRPr="00E40990">
              <w:t>br</w:t>
            </w:r>
            <w:proofErr w:type="spellEnd"/>
            <w:r w:rsidRPr="00E40990">
              <w:t>&gt;• Usability/relevance scores</w:t>
            </w:r>
          </w:p>
        </w:tc>
      </w:tr>
      <w:tr w:rsidR="00E40990" w:rsidRPr="00E40990" w14:paraId="684D8590"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77D4427B" w14:textId="77777777" w:rsidR="00E40990" w:rsidRPr="00E40990" w:rsidRDefault="00E40990" w:rsidP="00E40990">
            <w:pPr>
              <w:pStyle w:val="NormalWeb"/>
              <w:jc w:val="both"/>
            </w:pPr>
            <w:r w:rsidRPr="00E40990">
              <w:rPr>
                <w:b/>
                <w:bCs/>
              </w:rPr>
              <w:t>Main Empirical Results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760F2" w14:textId="77777777" w:rsidR="00E40990" w:rsidRPr="00E40990" w:rsidRDefault="00E40990" w:rsidP="00E40990">
            <w:pPr>
              <w:pStyle w:val="NormalWeb"/>
              <w:jc w:val="both"/>
            </w:pPr>
            <w:r w:rsidRPr="00E40990">
              <w:t>• Significant improvements in normal BMI (64.90% \</w:t>
            </w:r>
            <w:proofErr w:type="spellStart"/>
            <w:r w:rsidRPr="00E40990">
              <w:t>rightarrow</w:t>
            </w:r>
            <w:proofErr w:type="spellEnd"/>
            <w:r w:rsidRPr="00E40990">
              <w:t xml:space="preserve"> 68.59%), normal BP (72.50% \</w:t>
            </w:r>
            <w:proofErr w:type="spellStart"/>
            <w:r w:rsidRPr="00E40990">
              <w:t>rightarrow</w:t>
            </w:r>
            <w:proofErr w:type="spellEnd"/>
            <w:r w:rsidRPr="00E40990">
              <w:t xml:space="preserve"> 82.19%), and child nourishment (82.87% \</w:t>
            </w:r>
            <w:proofErr w:type="spellStart"/>
            <w:r w:rsidRPr="00E40990">
              <w:t>rightarrow</w:t>
            </w:r>
            <w:proofErr w:type="spellEnd"/>
            <w:r w:rsidRPr="00E40990">
              <w:t xml:space="preserve"> 93.17</w:t>
            </w:r>
            <w:proofErr w:type="gramStart"/>
            <w:r w:rsidRPr="00E40990">
              <w:t>%)&lt;</w:t>
            </w:r>
            <w:proofErr w:type="spellStart"/>
            <w:proofErr w:type="gramEnd"/>
            <w:r w:rsidRPr="00E40990">
              <w:t>br</w:t>
            </w:r>
            <w:proofErr w:type="spellEnd"/>
            <w:r w:rsidRPr="00E40990">
              <w:t>&gt;• Glucose metrics skewed by fee-based testing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EEBEC" w14:textId="77777777" w:rsidR="00E40990" w:rsidRPr="00E40990" w:rsidRDefault="00E40990" w:rsidP="00E40990">
            <w:pPr>
              <w:pStyle w:val="NormalWeb"/>
              <w:jc w:val="both"/>
            </w:pPr>
            <w:r w:rsidRPr="00E40990">
              <w:t>• Achieved 86.68% KB-bounded accuracy&lt;</w:t>
            </w:r>
            <w:proofErr w:type="spellStart"/>
            <w:r w:rsidRPr="00E40990">
              <w:t>br</w:t>
            </w:r>
            <w:proofErr w:type="spellEnd"/>
            <w:r w:rsidRPr="00E40990">
              <w:t xml:space="preserve">&gt;• 61.9% overall correctness on pilot queries (vs. 40.4% RAG, 45.8% baseline Llama </w:t>
            </w:r>
            <w:proofErr w:type="gramStart"/>
            <w:r w:rsidRPr="00E40990">
              <w:t>3)&lt;</w:t>
            </w:r>
            <w:proofErr w:type="spellStart"/>
            <w:proofErr w:type="gramEnd"/>
            <w:r w:rsidRPr="00E40990">
              <w:t>br</w:t>
            </w:r>
            <w:proofErr w:type="spellEnd"/>
            <w:r w:rsidRPr="00E40990">
              <w:t>&gt;• Reduced hallucinations to 8.6%&lt;</w:t>
            </w:r>
            <w:proofErr w:type="spellStart"/>
            <w:r w:rsidRPr="00E40990">
              <w:t>br</w:t>
            </w:r>
            <w:proofErr w:type="spellEnd"/>
            <w:r w:rsidRPr="00E40990">
              <w:t>&gt;• 100% safe refusal on out-of-scope queries</w:t>
            </w:r>
          </w:p>
        </w:tc>
      </w:tr>
      <w:tr w:rsidR="00E40990" w:rsidRPr="00E40990" w14:paraId="02827491" w14:textId="77777777" w:rsidTr="00E40990">
        <w:tc>
          <w:tcPr>
            <w:tcW w:w="0" w:type="auto"/>
            <w:tcBorders>
              <w:top w:val="outset" w:sz="6" w:space="0" w:color="auto"/>
              <w:left w:val="outset" w:sz="6" w:space="0" w:color="auto"/>
              <w:bottom w:val="outset" w:sz="6" w:space="0" w:color="auto"/>
              <w:right w:val="outset" w:sz="6" w:space="0" w:color="auto"/>
            </w:tcBorders>
            <w:vAlign w:val="center"/>
            <w:hideMark/>
          </w:tcPr>
          <w:p w14:paraId="0109D46F" w14:textId="77777777" w:rsidR="00E40990" w:rsidRPr="00E40990" w:rsidRDefault="00E40990" w:rsidP="00E40990">
            <w:pPr>
              <w:pStyle w:val="NormalWeb"/>
              <w:jc w:val="both"/>
            </w:pPr>
            <w:r w:rsidRPr="00E40990">
              <w:rPr>
                <w:b/>
                <w:bCs/>
              </w:rPr>
              <w:t>Operational Constraints &amp; Limitations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7681C" w14:textId="77777777" w:rsidR="00E40990" w:rsidRPr="00E40990" w:rsidRDefault="00E40990" w:rsidP="00E40990">
            <w:pPr>
              <w:pStyle w:val="NormalWeb"/>
              <w:jc w:val="both"/>
            </w:pPr>
            <w:r w:rsidRPr="00E40990">
              <w:t xml:space="preserve">• </w:t>
            </w:r>
            <w:r w:rsidRPr="00E40990">
              <w:rPr>
                <w:b/>
                <w:bCs/>
              </w:rPr>
              <w:t>Operational Throughput &amp; Workload Constraints</w:t>
            </w:r>
            <w:r w:rsidRPr="00E40990">
              <w:t>&lt;</w:t>
            </w:r>
            <w:proofErr w:type="spellStart"/>
            <w:r w:rsidRPr="00E40990">
              <w:t>br</w:t>
            </w:r>
            <w:proofErr w:type="spellEnd"/>
            <w:r w:rsidRPr="00E40990">
              <w:t>&gt;• Deployment ratio: 1 CHW per 500 households&lt;</w:t>
            </w:r>
            <w:proofErr w:type="spellStart"/>
            <w:r w:rsidRPr="00E40990">
              <w:t>br</w:t>
            </w:r>
            <w:proofErr w:type="spellEnd"/>
            <w:r w:rsidRPr="00E40990">
              <w:t>&gt;• Daytime travel constraints causing 59.70% female skew&lt;</w:t>
            </w:r>
            <w:proofErr w:type="spellStart"/>
            <w:r w:rsidRPr="00E40990">
              <w:t>br</w:t>
            </w:r>
            <w:proofErr w:type="spellEnd"/>
            <w:r w:rsidRPr="00E40990">
              <w:t>&gt;• Physical strip fees causing glucose sample drops (n=1,442 \</w:t>
            </w:r>
            <w:proofErr w:type="spellStart"/>
            <w:r w:rsidRPr="00E40990">
              <w:t>rightarrow</w:t>
            </w:r>
            <w:proofErr w:type="spellEnd"/>
            <w:r w:rsidRPr="00E40990">
              <w:t xml:space="preserve"> </w:t>
            </w:r>
            <w:proofErr w:type="gramStart"/>
            <w:r w:rsidRPr="00E40990">
              <w:t>220)&lt;</w:t>
            </w:r>
            <w:proofErr w:type="spellStart"/>
            <w:proofErr w:type="gramEnd"/>
            <w:r w:rsidRPr="00E40990">
              <w:t>br</w:t>
            </w:r>
            <w:proofErr w:type="spellEnd"/>
            <w:r w:rsidRPr="00E40990">
              <w:t>&gt;• Server referral tracking data loss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1E673" w14:textId="77777777" w:rsidR="00E40990" w:rsidRPr="00E40990" w:rsidRDefault="00E40990" w:rsidP="00E40990">
            <w:pPr>
              <w:pStyle w:val="NormalWeb"/>
              <w:jc w:val="both"/>
            </w:pPr>
            <w:r w:rsidRPr="00E40990">
              <w:t xml:space="preserve">• </w:t>
            </w:r>
            <w:r w:rsidRPr="00E40990">
              <w:rPr>
                <w:b/>
                <w:bCs/>
              </w:rPr>
              <w:t>Computational Latency &amp; Overhead Constraints</w:t>
            </w:r>
            <w:r w:rsidRPr="00E40990">
              <w:t>&lt;</w:t>
            </w:r>
            <w:proofErr w:type="spellStart"/>
            <w:r w:rsidRPr="00E40990">
              <w:t>br</w:t>
            </w:r>
            <w:proofErr w:type="spellEnd"/>
            <w:r w:rsidRPr="00E40990">
              <w:t xml:space="preserve">&gt;• Multi-model GPU inference overhead (ASR + LLM + TTS pipeline </w:t>
            </w:r>
            <w:proofErr w:type="gramStart"/>
            <w:r w:rsidRPr="00E40990">
              <w:t>latency)&lt;</w:t>
            </w:r>
            <w:proofErr w:type="spellStart"/>
            <w:proofErr w:type="gramEnd"/>
            <w:r w:rsidRPr="00E40990">
              <w:t>br</w:t>
            </w:r>
            <w:proofErr w:type="spellEnd"/>
            <w:r w:rsidRPr="00E40990">
              <w:t>&gt;• Llama 3 8B context window limits requiring multi-set chunking&lt;</w:t>
            </w:r>
            <w:proofErr w:type="spellStart"/>
            <w:r w:rsidRPr="00E40990">
              <w:t>br</w:t>
            </w:r>
            <w:proofErr w:type="spellEnd"/>
            <w:r w:rsidRPr="00E40990">
              <w:t>&gt;• Pilot sample size (n=32 adult experts)&lt;</w:t>
            </w:r>
            <w:proofErr w:type="spellStart"/>
            <w:r w:rsidRPr="00E40990">
              <w:t>br</w:t>
            </w:r>
            <w:proofErr w:type="spellEnd"/>
            <w:r w:rsidRPr="00E40990">
              <w:t xml:space="preserve">&gt;• </w:t>
            </w:r>
            <w:proofErr w:type="spellStart"/>
            <w:r w:rsidRPr="00E40990">
              <w:t>Banglish</w:t>
            </w:r>
            <w:proofErr w:type="spellEnd"/>
            <w:r w:rsidRPr="00E40990">
              <w:t xml:space="preserve"> parsing failures &amp; 25.0% perceived artificiality</w:t>
            </w:r>
          </w:p>
        </w:tc>
      </w:tr>
    </w:tbl>
    <w:p w14:paraId="61BE8749" w14:textId="77777777" w:rsidR="00E40990" w:rsidRPr="00E40990" w:rsidRDefault="00E40990" w:rsidP="00E40990">
      <w:pPr>
        <w:pStyle w:val="NormalWeb"/>
        <w:jc w:val="both"/>
      </w:pPr>
      <w:r w:rsidRPr="00E40990">
        <w:t>Mastery of specialized methodology and technical terminology is essential for defending these research frameworks in academic contexts.</w:t>
      </w:r>
    </w:p>
    <w:p w14:paraId="6558E698" w14:textId="77777777" w:rsidR="00E40990" w:rsidRPr="00E40990" w:rsidRDefault="00E40990" w:rsidP="00E40990">
      <w:pPr>
        <w:pStyle w:val="Heading2"/>
        <w:jc w:val="both"/>
      </w:pPr>
      <w:r w:rsidRPr="00E40990">
        <w:t>Section 5: Technical &amp; Methodological Glossary</w:t>
      </w:r>
    </w:p>
    <w:p w14:paraId="1E93355B" w14:textId="77777777" w:rsidR="00E40990" w:rsidRPr="00E40990" w:rsidRDefault="00E40990" w:rsidP="00E40990">
      <w:pPr>
        <w:pStyle w:val="Heading3"/>
        <w:jc w:val="both"/>
      </w:pPr>
      <w:r w:rsidRPr="00E40990">
        <w:t>Paper 3 Technical Terms (Zaman et al., 2025)</w:t>
      </w:r>
    </w:p>
    <w:p w14:paraId="10729943" w14:textId="77777777" w:rsidR="00E40990" w:rsidRPr="00E40990" w:rsidRDefault="00E40990" w:rsidP="00E40990">
      <w:pPr>
        <w:numPr>
          <w:ilvl w:val="0"/>
          <w:numId w:val="7"/>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Clinical Decision Support System (CDSS):</w:t>
      </w:r>
      <w:r w:rsidRPr="00E40990">
        <w:rPr>
          <w:rFonts w:ascii="Times New Roman" w:hAnsi="Times New Roman" w:cs="Times New Roman"/>
        </w:rPr>
        <w:t xml:space="preserve"> An interactive software algorithm that evaluates patient diagnostic data and vital signs against clinical rules to assist healthcare personnel in automated risk stratification, preliminary diagnosis, and triage referrals.</w:t>
      </w:r>
    </w:p>
    <w:p w14:paraId="176E5178" w14:textId="77777777" w:rsidR="00E40990" w:rsidRPr="00E40990" w:rsidRDefault="00E40990" w:rsidP="00E40990">
      <w:pPr>
        <w:numPr>
          <w:ilvl w:val="0"/>
          <w:numId w:val="7"/>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Repeated Cross-Sectional Observational Study:</w:t>
      </w:r>
      <w:r w:rsidRPr="00E40990">
        <w:rPr>
          <w:rFonts w:ascii="Times New Roman" w:hAnsi="Times New Roman" w:cs="Times New Roman"/>
        </w:rPr>
        <w:t xml:space="preserve"> A research design in which data are collected from a defined population at multiple discrete time intervals (e.g., every six months over 18 months), analyzing independent population snapshots to evaluate trends and intervention impact while mitigating long-term cohort attrition in mobile rural populations.</w:t>
      </w:r>
    </w:p>
    <w:p w14:paraId="7E382FEC" w14:textId="77777777" w:rsidR="00E40990" w:rsidRPr="00E40990" w:rsidRDefault="00E40990" w:rsidP="00E40990">
      <w:pPr>
        <w:numPr>
          <w:ilvl w:val="0"/>
          <w:numId w:val="7"/>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Mid-Upper Arm Circumference (MUAC):</w:t>
      </w:r>
      <w:r w:rsidRPr="00E40990">
        <w:rPr>
          <w:rFonts w:ascii="Times New Roman" w:hAnsi="Times New Roman" w:cs="Times New Roman"/>
        </w:rPr>
        <w:t xml:space="preserve"> A standardized physiological measurement taken at the midpoint of the upper arm, utilized as a rapid, reliable screening metric for identifying acute malnutrition and nutritional status in children under seven years of age.</w:t>
      </w:r>
    </w:p>
    <w:p w14:paraId="4C936DF0" w14:textId="77777777" w:rsidR="00E40990" w:rsidRPr="00E40990" w:rsidRDefault="00E40990" w:rsidP="00E40990">
      <w:pPr>
        <w:numPr>
          <w:ilvl w:val="0"/>
          <w:numId w:val="7"/>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Multivariate Logistic Regression &amp; Odds Ratio (OR):</w:t>
      </w:r>
      <w:r w:rsidRPr="00E40990">
        <w:rPr>
          <w:rFonts w:ascii="Times New Roman" w:hAnsi="Times New Roman" w:cs="Times New Roman"/>
        </w:rPr>
        <w:t xml:space="preserve"> A statistical modeling technique that measures the probability of a binary outcome (e.g., presence or absence of disease) based on multiple predictor variables simultaneously, yielding Odds Ratios (OR) with 95% Confidence Intervals (CI) that quantify the relative strength and directional vector of risk factor associations.</w:t>
      </w:r>
    </w:p>
    <w:p w14:paraId="4EED7E1B" w14:textId="77777777" w:rsidR="00E40990" w:rsidRPr="00E40990" w:rsidRDefault="00E40990" w:rsidP="00E40990">
      <w:pPr>
        <w:numPr>
          <w:ilvl w:val="0"/>
          <w:numId w:val="7"/>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 xml:space="preserve">Enriched </w:t>
      </w:r>
      <w:proofErr w:type="spellStart"/>
      <w:r w:rsidRPr="00E40990">
        <w:rPr>
          <w:rFonts w:ascii="Times New Roman" w:hAnsi="Times New Roman" w:cs="Times New Roman"/>
          <w:b/>
          <w:bCs/>
        </w:rPr>
        <w:t>Sastho</w:t>
      </w:r>
      <w:proofErr w:type="spellEnd"/>
      <w:r w:rsidRPr="00E40990">
        <w:rPr>
          <w:rFonts w:ascii="Times New Roman" w:hAnsi="Times New Roman" w:cs="Times New Roman"/>
          <w:b/>
          <w:bCs/>
        </w:rPr>
        <w:t xml:space="preserve"> Application:</w:t>
      </w:r>
      <w:r w:rsidRPr="00E40990">
        <w:rPr>
          <w:rFonts w:ascii="Times New Roman" w:hAnsi="Times New Roman" w:cs="Times New Roman"/>
        </w:rPr>
        <w:t xml:space="preserve"> A specialized Android mobile healthcare application deployed to Health Assistants in the field to register encrypted patient profiles, capture real-time vital readings via IoT integration, execute AI-CDSS risk triage, and issue digital medical referrals.</w:t>
      </w:r>
    </w:p>
    <w:p w14:paraId="080BBD8F" w14:textId="77777777" w:rsidR="00E40990" w:rsidRPr="00E40990" w:rsidRDefault="00E40990" w:rsidP="00E40990">
      <w:pPr>
        <w:numPr>
          <w:ilvl w:val="0"/>
          <w:numId w:val="7"/>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lastRenderedPageBreak/>
        <w:t>Smart Health Kit:</w:t>
      </w:r>
      <w:r w:rsidRPr="00E40990">
        <w:rPr>
          <w:rFonts w:ascii="Times New Roman" w:hAnsi="Times New Roman" w:cs="Times New Roman"/>
        </w:rPr>
        <w:t xml:space="preserve"> A portable diagnostic kit supplied to community health workers containing analogue and IoT-enabled diagnostic hardware, including digital weight scales, an IoT blood pressure cuff, an IoT glucometer, a pulse oximeter, a thermometer, an ECG device, and MUAC measuring tape.</w:t>
      </w:r>
    </w:p>
    <w:p w14:paraId="4573D211" w14:textId="77777777" w:rsidR="00E40990" w:rsidRPr="00E40990" w:rsidRDefault="00E40990" w:rsidP="00E40990">
      <w:pPr>
        <w:numPr>
          <w:ilvl w:val="0"/>
          <w:numId w:val="7"/>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Prehypertension &amp; Non-Communicable Diseases (NCDs):</w:t>
      </w:r>
      <w:r w:rsidRPr="00E40990">
        <w:rPr>
          <w:rFonts w:ascii="Times New Roman" w:hAnsi="Times New Roman" w:cs="Times New Roman"/>
        </w:rPr>
        <w:t xml:space="preserve"> </w:t>
      </w:r>
      <w:r w:rsidRPr="00E40990">
        <w:rPr>
          <w:rFonts w:ascii="Times New Roman" w:hAnsi="Times New Roman" w:cs="Times New Roman"/>
          <w:i/>
          <w:iCs/>
        </w:rPr>
        <w:t>Prehypertension</w:t>
      </w:r>
      <w:r w:rsidRPr="00E40990">
        <w:rPr>
          <w:rFonts w:ascii="Times New Roman" w:hAnsi="Times New Roman" w:cs="Times New Roman"/>
        </w:rPr>
        <w:t xml:space="preserve"> defines a clinical classification where blood pressure readings are elevated above normal baseline levels but below the formal threshold for clinical hypertension, serving as an early indicator of cardiovascular risk. </w:t>
      </w:r>
      <w:r w:rsidRPr="00E40990">
        <w:rPr>
          <w:rFonts w:ascii="Times New Roman" w:hAnsi="Times New Roman" w:cs="Times New Roman"/>
          <w:i/>
          <w:iCs/>
        </w:rPr>
        <w:t>NCDs</w:t>
      </w:r>
      <w:r w:rsidRPr="00E40990">
        <w:rPr>
          <w:rFonts w:ascii="Times New Roman" w:hAnsi="Times New Roman" w:cs="Times New Roman"/>
        </w:rPr>
        <w:t xml:space="preserve"> refer to non-infectious, chronic medical conditions—such as hypertension, diabetes, cardiovascular disease, and stroke—that develop over extended periods and require continuous management.</w:t>
      </w:r>
    </w:p>
    <w:p w14:paraId="074EBC15" w14:textId="77777777" w:rsidR="00E40990" w:rsidRPr="00E40990" w:rsidRDefault="00E40990" w:rsidP="00E40990">
      <w:pPr>
        <w:pStyle w:val="Heading3"/>
        <w:jc w:val="both"/>
      </w:pPr>
      <w:r w:rsidRPr="00E40990">
        <w:t>Paper 4 Technical Terms (Ahamed et al., 2026)</w:t>
      </w:r>
    </w:p>
    <w:p w14:paraId="7292264D" w14:textId="77777777" w:rsidR="00E40990" w:rsidRPr="00E40990" w:rsidRDefault="00E40990" w:rsidP="00E40990">
      <w:pPr>
        <w:numPr>
          <w:ilvl w:val="0"/>
          <w:numId w:val="8"/>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Multimodal Healthcare Copilot:</w:t>
      </w:r>
      <w:r w:rsidRPr="00E40990">
        <w:rPr>
          <w:rFonts w:ascii="Times New Roman" w:hAnsi="Times New Roman" w:cs="Times New Roman"/>
        </w:rPr>
        <w:t xml:space="preserve"> An AI-driven conversational system capable of processing and generating content across multiple input/output modalities (e.g., real-time speech recognition, text processing, and speech synthesis) to assist users in navigating clinical information.</w:t>
      </w:r>
    </w:p>
    <w:p w14:paraId="6BD44C69" w14:textId="77777777" w:rsidR="00E40990" w:rsidRPr="00E40990" w:rsidRDefault="00E40990" w:rsidP="00E40990">
      <w:pPr>
        <w:numPr>
          <w:ilvl w:val="0"/>
          <w:numId w:val="8"/>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Retrieval-Augmented Generation (RAG):</w:t>
      </w:r>
      <w:r w:rsidRPr="00E40990">
        <w:rPr>
          <w:rFonts w:ascii="Times New Roman" w:hAnsi="Times New Roman" w:cs="Times New Roman"/>
        </w:rPr>
        <w:t xml:space="preserve"> An architectural framework that enhances Large Language Model responses by dynamically querying an external, verified database (Knowledge Base) to retrieve relevant reference document passages, grounding LLM text generation strictly within retrieved facts.</w:t>
      </w:r>
    </w:p>
    <w:p w14:paraId="4A843C79" w14:textId="77777777" w:rsidR="00E40990" w:rsidRPr="00E40990" w:rsidRDefault="00E40990" w:rsidP="00E40990">
      <w:pPr>
        <w:numPr>
          <w:ilvl w:val="0"/>
          <w:numId w:val="8"/>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Evidence-Based Medicine (EBM):</w:t>
      </w:r>
      <w:r w:rsidRPr="00E40990">
        <w:rPr>
          <w:rFonts w:ascii="Times New Roman" w:hAnsi="Times New Roman" w:cs="Times New Roman"/>
        </w:rPr>
        <w:t xml:space="preserve"> A structured clinical methodology that integrates the best available, systematically appraised scientific research literature into healthcare decision-making, utilized in AI engineering to bound language model outputs within validated clinical evidence.</w:t>
      </w:r>
    </w:p>
    <w:p w14:paraId="4E10D030" w14:textId="77777777" w:rsidR="00E40990" w:rsidRPr="00E40990" w:rsidRDefault="00E40990" w:rsidP="00E40990">
      <w:pPr>
        <w:numPr>
          <w:ilvl w:val="0"/>
          <w:numId w:val="8"/>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Chain-of-Thought (</w:t>
      </w:r>
      <w:proofErr w:type="spellStart"/>
      <w:r w:rsidRPr="00E40990">
        <w:rPr>
          <w:rFonts w:ascii="Times New Roman" w:hAnsi="Times New Roman" w:cs="Times New Roman"/>
          <w:b/>
          <w:bCs/>
        </w:rPr>
        <w:t>CoT</w:t>
      </w:r>
      <w:proofErr w:type="spellEnd"/>
      <w:r w:rsidRPr="00E40990">
        <w:rPr>
          <w:rFonts w:ascii="Times New Roman" w:hAnsi="Times New Roman" w:cs="Times New Roman"/>
          <w:b/>
          <w:bCs/>
        </w:rPr>
        <w:t>) Prompting:</w:t>
      </w:r>
      <w:r w:rsidRPr="00E40990">
        <w:rPr>
          <w:rFonts w:ascii="Times New Roman" w:hAnsi="Times New Roman" w:cs="Times New Roman"/>
        </w:rPr>
        <w:t xml:space="preserve"> An advanced prompt engineering technique that instructs a Large Language Model to break down complex reasoning tasks into explicit, sequential intermediate steps before generating a final response, significantly reducing logical errors and medical hallucinations.</w:t>
      </w:r>
    </w:p>
    <w:p w14:paraId="760FA04B" w14:textId="77777777" w:rsidR="00E40990" w:rsidRPr="00E40990" w:rsidRDefault="00E40990" w:rsidP="00E40990">
      <w:pPr>
        <w:numPr>
          <w:ilvl w:val="0"/>
          <w:numId w:val="8"/>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Task-QG &amp; Task-AG:</w:t>
      </w:r>
      <w:r w:rsidRPr="00E40990">
        <w:rPr>
          <w:rFonts w:ascii="Times New Roman" w:hAnsi="Times New Roman" w:cs="Times New Roman"/>
        </w:rPr>
        <w:t xml:space="preserve"> The two core </w:t>
      </w:r>
      <w:proofErr w:type="spellStart"/>
      <w:r w:rsidRPr="00E40990">
        <w:rPr>
          <w:rFonts w:ascii="Times New Roman" w:hAnsi="Times New Roman" w:cs="Times New Roman"/>
        </w:rPr>
        <w:t>CoT</w:t>
      </w:r>
      <w:proofErr w:type="spellEnd"/>
      <w:r w:rsidRPr="00E40990">
        <w:rPr>
          <w:rFonts w:ascii="Times New Roman" w:hAnsi="Times New Roman" w:cs="Times New Roman"/>
        </w:rPr>
        <w:t xml:space="preserve"> computational routines in SuSastho.AI: </w:t>
      </w:r>
      <w:r w:rsidRPr="00E40990">
        <w:rPr>
          <w:rFonts w:ascii="Times New Roman" w:hAnsi="Times New Roman" w:cs="Times New Roman"/>
          <w:i/>
          <w:iCs/>
        </w:rPr>
        <w:t>Task-QG (Search Query Generation)</w:t>
      </w:r>
      <w:r w:rsidRPr="00E40990">
        <w:rPr>
          <w:rFonts w:ascii="Times New Roman" w:hAnsi="Times New Roman" w:cs="Times New Roman"/>
        </w:rPr>
        <w:t xml:space="preserve"> extracts clinical intent from user input and conversation history to form vector search strings; </w:t>
      </w:r>
      <w:r w:rsidRPr="00E40990">
        <w:rPr>
          <w:rFonts w:ascii="Times New Roman" w:hAnsi="Times New Roman" w:cs="Times New Roman"/>
          <w:i/>
          <w:iCs/>
        </w:rPr>
        <w:t>Task-AG (Answer Generation)</w:t>
      </w:r>
      <w:r w:rsidRPr="00E40990">
        <w:rPr>
          <w:rFonts w:ascii="Times New Roman" w:hAnsi="Times New Roman" w:cs="Times New Roman"/>
        </w:rPr>
        <w:t xml:space="preserve"> critically evaluates retrieved document sets through a 7-step EBM reasoning pipeline, assigning 0–5 relevance scores before output generation.</w:t>
      </w:r>
    </w:p>
    <w:p w14:paraId="50855BCD" w14:textId="77777777" w:rsidR="00E40990" w:rsidRPr="00E40990" w:rsidRDefault="00E40990" w:rsidP="00E40990">
      <w:pPr>
        <w:numPr>
          <w:ilvl w:val="0"/>
          <w:numId w:val="8"/>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Hamming Distance &amp; Context-Aware Chunking:</w:t>
      </w:r>
      <w:r w:rsidRPr="00E40990">
        <w:rPr>
          <w:rFonts w:ascii="Times New Roman" w:hAnsi="Times New Roman" w:cs="Times New Roman"/>
        </w:rPr>
        <w:t xml:space="preserve"> </w:t>
      </w:r>
      <w:r w:rsidRPr="00E40990">
        <w:rPr>
          <w:rFonts w:ascii="Times New Roman" w:hAnsi="Times New Roman" w:cs="Times New Roman"/>
          <w:i/>
          <w:iCs/>
        </w:rPr>
        <w:t>Context-Aware Chunking</w:t>
      </w:r>
      <w:r w:rsidRPr="00E40990">
        <w:rPr>
          <w:rFonts w:ascii="Times New Roman" w:hAnsi="Times New Roman" w:cs="Times New Roman"/>
        </w:rPr>
        <w:t xml:space="preserve"> breaks medical documents into smaller passages while retaining necessary clinical surroundings to prevent truncated recommendations; </w:t>
      </w:r>
      <w:r w:rsidRPr="00E40990">
        <w:rPr>
          <w:rFonts w:ascii="Times New Roman" w:hAnsi="Times New Roman" w:cs="Times New Roman"/>
          <w:i/>
          <w:iCs/>
        </w:rPr>
        <w:t>Hamming Distance</w:t>
      </w:r>
      <w:r w:rsidRPr="00E40990">
        <w:rPr>
          <w:rFonts w:ascii="Times New Roman" w:hAnsi="Times New Roman" w:cs="Times New Roman"/>
        </w:rPr>
        <w:t xml:space="preserve"> measures character substitution counts between strings to identify and purge duplicate document passages during vector indexing.</w:t>
      </w:r>
    </w:p>
    <w:p w14:paraId="271F995F" w14:textId="77777777" w:rsidR="00E40990" w:rsidRPr="00E40990" w:rsidRDefault="00E40990" w:rsidP="00E40990">
      <w:pPr>
        <w:numPr>
          <w:ilvl w:val="0"/>
          <w:numId w:val="8"/>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Multilingual E5 Embedding Model:</w:t>
      </w:r>
      <w:r w:rsidRPr="00E40990">
        <w:rPr>
          <w:rFonts w:ascii="Times New Roman" w:hAnsi="Times New Roman" w:cs="Times New Roman"/>
        </w:rPr>
        <w:t xml:space="preserve"> A specialized neural embedding transformer that converts text queries and medical document passages across multiple languages (including Bengali) into dense, high-dimensional vector representations, enabling semantic similarity searching.</w:t>
      </w:r>
    </w:p>
    <w:p w14:paraId="6043E36F" w14:textId="3B58B8B3" w:rsidR="00680C1B" w:rsidRPr="00E40990" w:rsidRDefault="00E40990" w:rsidP="00E40990">
      <w:pPr>
        <w:numPr>
          <w:ilvl w:val="0"/>
          <w:numId w:val="8"/>
        </w:numPr>
        <w:spacing w:before="100" w:beforeAutospacing="1" w:after="100" w:afterAutospacing="1" w:line="240" w:lineRule="auto"/>
        <w:jc w:val="both"/>
        <w:rPr>
          <w:rFonts w:ascii="Times New Roman" w:hAnsi="Times New Roman" w:cs="Times New Roman"/>
        </w:rPr>
      </w:pPr>
      <w:r w:rsidRPr="00E40990">
        <w:rPr>
          <w:rFonts w:ascii="Times New Roman" w:hAnsi="Times New Roman" w:cs="Times New Roman"/>
          <w:b/>
          <w:bCs/>
        </w:rPr>
        <w:t>Wav2Vec &amp; VITS Speech Models:</w:t>
      </w:r>
      <w:r w:rsidRPr="00E40990">
        <w:rPr>
          <w:rFonts w:ascii="Times New Roman" w:hAnsi="Times New Roman" w:cs="Times New Roman"/>
        </w:rPr>
        <w:t xml:space="preserve"> Deep learning models powering audio modalities: </w:t>
      </w:r>
      <w:r w:rsidRPr="00E40990">
        <w:rPr>
          <w:rFonts w:ascii="Times New Roman" w:hAnsi="Times New Roman" w:cs="Times New Roman"/>
          <w:i/>
          <w:iCs/>
        </w:rPr>
        <w:t>Wav2Vec</w:t>
      </w:r>
      <w:r w:rsidRPr="00E40990">
        <w:rPr>
          <w:rFonts w:ascii="Times New Roman" w:hAnsi="Times New Roman" w:cs="Times New Roman"/>
        </w:rPr>
        <w:t xml:space="preserve"> is an acoustic speech recognition model paired with a custom 5-gram language model for transcribing spoken audio into text; </w:t>
      </w:r>
      <w:r w:rsidRPr="00E40990">
        <w:rPr>
          <w:rFonts w:ascii="Times New Roman" w:hAnsi="Times New Roman" w:cs="Times New Roman"/>
          <w:i/>
          <w:iCs/>
        </w:rPr>
        <w:t>VITS (Variational Inference with adversarial learning for end-to-end Text-to-Speech)</w:t>
      </w:r>
      <w:r w:rsidRPr="00E40990">
        <w:rPr>
          <w:rFonts w:ascii="Times New Roman" w:hAnsi="Times New Roman" w:cs="Times New Roman"/>
        </w:rPr>
        <w:t xml:space="preserve"> is a neural speech synthesis model used to generate natural, vocalized Bengali responses.</w:t>
      </w:r>
    </w:p>
    <w:sectPr w:rsidR="00680C1B" w:rsidRPr="00E40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76CD0"/>
    <w:multiLevelType w:val="multilevel"/>
    <w:tmpl w:val="802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3192"/>
    <w:multiLevelType w:val="multilevel"/>
    <w:tmpl w:val="D76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32E29"/>
    <w:multiLevelType w:val="multilevel"/>
    <w:tmpl w:val="4F62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16AF6"/>
    <w:multiLevelType w:val="multilevel"/>
    <w:tmpl w:val="4A56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DC32FB"/>
    <w:multiLevelType w:val="multilevel"/>
    <w:tmpl w:val="F09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545AB"/>
    <w:multiLevelType w:val="multilevel"/>
    <w:tmpl w:val="DFB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97D1A"/>
    <w:multiLevelType w:val="multilevel"/>
    <w:tmpl w:val="3BCA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77F3A"/>
    <w:multiLevelType w:val="multilevel"/>
    <w:tmpl w:val="5C3C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
  </w:num>
  <w:num w:numId="4">
    <w:abstractNumId w:val="4"/>
  </w:num>
  <w:num w:numId="5">
    <w:abstractNumId w:val="2"/>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D9"/>
    <w:rsid w:val="00452BB7"/>
    <w:rsid w:val="005C0F32"/>
    <w:rsid w:val="00680C1B"/>
    <w:rsid w:val="008F5ED6"/>
    <w:rsid w:val="009D7679"/>
    <w:rsid w:val="00E40990"/>
    <w:rsid w:val="00F27F24"/>
    <w:rsid w:val="00FC2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9F3EE6C"/>
  <w15:chartTrackingRefBased/>
  <w15:docId w15:val="{70EB210E-19F6-4259-BA2B-0F863B82D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0C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0C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0C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409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C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0C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0C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0C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40990"/>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4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099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09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014867">
      <w:bodyDiv w:val="1"/>
      <w:marLeft w:val="0"/>
      <w:marRight w:val="0"/>
      <w:marTop w:val="0"/>
      <w:marBottom w:val="0"/>
      <w:divBdr>
        <w:top w:val="none" w:sz="0" w:space="0" w:color="auto"/>
        <w:left w:val="none" w:sz="0" w:space="0" w:color="auto"/>
        <w:bottom w:val="none" w:sz="0" w:space="0" w:color="auto"/>
        <w:right w:val="none" w:sz="0" w:space="0" w:color="auto"/>
      </w:divBdr>
    </w:div>
    <w:div w:id="148519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14774</Words>
  <Characters>84217</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nayeem.cuet@gmail.com</dc:creator>
  <cp:keywords/>
  <dc:description/>
  <cp:lastModifiedBy>nayeem.cuet@gmail.com</cp:lastModifiedBy>
  <cp:revision>14</cp:revision>
  <dcterms:created xsi:type="dcterms:W3CDTF">2026-10-02T13:46:00Z</dcterms:created>
  <dcterms:modified xsi:type="dcterms:W3CDTF">2026-10-05T14:16:00Z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53d437d6af49f1ce1a0961e03f1a3a9e6f549791dd502a6536f70b93aa374e4c</vt:lpwstr>
  </property>
</Properties>
</file>