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Calibri" w:cs="Calibri" w:eastAsia="Calibri" w:hAnsi="Calibri"/>
          <w:b/>
          <w:bCs/>
          <w:color w:val="1F3864"/>
          <w:sz w:val="40"/>
          <w:szCs w:val="40"/>
        </w:rPr>
        <w:t xml:space="preserve">Research Paper Study Guide</w:t>
      </w:r>
    </w:p>
    <w:p>
      <w:pPr>
        <w:spacing w:after="100" w:before="0"/>
        <w:jc w:val="center"/>
      </w:pPr>
      <w:r>
        <w:rPr>
          <w:rFonts w:ascii="Calibri" w:cs="Calibri" w:eastAsia="Calibri" w:hAnsi="Calibri"/>
          <w:i/>
          <w:iCs/>
          <w:color w:val="2E74B5"/>
          <w:sz w:val="26"/>
          <w:szCs w:val="26"/>
        </w:rPr>
        <w:t xml:space="preserve">60 Questions | 4 Answer Keys | Comparison Table | Glossary</w:t>
      </w:r>
    </w:p>
    <w:p>
      <w:pPr>
        <w:spacing w:after="500" w:before="0"/>
        <w:jc w:val="center"/>
      </w:pPr>
      <w:r>
        <w:rPr>
          <w:rFonts w:ascii="Calibri" w:cs="Calibri" w:eastAsia="Calibri" w:hAnsi="Calibri"/>
          <w:color w:val="595959"/>
          <w:sz w:val="22"/>
          <w:szCs w:val="22"/>
        </w:rPr>
        <w:t xml:space="preserve">Course: CSE 6093 RMTW | October 2026</w:t>
      </w:r>
    </w:p>
    <w:p>
      <w:r>
        <w:br w:type="page"/>
      </w:r>
    </w:p>
    <w:p>
      <w:pPr>
        <w:pStyle w:val="Heading1"/>
        <w:spacing w:after="120" w:before="360"/>
      </w:pPr>
      <w:r>
        <w:t xml:space="preserve">Paper 1: A Pathway to Carbon-Neutral Healthcare: Exploring the Potential of Rooftop Solar Net Metering and Carbon Credits for Rural Medical Facilities in Bangladesh</w:t>
      </w:r>
    </w:p>
    <w:p>
      <w:pPr>
        <w:spacing w:after="160" w:before="0"/>
      </w:pPr>
      <w:r>
        <w:rPr>
          <w:rFonts w:ascii="Calibri" w:cs="Calibri" w:eastAsia="Calibri" w:hAnsi="Calibri"/>
          <w:i/>
          <w:iCs/>
          <w:color w:val="595959"/>
          <w:sz w:val="20"/>
          <w:szCs w:val="20"/>
        </w:rPr>
        <w:t xml:space="preserve">IET Renewable Power Generation, 2026 — Reza, Hassan, Mamun</w:t>
      </w:r>
    </w:p>
    <w:p>
      <w:pPr>
        <w:pBdr>
          <w:bottom w:val="single" w:color="999999" w:sz="4" w:space="1"/>
        </w:pBdr>
        <w:spacing w:after="100" w:before="100"/>
      </w:pPr>
    </w:p>
    <w:p>
      <w:pPr>
        <w:spacing w:after="40" w:before="120"/>
      </w:pPr>
      <w:r>
        <w:rPr>
          <w:rFonts w:ascii="Calibri" w:cs="Calibri" w:eastAsia="Calibri" w:hAnsi="Calibri"/>
          <w:b/>
          <w:bCs/>
          <w:sz w:val="22"/>
          <w:szCs w:val="22"/>
        </w:rPr>
        <w:t xml:space="preserve">Q1. What specific problem does this paper address regarding rural healthcare facilities in Bangladesh?</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Rural healthcare facilities in Bangladesh face frequent power outages and unreliable electricity supply due to overloaded grids and inadequate rural distribution infrastructure. The country relies heavily on fossil fuels (39.6% gas, 23% coal, 18.6% HFO) for electricity generation, causing high carbon emissions. This power instability hinders delivery of clinical services such as remote consultations and operation of medical equipment.</w:t>
      </w:r>
    </w:p>
    <w:p>
      <w:pPr>
        <w:spacing w:after="40" w:before="120"/>
      </w:pPr>
      <w:r>
        <w:rPr>
          <w:rFonts w:ascii="Calibri" w:cs="Calibri" w:eastAsia="Calibri" w:hAnsi="Calibri"/>
          <w:b/>
          <w:bCs/>
          <w:sz w:val="22"/>
          <w:szCs w:val="22"/>
        </w:rPr>
        <w:t xml:space="preserve">Q2. What research gap does this study address that previous work did not cover?</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Although prior studies examined rooftop solar PV systems for individual buildings and commercial facilities, no study had comprehensively analysed the collective techno-economic impact of rooftop solar NMS on the entire rural healthcare sector of Bangladesh. Furthermore, no prior study had integrated carbon credit revenue as a financial component alongside solar energy revenue in the cost-benefit analysis for this sector. The paper also identifies and addresses gaps in the 2018 and 2025 Net Metering Guidelines.</w:t>
      </w:r>
    </w:p>
    <w:p>
      <w:pPr>
        <w:spacing w:after="40" w:before="120"/>
      </w:pPr>
      <w:r>
        <w:rPr>
          <w:rFonts w:ascii="Calibri" w:cs="Calibri" w:eastAsia="Calibri" w:hAnsi="Calibri"/>
          <w:b/>
          <w:bCs/>
          <w:sz w:val="22"/>
          <w:szCs w:val="22"/>
        </w:rPr>
        <w:t xml:space="preserve">Q3. What are the three primary objectives of this study?</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First, to conduct a techno-economic feasibility assessment of rooftop solar PV net metering systems (NMS) for rural healthcare facilities in Bangladesh. Second, to model the financial impact of integrating carbon credit revenues to maximise the benefits of green energy. Third, to propose specific, actionable amendments to the 2025 Net Metering Guidelines based on the study's findings.</w:t>
      </w:r>
    </w:p>
    <w:p>
      <w:pPr>
        <w:spacing w:after="40" w:before="120"/>
      </w:pPr>
      <w:r>
        <w:rPr>
          <w:rFonts w:ascii="Calibri" w:cs="Calibri" w:eastAsia="Calibri" w:hAnsi="Calibri"/>
          <w:b/>
          <w:bCs/>
          <w:sz w:val="22"/>
          <w:szCs w:val="22"/>
        </w:rPr>
        <w:t xml:space="preserve">Q4. What data was collected and where did it come from?</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Data were collected from 50 real healthcare facilities from different parts of Bangladesh, including Union Health and Family Welfare Centres, 10-bed and 20-bed hospitals. Each facility's data comprised rooftop area (sq-ft), geographic location, monthly energy consumption, and sanctioned load, collected from respective utility offices. Since Bangladesh lies near the Tropic of Cancer, solar irradiance variation is minimal, so an average solar irradiance of 4.59 kWh/m²/day was applied across all 5,424 facilities.</w:t>
      </w:r>
    </w:p>
    <w:p>
      <w:pPr>
        <w:spacing w:after="40" w:before="120"/>
      </w:pPr>
      <w:r>
        <w:rPr>
          <w:rFonts w:ascii="Calibri" w:cs="Calibri" w:eastAsia="Calibri" w:hAnsi="Calibri"/>
          <w:b/>
          <w:bCs/>
          <w:sz w:val="22"/>
          <w:szCs w:val="22"/>
        </w:rPr>
        <w:t xml:space="preserve">Q5. Why was the data from 50 facilities scaled to represent 5,424 facilities?</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There are approximately 5,424 union-level healthcare facilities in Bangladesh, mostly small and operating during daytime, sharing similar load profiles. Since facility-level variation was minimal due to geographic consistency, the study consolidated all 5,424 facilities into a single aggregated unit for system sizing. The total rooftop area was calculated as 70,799 m², with 70% used for installation, yielding an installed capacity of 7.86 MWp AC.</w:t>
      </w:r>
    </w:p>
    <w:p>
      <w:pPr>
        <w:spacing w:after="40" w:before="120"/>
      </w:pPr>
      <w:r>
        <w:rPr>
          <w:rFonts w:ascii="Calibri" w:cs="Calibri" w:eastAsia="Calibri" w:hAnsi="Calibri"/>
          <w:b/>
          <w:bCs/>
          <w:sz w:val="22"/>
          <w:szCs w:val="22"/>
        </w:rPr>
        <w:t xml:space="preserve">Q6. What methodology and 10-step process does the study follow?</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The study is a quantitative techno-economic feasibility study using a structured 10-step methodology: (1) collect rooftop area, (2) measure solar irradiance, (3) calculate PV panel azimuth angle, (4) collect sanctioned load, (5) collect monthly electricity consumption, (6) perform system sizing per the Net Metering Guideline, (7) perform cost-benefit analysis, (8) add carbon credit revenue based on CAGR%, (9) verify accuracy with the SREDA NEM calculator, and (10) perform sensitivity analysis. This combines SREDA's tool with an extended dual-revenue financial model.</w:t>
      </w:r>
    </w:p>
    <w:p>
      <w:pPr>
        <w:spacing w:after="40" w:before="120"/>
      </w:pPr>
      <w:r>
        <w:rPr>
          <w:rFonts w:ascii="Calibri" w:cs="Calibri" w:eastAsia="Calibri" w:hAnsi="Calibri"/>
          <w:b/>
          <w:bCs/>
          <w:sz w:val="22"/>
          <w:szCs w:val="22"/>
        </w:rPr>
        <w:t xml:space="preserve">Q7. What financial metrics are computed and which formulas are used?</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The study computes Net Present Value (NPV), Internal Rate of Return (IRR), Payback Period, and Levelised Cost of Electricity (LCOE). The Grid Emission Factor (GEF = 484 gCO₂/kWh) is applied to estimate CO₂ reductions and carbon credit earnings. Carbon credit revenue is modelled across multiple Compound Annual Growth Rate (CAGR) scenarios (1.5%, 3%, 5%, 0%, −10%, −25%, −50%) to handle market volatility, with initial carbon credit price set at US$5 per unit.</w:t>
      </w:r>
    </w:p>
    <w:p>
      <w:pPr>
        <w:spacing w:after="40" w:before="120"/>
      </w:pPr>
      <w:r>
        <w:rPr>
          <w:rFonts w:ascii="Calibri" w:cs="Calibri" w:eastAsia="Calibri" w:hAnsi="Calibri"/>
          <w:b/>
          <w:bCs/>
          <w:sz w:val="22"/>
          <w:szCs w:val="22"/>
        </w:rPr>
        <w:t xml:space="preserve">Q8. What is the novel financial model contribution of this paper?</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The paper introduces a novel financial model for Bangladesh's rooftop solar sector that integrates revenue from carbon credit sales alongside electricity revenue. Carbon credits (Certified Emission Reductions, CERs) earned under the Clean Development Mechanism (CDM) or voluntary carbon markets are added as a second income stream in the cost-benefit analysis. This dual-revenue approach had not previously been applied to the rooftop solar NMS sector in Bangladesh, representing a unique financial innovation applicable to developing countries.</w:t>
      </w:r>
    </w:p>
    <w:p>
      <w:pPr>
        <w:spacing w:after="40" w:before="120"/>
      </w:pPr>
      <w:r>
        <w:rPr>
          <w:rFonts w:ascii="Calibri" w:cs="Calibri" w:eastAsia="Calibri" w:hAnsi="Calibri"/>
          <w:b/>
          <w:bCs/>
          <w:sz w:val="22"/>
          <w:szCs w:val="22"/>
        </w:rPr>
        <w:t xml:space="preserve">Q9. What type of analysis is performed, and how is the sensitivity analysis structured?</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The study performs quantitative techno-economic analysis with a comprehensive sensitivity analysis. Multiple CAGR scenarios for carbon credit prices (+5%, +3%, +1.5%, 0%, −1.5%, −3%, −5%, −10%, −25%, −50%) are tested to assess robustness under volatile carbon market conditions. Spider charts (Figures 16 and 17) visualise the sensitivity of NPV and IRR to CAGR changes, showing that even at −50% CAGR the NPV remains positive (US$3.38M) and IRR at 7.83%.</w:t>
      </w:r>
    </w:p>
    <w:p>
      <w:pPr>
        <w:spacing w:after="40" w:before="120"/>
      </w:pPr>
      <w:r>
        <w:rPr>
          <w:rFonts w:ascii="Calibri" w:cs="Calibri" w:eastAsia="Calibri" w:hAnsi="Calibri"/>
          <w:b/>
          <w:bCs/>
          <w:sz w:val="22"/>
          <w:szCs w:val="22"/>
        </w:rPr>
        <w:t xml:space="preserve">Q10. What are the key results for energy generation and CO₂ emission reduction?</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The 7.86 MWp system is projected to generate 171.48 GWh of electricity over a 20-year lifetime. The system will reduce approximately 82,999.02 metric tonnes of CO₂ equivalent (MTCO₂e) over the project lifetime, calculated using the GEF of 484 gCO₂/kWh. Annual energy generation starts at around 9,200 MWh and declines gradually as PV efficiency degrades from 99% in year 1 to 83% by year 20.</w:t>
      </w:r>
    </w:p>
    <w:p>
      <w:pPr>
        <w:spacing w:after="40" w:before="120"/>
      </w:pPr>
      <w:r>
        <w:rPr>
          <w:rFonts w:ascii="Calibri" w:cs="Calibri" w:eastAsia="Calibri" w:hAnsi="Calibri"/>
          <w:b/>
          <w:bCs/>
          <w:sz w:val="22"/>
          <w:szCs w:val="22"/>
        </w:rPr>
        <w:t xml:space="preserve">Q11. What are the cost and revenue findings of the cost-benefit analysis?</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The initial investment is US$2.25 million and the total present value investment over 20 years is approximately US$3.59 million (including maintenance at 2%, insurance at 0.5%, and inverter replacement at 25% in year 11). Revenue from solar energy alone is estimated at US$6.94 million in present value. With carbon credits, total combined revenue reaches US$7.319 million at 1.5% CAGR, US$7.374 million at 3% CAGR, and US$7.463 million at 5% CAGR.</w:t>
      </w:r>
    </w:p>
    <w:p>
      <w:pPr>
        <w:spacing w:after="40" w:before="120"/>
      </w:pPr>
      <w:r>
        <w:rPr>
          <w:rFonts w:ascii="Calibri" w:cs="Calibri" w:eastAsia="Calibri" w:hAnsi="Calibri"/>
          <w:b/>
          <w:bCs/>
          <w:sz w:val="22"/>
          <w:szCs w:val="22"/>
        </w:rPr>
        <w:t xml:space="preserve">Q12. What are the NPV, IRR, payback period, and LCOE results?</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At a 5% CAGR for carbon credits, the NPV is US$3.86 million, IRR is 9.85%, payback period is 8.35 years, and LCOE is US$0.0179/kWh. At 0% CAGR (no carbon credit growth), the NPV remains US$3.67 million, IRR 9.31%, and payback 8.52 years. All scenarios produce a significantly lower LCOE (US$0.0179–0.0207/kWh) than the current BREB grid tariff of US$0.0358/kWh, confirming strong financial viability.</w:t>
      </w:r>
    </w:p>
    <w:p>
      <w:pPr>
        <w:spacing w:after="40" w:before="120"/>
      </w:pPr>
      <w:r>
        <w:rPr>
          <w:rFonts w:ascii="Calibri" w:cs="Calibri" w:eastAsia="Calibri" w:hAnsi="Calibri"/>
          <w:b/>
          <w:bCs/>
          <w:sz w:val="22"/>
          <w:szCs w:val="22"/>
        </w:rPr>
        <w:t xml:space="preserve">Q13. What gaps were found in the 2018 and 2025 Net Metering Guidelines and what improvements are recommended?</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The 2018 guideline restricted eligibility to single-phase consumers and capped system size at 70% of sanctioned load with a 10 MW project cap. The 2025 guideline extended eligibility to three-phase consumers and removed the 10 MW cap, but still fails to address consumer billing control, excess power marketing restrictions, OPEX model financial disputes, and PPA rigidity. The paper recommends bonus payments for grid-fed energy, tax exemptions, carbon credit trading access for prosumers, and capacity building for certified installers.</w:t>
      </w:r>
    </w:p>
    <w:p>
      <w:pPr>
        <w:spacing w:after="40" w:before="120"/>
      </w:pPr>
      <w:r>
        <w:rPr>
          <w:rFonts w:ascii="Calibri" w:cs="Calibri" w:eastAsia="Calibri" w:hAnsi="Calibri"/>
          <w:b/>
          <w:bCs/>
          <w:sz w:val="22"/>
          <w:szCs w:val="22"/>
        </w:rPr>
        <w:t xml:space="preserve">Q14. What are the main limitations of this study?</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The solar NMS system does not include battery storage, so it cannot operate during grid outages, limiting reliability benefits. The study aggregates all 5,424 healthcare facilities into a single unit, meaning individual facility performance may vary based on local load profiles, rooftop availability, and local grid conditions. Additionally, the study assumes a constant average solar irradiance of 4.59 kWh/m²/day across Bangladesh, which may not fully capture regional variation.</w:t>
      </w:r>
    </w:p>
    <w:p>
      <w:pPr>
        <w:spacing w:after="40" w:before="120"/>
      </w:pPr>
      <w:r>
        <w:rPr>
          <w:rFonts w:ascii="Calibri" w:cs="Calibri" w:eastAsia="Calibri" w:hAnsi="Calibri"/>
          <w:b/>
          <w:bCs/>
          <w:sz w:val="22"/>
          <w:szCs w:val="22"/>
        </w:rPr>
        <w:t xml:space="preserve">Q15. What are the real-world impacts and applications of this study?</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The study demonstrates that rooftop solar NMS is financially viable for Bangladesh's rural healthcare sector, producing a positive NPV even in declining carbon credit scenarios (−50% CAGR), making it the most cost-effective electricity source after hydropower. Carbon credit revenue can serve as a game-changer for project financing, supporting a carbon-neutral healthcare sector aligned with Bangladesh's Paris Agreement NDC targets. The study's methodology and policy recommendations provide a practical roadmap for governments and investors to scale renewable energy adoption across healthcare in developing countries.</w:t>
      </w:r>
    </w:p>
    <w:p>
      <w:r>
        <w:br w:type="page"/>
      </w:r>
    </w:p>
    <w:p>
      <w:pPr>
        <w:pStyle w:val="Heading1"/>
        <w:spacing w:after="120" w:before="360"/>
      </w:pPr>
      <w:r>
        <w:t xml:space="preserve">Paper 2: Feasibility of Digital Health Services for Educating the Community People Regarding Lifestyle Modification Combating Noncommunicable Diseases</w:t>
      </w:r>
    </w:p>
    <w:p>
      <w:pPr>
        <w:spacing w:after="160" w:before="0"/>
      </w:pPr>
      <w:r>
        <w:rPr>
          <w:rFonts w:ascii="Calibri" w:cs="Calibri" w:eastAsia="Calibri" w:hAnsi="Calibri"/>
          <w:i/>
          <w:iCs/>
          <w:color w:val="595959"/>
          <w:sz w:val="20"/>
          <w:szCs w:val="20"/>
        </w:rPr>
        <w:t xml:space="preserve">HCII 2019, LNCS 11587 — Faruque, Mia, Chowdhury, Sarker, Mamun</w:t>
      </w:r>
    </w:p>
    <w:p>
      <w:pPr>
        <w:pBdr>
          <w:bottom w:val="single" w:color="999999" w:sz="4" w:space="1"/>
        </w:pBdr>
        <w:spacing w:after="100" w:before="100"/>
      </w:pPr>
    </w:p>
    <w:p>
      <w:pPr>
        <w:spacing w:after="40" w:before="120"/>
      </w:pPr>
      <w:r>
        <w:rPr>
          <w:rFonts w:ascii="Calibri" w:cs="Calibri" w:eastAsia="Calibri" w:hAnsi="Calibri"/>
          <w:b/>
          <w:bCs/>
          <w:sz w:val="22"/>
          <w:szCs w:val="22"/>
        </w:rPr>
        <w:t xml:space="preserve">Q1. What is the core problem this paper addresses?</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Non-communicable diseases (NCDs) such as cardiovascular disease, hypertension, and diabetes are a major health crisis in Bangladesh, responsible for 67% of total deaths. The rural population lacks access to affordable and timely preventive healthcare, and most available mHealth apps focus on specific medical conditions rather than community-level NCD prevention. There is a large gap between academic mHealth research and the practical deployment of commercially viable digital health tools in rural public health settings.</w:t>
      </w:r>
    </w:p>
    <w:p>
      <w:pPr>
        <w:spacing w:after="40" w:before="120"/>
      </w:pPr>
      <w:r>
        <w:rPr>
          <w:rFonts w:ascii="Calibri" w:cs="Calibri" w:eastAsia="Calibri" w:hAnsi="Calibri"/>
          <w:b/>
          <w:bCs/>
          <w:sz w:val="22"/>
          <w:szCs w:val="22"/>
        </w:rPr>
        <w:t xml:space="preserve">Q2. What specific research gap does the paper fill?</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Although commercial mobile health applications exist, there is limited published evidence on the content accuracy, usability, and real-world efficacy of commercially launched digital healthcare platforms in rural, low-resource settings in Bangladesh. Most mHealth studies focus on wellness promotion for the general public rather than field-tested NCD prevention in rural communities. This paper evaluates the commercially deployed CMED Health platform in an actual community pilot, directly addressing this evidence gap.</w:t>
      </w:r>
    </w:p>
    <w:p>
      <w:pPr>
        <w:spacing w:after="40" w:before="120"/>
      </w:pPr>
      <w:r>
        <w:rPr>
          <w:rFonts w:ascii="Calibri" w:cs="Calibri" w:eastAsia="Calibri" w:hAnsi="Calibri"/>
          <w:b/>
          <w:bCs/>
          <w:sz w:val="22"/>
          <w:szCs w:val="22"/>
        </w:rPr>
        <w:t xml:space="preserve">Q3. What are the main objectives and purpose of this study?</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The study aims to assess the content quality, usability, and efficacy of the CMED Health digital healthcare platform for preventing major NCDs (cardiovascular diseases, hypertension, and diabetes) and improving primary healthcare in rural communities of Bangladesh. The purpose is to determine whether the CMED digital health service model is feasible for deployment at rural and urban community levels throughout the country.</w:t>
      </w:r>
    </w:p>
    <w:p>
      <w:pPr>
        <w:spacing w:after="40" w:before="120"/>
      </w:pPr>
      <w:r>
        <w:rPr>
          <w:rFonts w:ascii="Calibri" w:cs="Calibri" w:eastAsia="Calibri" w:hAnsi="Calibri"/>
          <w:b/>
          <w:bCs/>
          <w:sz w:val="22"/>
          <w:szCs w:val="22"/>
        </w:rPr>
        <w:t xml:space="preserve">Q4. What is the CMED platform and how does it function?</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CMED (a commercial product of CMED Health Limited) is an IoT-enabled, AI-driven, cloud-based preventive and primary healthcare platform. It uses portable smart medical sensors (measuring BP, blood glucose, SpO₂, pulse, temperature, height, weight, BMI) connected to a smartphone app. The app's Clinical Decision Support System (CDSS) performs health risk assessments, provides instant colour-coded advice, connects users to doctors when risks are detected, and stores sharable cloud-based health records.</w:t>
      </w:r>
    </w:p>
    <w:p>
      <w:pPr>
        <w:spacing w:after="40" w:before="120"/>
      </w:pPr>
      <w:r>
        <w:rPr>
          <w:rFonts w:ascii="Calibri" w:cs="Calibri" w:eastAsia="Calibri" w:hAnsi="Calibri"/>
          <w:b/>
          <w:bCs/>
          <w:sz w:val="22"/>
          <w:szCs w:val="22"/>
        </w:rPr>
        <w:t xml:space="preserve">Q5. What data was used and how was it collected?</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Quantitative data were collected via a semi-structured questionnaire from 393 service receivers during a 6-month pilot in Dhamrai upazila, Dhaka district, covering more than 7,000 households in 21 villages. Qualitative data were gathered through Key Informant Interviews (KII) with service-providing team members, senior staff, and village opinion leaders, and through four Focus Group Discussions (FGDs). Health measurement data were generated automatically by the CMED platform during service delivery over the 6-month period.</w:t>
      </w:r>
    </w:p>
    <w:p>
      <w:pPr>
        <w:spacing w:after="40" w:before="120"/>
      </w:pPr>
      <w:r>
        <w:rPr>
          <w:rFonts w:ascii="Calibri" w:cs="Calibri" w:eastAsia="Calibri" w:hAnsi="Calibri"/>
          <w:b/>
          <w:bCs/>
          <w:sz w:val="22"/>
          <w:szCs w:val="22"/>
        </w:rPr>
        <w:t xml:space="preserve">Q6. What research methodology is used in this paper?</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The study follows the principles and process of Action Research Methodology, combining triangulation of quantitative data, qualitative data, and participant observation. This methodology was chosen because it involves iterative cycles of planning, action, observation, and reflection, making it suitable for evaluating a commercially deployed digital health service in a real-world community setting. Four evaluation components were performed: content analysis, usability testing, health observational study, and efficacy testing.</w:t>
      </w:r>
    </w:p>
    <w:p>
      <w:pPr>
        <w:spacing w:after="40" w:before="120"/>
      </w:pPr>
      <w:r>
        <w:rPr>
          <w:rFonts w:ascii="Calibri" w:cs="Calibri" w:eastAsia="Calibri" w:hAnsi="Calibri"/>
          <w:b/>
          <w:bCs/>
          <w:sz w:val="22"/>
          <w:szCs w:val="22"/>
        </w:rPr>
        <w:t xml:space="preserve">Q7. How was the content of the CDSS evaluated?</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The CDSS content was evaluated by comparing its cut-off values and interpretations with the National Protocol on Diabetes and Hypertension. Medical professionals, health service providers, service supervisors, and NGO management staff evaluated it against national standards as the guiding framework for pilot implementation. Health information incorporated in the digital healthcare model was also validated through an expert consultation workshop held at the policy level.</w:t>
      </w:r>
    </w:p>
    <w:p>
      <w:pPr>
        <w:spacing w:after="40" w:before="120"/>
      </w:pPr>
      <w:r>
        <w:rPr>
          <w:rFonts w:ascii="Calibri" w:cs="Calibri" w:eastAsia="Calibri" w:hAnsi="Calibri"/>
          <w:b/>
          <w:bCs/>
          <w:sz w:val="22"/>
          <w:szCs w:val="22"/>
        </w:rPr>
        <w:t xml:space="preserve">Q8. How was usability assessed, and what were the findings?</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Usability was assessed through a testing-and-fixing process where field health service providers and management staff evaluated app interfaces in real working conditions, determining how well the app functioned for its intended purpose. All respondents reported positive feedback about usability, and both smart devices and the app were found more effective than manual methods, particularly for identifying diabetic and hypertensive patients. Respondents appreciated instant on-screen results, access to previous records, and real-time CDSS health advice.</w:t>
      </w:r>
    </w:p>
    <w:p>
      <w:pPr>
        <w:spacing w:after="40" w:before="120"/>
      </w:pPr>
      <w:r>
        <w:rPr>
          <w:rFonts w:ascii="Calibri" w:cs="Calibri" w:eastAsia="Calibri" w:hAnsi="Calibri"/>
          <w:b/>
          <w:bCs/>
          <w:sz w:val="22"/>
          <w:szCs w:val="22"/>
        </w:rPr>
        <w:t xml:space="preserve">Q9. What quantitative health findings were reported during the pilot?</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During the 6-month pilot, 17,907 adults out of 32,122 received primary health screening. Among all measurements, BP, BMI, and SpO₂ were the three most frequently taken (BP=36,326; SpO₂=38,400; BMI=34,721), while glucose (1,348) and MUAC (1,229) were less frequent. About 99.5% of the respondents exhibited satisfaction with CMED digital health services, indicating very high acceptance.</w:t>
      </w:r>
    </w:p>
    <w:p>
      <w:pPr>
        <w:spacing w:after="40" w:before="120"/>
      </w:pPr>
      <w:r>
        <w:rPr>
          <w:rFonts w:ascii="Calibri" w:cs="Calibri" w:eastAsia="Calibri" w:hAnsi="Calibri"/>
          <w:b/>
          <w:bCs/>
          <w:sz w:val="22"/>
          <w:szCs w:val="22"/>
        </w:rPr>
        <w:t xml:space="preserve">Q10. What were the key efficacy findings related to NCD detection?</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Before screening, only 2.7% of the population knew they had diabetes, but after blood glucose measurement with CMED, 15.8% were found to have diabetes — revealing a large undetected burden. Similarly, only 6.5% knew they had hypertension, but after screening 11.5% were identified as hypertensive. These findings demonstrate the platform's significant efficacy in uncovering previously undiagnosed NCDs in rural communities.</w:t>
      </w:r>
    </w:p>
    <w:p>
      <w:pPr>
        <w:spacing w:after="40" w:before="120"/>
      </w:pPr>
      <w:r>
        <w:rPr>
          <w:rFonts w:ascii="Calibri" w:cs="Calibri" w:eastAsia="Calibri" w:hAnsi="Calibri"/>
          <w:b/>
          <w:bCs/>
          <w:sz w:val="22"/>
          <w:szCs w:val="22"/>
        </w:rPr>
        <w:t xml:space="preserve">Q11. What type of analysis was used in this study?</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The study uses a mixed-methods analysis combining quantitative analysis of health screening data (descriptive statistics and questionnaire responses) with qualitative analysis of KII and FGD transcripts. Qualitative data were recorded, transcribed, and presented as direct speech-mark quotes to illustrate community perspectives. This triangulated approach follows Action Research principles, allowing both statistical and narrative insights.</w:t>
      </w:r>
    </w:p>
    <w:p>
      <w:pPr>
        <w:spacing w:after="40" w:before="120"/>
      </w:pPr>
      <w:r>
        <w:rPr>
          <w:rFonts w:ascii="Calibri" w:cs="Calibri" w:eastAsia="Calibri" w:hAnsi="Calibri"/>
          <w:b/>
          <w:bCs/>
          <w:sz w:val="22"/>
          <w:szCs w:val="22"/>
        </w:rPr>
        <w:t xml:space="preserve">Q12. What were the qualitative findings from health workers and service receivers?</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Health visitors reported that before CMED they could not measure BMI manually, struggled to track data efficiently, and now give accurate advice and earn greater community trust. Service receivers reported that visible on-screen results allowed them to trust health data they previously could not verify, and that CDSS advice changed their health behaviour (e.g., starting regular exercise after health alerts). Villagers noted that the digital system is feasible for detecting hypertension and diabetes at the community level.</w:t>
      </w:r>
    </w:p>
    <w:p>
      <w:pPr>
        <w:spacing w:after="40" w:before="120"/>
      </w:pPr>
      <w:r>
        <w:rPr>
          <w:rFonts w:ascii="Calibri" w:cs="Calibri" w:eastAsia="Calibri" w:hAnsi="Calibri"/>
          <w:b/>
          <w:bCs/>
          <w:sz w:val="22"/>
          <w:szCs w:val="22"/>
        </w:rPr>
        <w:t xml:space="preserve">Q13. What were the main advantages identified for the CMED platform?</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Seven advantages were identified: (1) supervisors can monitor health workers and identify service gaps; (2) increased data usability for socioeconomic and disease research; (3) health administrators access population-level data via dashboard; (4) simultaneous data collection and storage reduces workload; (5) offline functionality enables uninterrupted service without internet; (6) reduced health worker workload increased efficiency; and (7) real-time CDSS advice increased community NCD awareness and preventive behaviour.</w:t>
      </w:r>
    </w:p>
    <w:p>
      <w:pPr>
        <w:spacing w:after="40" w:before="120"/>
      </w:pPr>
      <w:r>
        <w:rPr>
          <w:rFonts w:ascii="Calibri" w:cs="Calibri" w:eastAsia="Calibri" w:hAnsi="Calibri"/>
          <w:b/>
          <w:bCs/>
          <w:sz w:val="22"/>
          <w:szCs w:val="22"/>
        </w:rPr>
        <w:t xml:space="preserve">Q14. What are the limitations of this study?</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The study acknowledges that actual community behaviour change could not be fully measured due to the short 6-month duration of the pilot. The pilot was conducted in a limited geographic area (Dhamrai upazila), which may limit generalisability to other rural contexts. Additionally, reliance on self-reporting for some efficacy measures and the commercial nature of the platform (not independently validated via a randomised controlled trial) are notable methodological constraints.</w:t>
      </w:r>
    </w:p>
    <w:p>
      <w:pPr>
        <w:spacing w:after="40" w:before="120"/>
      </w:pPr>
      <w:r>
        <w:rPr>
          <w:rFonts w:ascii="Calibri" w:cs="Calibri" w:eastAsia="Calibri" w:hAnsi="Calibri"/>
          <w:b/>
          <w:bCs/>
          <w:sz w:val="22"/>
          <w:szCs w:val="22"/>
        </w:rPr>
        <w:t xml:space="preserve">Q15. What is the real-world impact and recommendation of this paper?</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The paper concludes that the CMED digital preventive and primary healthcare platform is suitable and feasible for use at rural and urban community levels across Bangladesh, as confirmed by both service providers and receivers. It can serve as a primary prevention model to reduce exposure to NCD risk factors and decrease the burden of chronic diseases in low-resource settings. The authors recommend CMED as a cost-effective community health intervention for early-stage disease identification, reducing diagnostic time, follow-up costs, and hospitalisation costs.</w:t>
      </w:r>
    </w:p>
    <w:p>
      <w:r>
        <w:br w:type="page"/>
      </w:r>
    </w:p>
    <w:p>
      <w:pPr>
        <w:pStyle w:val="Heading1"/>
        <w:spacing w:after="120" w:before="360"/>
      </w:pPr>
      <w:r>
        <w:t xml:space="preserve">Paper 3: SuSastho.AI: A Multimodal Medical Copilot for Adolescents Using Evidence-Based Medicine and Large Language Models</w:t>
      </w:r>
    </w:p>
    <w:p>
      <w:pPr>
        <w:spacing w:after="160" w:before="0"/>
      </w:pPr>
      <w:r>
        <w:rPr>
          <w:rFonts w:ascii="Calibri" w:cs="Calibri" w:eastAsia="Calibri" w:hAnsi="Calibri"/>
          <w:i/>
          <w:iCs/>
          <w:color w:val="595959"/>
          <w:sz w:val="20"/>
          <w:szCs w:val="20"/>
        </w:rPr>
        <w:t xml:space="preserve">Informatics in Medicine Unlocked, 2026 — Ahamed, Chowdhury, Zaman et al.</w:t>
      </w:r>
    </w:p>
    <w:p>
      <w:pPr>
        <w:pBdr>
          <w:bottom w:val="single" w:color="999999" w:sz="4" w:space="1"/>
        </w:pBdr>
        <w:spacing w:after="100" w:before="100"/>
      </w:pPr>
    </w:p>
    <w:p>
      <w:pPr>
        <w:spacing w:after="40" w:before="120"/>
      </w:pPr>
      <w:r>
        <w:rPr>
          <w:rFonts w:ascii="Calibri" w:cs="Calibri" w:eastAsia="Calibri" w:hAnsi="Calibri"/>
          <w:b/>
          <w:bCs/>
          <w:sz w:val="22"/>
          <w:szCs w:val="22"/>
        </w:rPr>
        <w:t xml:space="preserve">Q1. What is the problem this paper addresses?</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Bangladeshi adolescents face serious sexual, reproductive, and mental health (SRMH) challenges driven by cultural stigma, poverty, and limited healthcare access. Only 63% have comprehensive SRH knowledge and 63% lack SRH services; only 13% receive mental health support. These deficits lead to high rates of STIs, unintended pregnancies, and serious mental health issues among young people.</w:t>
      </w:r>
    </w:p>
    <w:p>
      <w:pPr>
        <w:spacing w:after="40" w:before="120"/>
      </w:pPr>
      <w:r>
        <w:rPr>
          <w:rFonts w:ascii="Calibri" w:cs="Calibri" w:eastAsia="Calibri" w:hAnsi="Calibri"/>
          <w:b/>
          <w:bCs/>
          <w:sz w:val="22"/>
          <w:szCs w:val="22"/>
        </w:rPr>
        <w:t xml:space="preserve">Q2. What research gap does SuSastho.AI fill?</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Existing chatbots like AdolescentBot and SnehAI relied primarily on predefined rules and limited Q&amp;A formats, could not generate personalised responses, and lacked voice-based interaction. No prior LLM-based, voice-activated, evidence-grounded, and culturally sensitive medical copilot existed specifically for Bangladeshi adolescent SRMH in Bengali and English. SuSastho.AI also addresses common LLM pitfalls — hallucination and bias — by combining RAG, EBM, and Chain of Thought (CoT) reasoning.</w:t>
      </w:r>
    </w:p>
    <w:p>
      <w:pPr>
        <w:spacing w:after="40" w:before="120"/>
      </w:pPr>
      <w:r>
        <w:rPr>
          <w:rFonts w:ascii="Calibri" w:cs="Calibri" w:eastAsia="Calibri" w:hAnsi="Calibri"/>
          <w:b/>
          <w:bCs/>
          <w:sz w:val="22"/>
          <w:szCs w:val="22"/>
        </w:rPr>
        <w:t xml:space="preserve">Q3. What are the main objectives of the SuSastho.AI study?</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The study aims to develop SuSastho.AI, a multimodal (voice and text), evidence-based healthcare copilot for Bangladeshi adolescents addressing SRMH issues. A secondary objective is to evaluate its performance through a pilot study comparing it with RAG + Llama 3 8B and baseline Llama 3 8B. The study also aims to demonstrate a replicable framework for deploying AI health copilots in culturally sensitive, low-resource contexts.</w:t>
      </w:r>
    </w:p>
    <w:p>
      <w:pPr>
        <w:spacing w:after="40" w:before="120"/>
      </w:pPr>
      <w:r>
        <w:rPr>
          <w:rFonts w:ascii="Calibri" w:cs="Calibri" w:eastAsia="Calibri" w:hAnsi="Calibri"/>
          <w:b/>
          <w:bCs/>
          <w:sz w:val="22"/>
          <w:szCs w:val="22"/>
        </w:rPr>
        <w:t xml:space="preserve">Q4. What data and Knowledge Base were used?</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The Knowledge Base (KB) contains 2,063 medical documents spanning 20 SRMH categories, sourced from the Bangladesh Ministry of Health, national NGOs, WHO/UNICEF materials, peer-reviewed literature, and locally produced community-engagement resources. A task-specific fine-tuning dataset of 8,614 examples was curated: 5,396 Task-QG (query generation) and 3,218 Task-AG (answer generation) instances. These examples were developed by clinical experts drawing on FGDs and commonly observed adolescent communication patterns, including colloquial and indirect phrasing.</w:t>
      </w:r>
    </w:p>
    <w:p>
      <w:pPr>
        <w:spacing w:after="40" w:before="120"/>
      </w:pPr>
      <w:r>
        <w:rPr>
          <w:rFonts w:ascii="Calibri" w:cs="Calibri" w:eastAsia="Calibri" w:hAnsi="Calibri"/>
          <w:b/>
          <w:bCs/>
          <w:sz w:val="22"/>
          <w:szCs w:val="22"/>
        </w:rPr>
        <w:t xml:space="preserve">Q5. Why was a task-specific dataset created rather than using a general dataset?</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General datasets do not capture the cultural nuances, colloquial language (including Banglish — Bengali written in English characters), indirect phrasing, and SRMH-specific terminology used by Bangladeshi adolescents. Standard NLP datasets also lack culturally appropriate clinical context for this population. A task-specific dataset grounded in authentic adolescent communication ensures the LLM accurately interprets ambiguous, indirect, and locally phrased queries — a critical challenge in this domain.</w:t>
      </w:r>
    </w:p>
    <w:p>
      <w:pPr>
        <w:spacing w:after="40" w:before="120"/>
      </w:pPr>
      <w:r>
        <w:rPr>
          <w:rFonts w:ascii="Calibri" w:cs="Calibri" w:eastAsia="Calibri" w:hAnsi="Calibri"/>
          <w:b/>
          <w:bCs/>
          <w:sz w:val="22"/>
          <w:szCs w:val="22"/>
        </w:rPr>
        <w:t xml:space="preserve">Q6. What methodology underpins SuSastho.AI's response generation?</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The response generation follows a four-step Evidence-Based Medicine (EBM) protocol: (1) formulate a clinical question from user input, (2) find the best available evidence from the validated KB using semantic similarity search (Multilingual E5), (3) critically assess the evidence for validity and applicability, and (4) integrate the appraised evidence into a tailored response. Chain of Thought (CoT) prompting is embedded in the protocol to guide the LLM through step-by-step clinical reasoning, preventing hallucinations and logical leaps.</w:t>
      </w:r>
    </w:p>
    <w:p>
      <w:pPr>
        <w:spacing w:after="40" w:before="120"/>
      </w:pPr>
      <w:r>
        <w:rPr>
          <w:rFonts w:ascii="Calibri" w:cs="Calibri" w:eastAsia="Calibri" w:hAnsi="Calibri"/>
          <w:b/>
          <w:bCs/>
          <w:sz w:val="22"/>
          <w:szCs w:val="22"/>
        </w:rPr>
        <w:t xml:space="preserve">Q7. What is the system architecture of SuSastho.AI?</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The backend is built with Spring Boot, managing response generation, user profiles, logs, and a real-time monitoring dashboard. The LLM module uses a fine-tuned Llama 3 8B Instruct model for both Task-QG and Task-AG; supporting models include Multilingual E5 for document embedding and retrieval, Wav2Vec and a 5-gram language model for speech recognition, and VITS for speech synthesis. The frontend is built with Flutter, making it compatible with both mobile devices and web applications.</w:t>
      </w:r>
    </w:p>
    <w:p>
      <w:pPr>
        <w:spacing w:after="40" w:before="120"/>
      </w:pPr>
      <w:r>
        <w:rPr>
          <w:rFonts w:ascii="Calibri" w:cs="Calibri" w:eastAsia="Calibri" w:hAnsi="Calibri"/>
          <w:b/>
          <w:bCs/>
          <w:sz w:val="22"/>
          <w:szCs w:val="22"/>
        </w:rPr>
        <w:t xml:space="preserve">Q8. How was the model selected and evolved over the course of the research?</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The team initially experimented with RASA and Chatterbot, which could not handle comprehensive question-answering tasks. Then Bloom was tried but failed due to its focus on text generation only and lack of a conversational variant. RAG with Bloom improved quality but did not fully resolve context recognition issues. The team then adopted Llama 3, whose enhanced Bengali comprehension significantly improved accuracy, leading to the final fine-tuned Llama 3 8B Instruct model.</w:t>
      </w:r>
    </w:p>
    <w:p>
      <w:pPr>
        <w:spacing w:after="40" w:before="120"/>
      </w:pPr>
      <w:r>
        <w:rPr>
          <w:rFonts w:ascii="Calibri" w:cs="Calibri" w:eastAsia="Calibri" w:hAnsi="Calibri"/>
          <w:b/>
          <w:bCs/>
          <w:sz w:val="22"/>
          <w:szCs w:val="22"/>
        </w:rPr>
        <w:t xml:space="preserve">Q9. How was the solution evaluated, and what baselines were used?</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Evaluation used human assessment by SRMH experts and QA experts applying a checklist for accuracy, factual consistency, and relevance; two independent evaluators were used, with a third to resolve disagreements. The pilot study involved 32 adolescent health professionals (81.3% male, mean age 29.5 years) who interacted with the copilot using 428 questions. SuSastho.AI was compared against two baselines: RAG + Llama 3 8B with the validated KB, and baseline Llama 3 8B with no external KB.</w:t>
      </w:r>
    </w:p>
    <w:p>
      <w:pPr>
        <w:spacing w:after="40" w:before="120"/>
      </w:pPr>
      <w:r>
        <w:rPr>
          <w:rFonts w:ascii="Calibri" w:cs="Calibri" w:eastAsia="Calibri" w:hAnsi="Calibri"/>
          <w:b/>
          <w:bCs/>
          <w:sz w:val="22"/>
          <w:szCs w:val="22"/>
        </w:rPr>
        <w:t xml:space="preserve">Q10. What are the main quantitative results?</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SuSastho.AI achieved an overall accuracy of 86.68% correct, 2.57% partially correct, and 10.75% incorrect across 428 questions. In the comparative analysis using the same 428 questions, SuSastho.AI achieved 61.9% correctness, substantially outperforming RAG + Llama 3 (40.4%) and baseline Llama 3 (45.8%). The system reduced incorrect responses by 26.9% compared to RAG and by 16.1% compared to Llama 3, and had a lower no-answer rate (26.9%) than RAG (42.3%).</w:t>
      </w:r>
    </w:p>
    <w:p>
      <w:pPr>
        <w:spacing w:after="40" w:before="120"/>
      </w:pPr>
      <w:r>
        <w:rPr>
          <w:rFonts w:ascii="Calibri" w:cs="Calibri" w:eastAsia="Calibri" w:hAnsi="Calibri"/>
          <w:b/>
          <w:bCs/>
          <w:sz w:val="22"/>
          <w:szCs w:val="22"/>
        </w:rPr>
        <w:t xml:space="preserve">Q11. What were the user satisfaction findings from the usability questionnaire?</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87% of participants found answers to their questions and 90.7% found answers relevant. Overall satisfaction was 62.5% agreed and 21.9% strongly agreed. Response time satisfaction was 71.9% agreed, and 65.6% found the chatbot friendly. However, 25% felt responses seemed robotic and 21.9% disagreed that the copilot fully understood their question, highlighting areas for further improvement.</w:t>
      </w:r>
    </w:p>
    <w:p>
      <w:pPr>
        <w:spacing w:after="40" w:before="120"/>
      </w:pPr>
      <w:r>
        <w:rPr>
          <w:rFonts w:ascii="Calibri" w:cs="Calibri" w:eastAsia="Calibri" w:hAnsi="Calibri"/>
          <w:b/>
          <w:bCs/>
          <w:sz w:val="22"/>
          <w:szCs w:val="22"/>
        </w:rPr>
        <w:t xml:space="preserve">Q12. What were the error patterns identified?</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For questions explicitly covered by the KB, incorrect answers mainly occurred due to the LLM misunderstanding the question or providing irrelevant general solutions. For fictitious (fabricated) answers, 7 out of 8 were asked in Banglish, indicating difficulty with mixed-language input. For questions not covered by the KB, the system correctly refused to answer in most cases (100% system-refusal rate), which was classified as correct behaviour since safety was prioritised.</w:t>
      </w:r>
    </w:p>
    <w:p>
      <w:pPr>
        <w:spacing w:after="40" w:before="120"/>
      </w:pPr>
      <w:r>
        <w:rPr>
          <w:rFonts w:ascii="Calibri" w:cs="Calibri" w:eastAsia="Calibri" w:hAnsi="Calibri"/>
          <w:b/>
          <w:bCs/>
          <w:sz w:val="22"/>
          <w:szCs w:val="22"/>
        </w:rPr>
        <w:t xml:space="preserve">Q13. What are the key limitations of SuSastho.AI?</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The pilot study involved only 32 participants (adolescent health professionals, not actual adolescents), limiting generalisability to the real target user group. The evaluation was entirely human-based, making it time-intensive and difficult to scale. The copilot struggled with Banglish input and culturally indirect language due to limited multilingual training data. Additionally, using the current Llama 3 8B model costs US$0.2 per million tokens, which is cost-effective compared to GPT-4 (approximately 150 times more expensive).</w:t>
      </w:r>
    </w:p>
    <w:p>
      <w:pPr>
        <w:spacing w:after="40" w:before="120"/>
      </w:pPr>
      <w:r>
        <w:rPr>
          <w:rFonts w:ascii="Calibri" w:cs="Calibri" w:eastAsia="Calibri" w:hAnsi="Calibri"/>
          <w:b/>
          <w:bCs/>
          <w:sz w:val="22"/>
          <w:szCs w:val="22"/>
        </w:rPr>
        <w:t xml:space="preserve">Q14. What ethical considerations are discussed?</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Ethical approval was obtained from the Bangladesh Medical Research Council (BMRC) and the Institutional Research Ethics Board (IREB) of United International University before the pilot was conducted. All participants provided informed consent, and data were anonymised. The copilot includes mechanisms to block answers when confidence is low and informs users not to replace professional medical advice with the copilot's responses. Clear disclaimers about potential inaccuracies in medical advice are discussed as an essential requirement.</w:t>
      </w:r>
    </w:p>
    <w:p>
      <w:pPr>
        <w:spacing w:after="40" w:before="120"/>
      </w:pPr>
      <w:r>
        <w:rPr>
          <w:rFonts w:ascii="Calibri" w:cs="Calibri" w:eastAsia="Calibri" w:hAnsi="Calibri"/>
          <w:b/>
          <w:bCs/>
          <w:sz w:val="22"/>
          <w:szCs w:val="22"/>
        </w:rPr>
        <w:t xml:space="preserve">Q15. What are the societal impact and future directions?</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SuSastho.AI has potential to democratise SRMH information access for the 36 million Bangladeshi adolescents who face structural barriers to healthcare, particularly those in urban slums, with disabilities, or in refugee situations. Future work includes expanding capabilities to newborns and elderly care, adding a risk detection system, integrating Clinical Standard Operating Procedures (SOPs), and exploring Reinforcement Learning from Human Feedback (RLHF) and Direct Preference Optimisation (DPO) for quality improvement. The research presents a replicable model for LLM-based health copilots in low-resource, culturally sensitive settings globally.</w:t>
      </w:r>
    </w:p>
    <w:p>
      <w:r>
        <w:br w:type="page"/>
      </w:r>
    </w:p>
    <w:p>
      <w:pPr>
        <w:pStyle w:val="Heading1"/>
        <w:spacing w:after="120" w:before="360"/>
      </w:pPr>
      <w:r>
        <w:t xml:space="preserve">Paper 4: Efficacy of Using a Digital Health Intervention Model Using Community Health Workers for Primary Health Services in Bangladesh: A Repeated Cross-Sectional Observational Study</w:t>
      </w:r>
    </w:p>
    <w:p>
      <w:pPr>
        <w:spacing w:after="160" w:before="0"/>
      </w:pPr>
      <w:r>
        <w:rPr>
          <w:rFonts w:ascii="Calibri" w:cs="Calibri" w:eastAsia="Calibri" w:hAnsi="Calibri"/>
          <w:i/>
          <w:iCs/>
          <w:color w:val="595959"/>
          <w:sz w:val="20"/>
          <w:szCs w:val="20"/>
        </w:rPr>
        <w:t xml:space="preserve">BMC Public Health, 2025 — Zaman, Hridhee, Bhuiyan, Gomes, Rahman, Islam, Sarker, Mamun</w:t>
      </w:r>
    </w:p>
    <w:p>
      <w:pPr>
        <w:pBdr>
          <w:bottom w:val="single" w:color="999999" w:sz="4" w:space="1"/>
        </w:pBdr>
        <w:spacing w:after="100" w:before="100"/>
      </w:pPr>
    </w:p>
    <w:p>
      <w:pPr>
        <w:spacing w:after="40" w:before="120"/>
      </w:pPr>
      <w:r>
        <w:rPr>
          <w:rFonts w:ascii="Calibri" w:cs="Calibri" w:eastAsia="Calibri" w:hAnsi="Calibri"/>
          <w:b/>
          <w:bCs/>
          <w:sz w:val="22"/>
          <w:szCs w:val="22"/>
        </w:rPr>
        <w:t xml:space="preserve">Q1. What problem does this study address in the context of primary healthcare in Bangladesh?</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Rural Bangladesh faces a severe primary healthcare gap due to shortage of healthcare professionals, low health literacy, self-medication practices, and lack of affordable care — resulting in patients reaching healthcare facilities only at advanced disease stages. NCDs are responsible for approximately 67% of total deaths in Bangladesh, yet early detection and prevention are critically underdeveloped in rural settings. The study addresses the urgent need for an effective, scalable digital health model to bridge this gap.</w:t>
      </w:r>
    </w:p>
    <w:p>
      <w:pPr>
        <w:spacing w:after="40" w:before="120"/>
      </w:pPr>
      <w:r>
        <w:rPr>
          <w:rFonts w:ascii="Calibri" w:cs="Calibri" w:eastAsia="Calibri" w:hAnsi="Calibri"/>
          <w:b/>
          <w:bCs/>
          <w:sz w:val="22"/>
          <w:szCs w:val="22"/>
        </w:rPr>
        <w:t xml:space="preserve">Q2. What research gap does this paper fill?</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While previous work (including the 2019 feasibility paper by Faruque et al.) reported on CMED's usability and short-term acceptance, no study had evaluated the longitudinal health outcome improvements produced by this digital health intervention model using CHWs across multiple time periods with a population-level dataset. This paper is the first to conduct a comparative cross-sectional analysis across three consecutive six-month periods to measure actual health metric changes over 18 months of real-world operation.</w:t>
      </w:r>
    </w:p>
    <w:p>
      <w:pPr>
        <w:spacing w:after="40" w:before="120"/>
      </w:pPr>
      <w:r>
        <w:rPr>
          <w:rFonts w:ascii="Calibri" w:cs="Calibri" w:eastAsia="Calibri" w:hAnsi="Calibri"/>
          <w:b/>
          <w:bCs/>
          <w:sz w:val="22"/>
          <w:szCs w:val="22"/>
        </w:rPr>
        <w:t xml:space="preserve">Q3. What are the objectives of this study?</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The study aims to evaluate the effectiveness of the CMED digital health intervention model by observing changes in people's health conditions in a rural area of Bangladesh using a repeated cross-sectional design. Health outcomes (BMI, blood pressure, blood glucose, MUAC) were assessed at six-month intervals over 18 months. Secondary objectives include identifying NCD risk factors using multivariate logistic regression and comparing health metrics across three operational periods.</w:t>
      </w:r>
    </w:p>
    <w:p>
      <w:pPr>
        <w:spacing w:after="40" w:before="120"/>
      </w:pPr>
      <w:r>
        <w:rPr>
          <w:rFonts w:ascii="Calibri" w:cs="Calibri" w:eastAsia="Calibri" w:hAnsi="Calibri"/>
          <w:b/>
          <w:bCs/>
          <w:sz w:val="22"/>
          <w:szCs w:val="22"/>
        </w:rPr>
        <w:t xml:space="preserve">Q4. What study design is used and why?</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A repeated cross-sectional observational study design was used, with three consecutive six-month periods: Period 1 (July–December 2018), Period 2 (January–June 2019), and Period 3 (July–December 2019). This design was chosen because the model conducts monthly household visits and generates repeated measurements for the same community, allowing comparison of health indicators over time without requiring a randomised control group. The design effectively captures the progressive impact of the digital intervention at community level.</w:t>
      </w:r>
    </w:p>
    <w:p>
      <w:pPr>
        <w:spacing w:after="40" w:before="120"/>
      </w:pPr>
      <w:r>
        <w:rPr>
          <w:rFonts w:ascii="Calibri" w:cs="Calibri" w:eastAsia="Calibri" w:hAnsi="Calibri"/>
          <w:b/>
          <w:bCs/>
          <w:sz w:val="22"/>
          <w:szCs w:val="22"/>
        </w:rPr>
        <w:t xml:space="preserve">Q5. What data was used, and how was it collected?</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Data were collected from 32,581 individuals across 7,090 households in the Somvag Union, Bangladesh, from July 2018 to December 2019. Community health workers (CHWs) — 14 in total, one per 500 households — visited each household monthly using a CMED smart health kit and the 'Enriched Sastho' mobile application to collect BMI, blood pressure, blood glucose, and MUAC measurements. Data were stored in Amazon Web Services (AWS) cloud MySQL database and analysed using Python in a Google Colaboratory environment.</w:t>
      </w:r>
    </w:p>
    <w:p>
      <w:pPr>
        <w:spacing w:after="40" w:before="120"/>
      </w:pPr>
      <w:r>
        <w:rPr>
          <w:rFonts w:ascii="Calibri" w:cs="Calibri" w:eastAsia="Calibri" w:hAnsi="Calibri"/>
          <w:b/>
          <w:bCs/>
          <w:sz w:val="22"/>
          <w:szCs w:val="22"/>
        </w:rPr>
        <w:t xml:space="preserve">Q6. What is the role of Community Health Workers (CHWs) in this model?</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CHWs (called Health Assistants/HAs, privately employed by CMED Health) visited every household once a month to collect vital health measurements and input them into digital profiles via the Enriched Sastho app. Each CHW covered 500 households and underwent a two-week training programme in using the smart health kit, operating the mobile app, performing AI-based risk consultations, and delivering preventive health education focusing on NCD risk factors. After health screenings, CHWs assessed risks using the AI-based CDSS and provided digital referrals to medical assistants or GP doctors.</w:t>
      </w:r>
    </w:p>
    <w:p>
      <w:pPr>
        <w:spacing w:after="40" w:before="120"/>
      </w:pPr>
      <w:r>
        <w:rPr>
          <w:rFonts w:ascii="Calibri" w:cs="Calibri" w:eastAsia="Calibri" w:hAnsi="Calibri"/>
          <w:b/>
          <w:bCs/>
          <w:sz w:val="22"/>
          <w:szCs w:val="22"/>
        </w:rPr>
        <w:t xml:space="preserve">Q7. What statistical methods were used for data analysis?</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Descriptive statistics (proportions and 95% confidence intervals) characterised sociodemographic and health measurement data. Multivariate logistic regression with odds ratios (ORs) and 95% CIs identified NCD risk factors (hypertension, diabetes, CVD, stroke). Two-proportion z-tests compared categorical proportions across periods, while the Wilcoxon signed-rank test and Student's t-test compared non-normally and normally distributed variables respectively. D'Agostino and Pearson's test was used to assess normality before selecting the appropriate statistical test.</w:t>
      </w:r>
    </w:p>
    <w:p>
      <w:pPr>
        <w:spacing w:after="40" w:before="120"/>
      </w:pPr>
      <w:r>
        <w:rPr>
          <w:rFonts w:ascii="Calibri" w:cs="Calibri" w:eastAsia="Calibri" w:hAnsi="Calibri"/>
          <w:b/>
          <w:bCs/>
          <w:sz w:val="22"/>
          <w:szCs w:val="22"/>
        </w:rPr>
        <w:t xml:space="preserve">Q8. What were the key sociodemographic characteristics of the study population?</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The total served population of 32,581 was nearly equally split between males (16,508, 50.67%) and females (16,073, 49.33%). Ages 18–35 were the most prevalent age group, accounting for approximately 32.25% of the total served population. Almost 64% of the population were under 35 years, indicating a young and reproductively active community with significant future healthcare needs.</w:t>
      </w:r>
    </w:p>
    <w:p>
      <w:pPr>
        <w:spacing w:after="40" w:before="120"/>
      </w:pPr>
      <w:r>
        <w:rPr>
          <w:rFonts w:ascii="Calibri" w:cs="Calibri" w:eastAsia="Calibri" w:hAnsi="Calibri"/>
          <w:b/>
          <w:bCs/>
          <w:sz w:val="22"/>
          <w:szCs w:val="22"/>
        </w:rPr>
        <w:t xml:space="preserve">Q9. What were the overall health measurement findings (BMI, BP, blood glucose, MUAC)?</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Among the served population aged ≥18: 21.76% were overweight, 8.18% had prehypertension, and 16.45% had high blood glucose; 11% of children under age 7 were malnourished (MUAC). For blood pressure: 78.19% had normal BP and 8.18% had prehypertension. For blood glucose: 70.65% had normal levels, 16.45% had high blood glucose, and 3.83% were classified as diabetic (needing confirmation).</w:t>
      </w:r>
    </w:p>
    <w:p>
      <w:pPr>
        <w:spacing w:after="40" w:before="120"/>
      </w:pPr>
      <w:r>
        <w:rPr>
          <w:rFonts w:ascii="Calibri" w:cs="Calibri" w:eastAsia="Calibri" w:hAnsi="Calibri"/>
          <w:b/>
          <w:bCs/>
          <w:sz w:val="22"/>
          <w:szCs w:val="22"/>
        </w:rPr>
        <w:t xml:space="preserve">Q10. What NCD risk factors were identified by the multivariate logistic regression?</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Age ≥40 was strongly associated with hypertension (OR = 13.56, 95% CI: 12.06–15.24) and diabetes (OR = 3.96, CI: 3.35–4.69). CVD was highly associated with hypertension (OR = 12.50, CI: 7.45–20.73) and stroke (OR = 8.12, CI: 3.76–17.54). Hypertension and diabetes were mutually associated (OR = 7.16, CI: 6.13–8.36), confirming comorbidity patterns consistent with national and global NCD evidence.</w:t>
      </w:r>
    </w:p>
    <w:p>
      <w:pPr>
        <w:spacing w:after="40" w:before="120"/>
      </w:pPr>
      <w:r>
        <w:rPr>
          <w:rFonts w:ascii="Calibri" w:cs="Calibri" w:eastAsia="Calibri" w:hAnsi="Calibri"/>
          <w:b/>
          <w:bCs/>
          <w:sz w:val="22"/>
          <w:szCs w:val="22"/>
        </w:rPr>
        <w:t xml:space="preserve">Q11. What health outcome changes were observed across the three periods?</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Comparative analysis showed statistically significant improvements in BMI, blood pressure, and MUAC across the three periods. Normal BMI proportion increased while the underweight proportion decreased (two-proportion z-tests significant). Normal blood pressure increased from 72.50% in Period 1 to 82.19% in Period 3, with prehypertension declining substantially. Nourished children increased from 82.87% (Period 1) to 93.17% (Period 3) while malnutrition rates declined.</w:t>
      </w:r>
    </w:p>
    <w:p>
      <w:pPr>
        <w:spacing w:after="40" w:before="120"/>
      </w:pPr>
      <w:r>
        <w:rPr>
          <w:rFonts w:ascii="Calibri" w:cs="Calibri" w:eastAsia="Calibri" w:hAnsi="Calibri"/>
          <w:b/>
          <w:bCs/>
          <w:sz w:val="22"/>
          <w:szCs w:val="22"/>
        </w:rPr>
        <w:t xml:space="preserve">Q12. Why did blood glucose measurements not show significant improvement?</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Most people who found normal blood glucose in Period 1 did not feel the need to continue paying for the test in later periods, while those diagnosed with diabetes had uncontrolled blood glucose levels, driving up the proportion of high blood glucose over time. The model charged a small fee for blood glucose tests (unlike BP and BMI which were free), creating a financial barrier that reduced adherence to follow-up testing. This cultural and economic behaviour pattern explains the lack of improvement in blood glucose outcomes.</w:t>
      </w:r>
    </w:p>
    <w:p>
      <w:pPr>
        <w:spacing w:after="40" w:before="120"/>
      </w:pPr>
      <w:r>
        <w:rPr>
          <w:rFonts w:ascii="Calibri" w:cs="Calibri" w:eastAsia="Calibri" w:hAnsi="Calibri"/>
          <w:b/>
          <w:bCs/>
          <w:sz w:val="22"/>
          <w:szCs w:val="22"/>
        </w:rPr>
        <w:t xml:space="preserve">Q13. How was the intervention model's effectiveness assessed?</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Effectiveness was assessed by comparing proportions of health vital results (BMI, BP, blood glucose, MUAC) across three consecutive six-month periods using the latest measurement instance from each period to minimise selection bias. Two-proportion z-tests and the Wilcoxon signed-rank test were applied to determine statistical significance of period-to-period changes. Improvement in BMI, BP, and MUAC was confirmed statistically, while blood glucose showed no significant improvement due to behavioural and economic barriers.</w:t>
      </w:r>
    </w:p>
    <w:p>
      <w:pPr>
        <w:spacing w:after="40" w:before="120"/>
      </w:pPr>
      <w:r>
        <w:rPr>
          <w:rFonts w:ascii="Calibri" w:cs="Calibri" w:eastAsia="Calibri" w:hAnsi="Calibri"/>
          <w:b/>
          <w:bCs/>
          <w:sz w:val="22"/>
          <w:szCs w:val="22"/>
        </w:rPr>
        <w:t xml:space="preserve">Q14. What are the key limitations of this study?</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The study was conducted in only one rural union (Somvag Union), limiting generalisability to other rural settings or urban populations. Gender imbalance in data collection was observed — mostly women, as men were at work during daytime visits — introducing selection bias. Blood glucose testing suffered from low retention due to the paid-test model, and referral follow-up to secondary or tertiary care facilities was limited by server access issues, meaning referral outcomes could not always be tracked.</w:t>
      </w:r>
    </w:p>
    <w:p>
      <w:pPr>
        <w:spacing w:after="40" w:before="120"/>
      </w:pPr>
      <w:r>
        <w:rPr>
          <w:rFonts w:ascii="Calibri" w:cs="Calibri" w:eastAsia="Calibri" w:hAnsi="Calibri"/>
          <w:b/>
          <w:bCs/>
          <w:sz w:val="22"/>
          <w:szCs w:val="22"/>
        </w:rPr>
        <w:t xml:space="preserve">Q15. What are the main conclusions, real-world applications, and recommendations?</w:t>
      </w:r>
    </w:p>
    <w:p>
      <w:pPr>
        <w:spacing w:after="100" w:before="0"/>
        <w:ind w:left="360"/>
      </w:pPr>
      <w:r>
        <w:rPr>
          <w:rFonts w:ascii="Calibri" w:cs="Calibri" w:eastAsia="Calibri" w:hAnsi="Calibri"/>
          <w:b/>
          <w:bCs/>
          <w:sz w:val="22"/>
          <w:szCs w:val="22"/>
        </w:rPr>
        <w:t xml:space="preserve">Answer: </w:t>
      </w:r>
      <w:r>
        <w:rPr>
          <w:rFonts w:ascii="Calibri" w:cs="Calibri" w:eastAsia="Calibri" w:hAnsi="Calibri"/>
          <w:sz w:val="22"/>
          <w:szCs w:val="22"/>
        </w:rPr>
        <w:t xml:space="preserve">The study demonstrates the feasibility and effectiveness of the CMED digital health intervention model in improving primary healthcare outcomes (BMI, BP, MUAC) in rural Bangladesh over 18 months, serving 32,581 individuals from 7,090 households. Integration of AI-driven CDSS with CHW-led doorstep health screening enhances early detection and management of NCDs at community level. The authors recommend scaling the model through public-private partnerships at approximately US$1 per family per month, integrating it into national healthcare policy, and expanding features including early risk prediction, Bangla medical-GPT, and AI-based personalised health insurance design.</w:t>
      </w:r>
    </w:p>
    <w:p>
      <w:r>
        <w:br w:type="page"/>
      </w:r>
    </w:p>
    <w:p>
      <w:pPr>
        <w:pStyle w:val="Heading1"/>
        <w:spacing w:after="120" w:before="360"/>
      </w:pPr>
      <w:r>
        <w:t xml:space="preserve">Separate Answer Key (Quick Revision)</w:t>
      </w:r>
    </w:p>
    <w:p>
      <w:pPr>
        <w:pBdr>
          <w:bottom w:val="single" w:color="999999" w:sz="4" w:space="1"/>
        </w:pBdr>
        <w:spacing w:after="100" w:before="100"/>
      </w:pPr>
    </w:p>
    <w:p>
      <w:pPr>
        <w:pStyle w:val="Heading2"/>
        <w:spacing w:after="100" w:before="280"/>
      </w:pPr>
      <w:r>
        <w:t xml:space="preserve">Paper 1 — Solar/Carbon Answer Key</w:t>
      </w:r>
    </w:p>
    <w:p>
      <w:pPr>
        <w:spacing w:after="40" w:before="40"/>
        <w:ind w:left="288"/>
      </w:pPr>
      <w:r>
        <w:rPr>
          <w:rFonts w:ascii="Calibri" w:cs="Calibri" w:eastAsia="Calibri" w:hAnsi="Calibri"/>
          <w:b/>
          <w:bCs/>
          <w:sz w:val="20"/>
          <w:szCs w:val="20"/>
        </w:rPr>
        <w:t xml:space="preserve">1. </w:t>
      </w:r>
      <w:r>
        <w:rPr>
          <w:rFonts w:ascii="Calibri" w:cs="Calibri" w:eastAsia="Calibri" w:hAnsi="Calibri"/>
          <w:sz w:val="20"/>
          <w:szCs w:val="20"/>
        </w:rPr>
        <w:t xml:space="preserve">Rural healthcare in Bangladesh suffers unreliable power supply and heavy fossil-fuel dependence, disrupting clinical services.</w:t>
      </w:r>
    </w:p>
    <w:p>
      <w:pPr>
        <w:spacing w:after="40" w:before="40"/>
        <w:ind w:left="288"/>
      </w:pPr>
      <w:r>
        <w:rPr>
          <w:rFonts w:ascii="Calibri" w:cs="Calibri" w:eastAsia="Calibri" w:hAnsi="Calibri"/>
          <w:b/>
          <w:bCs/>
          <w:sz w:val="20"/>
          <w:szCs w:val="20"/>
        </w:rPr>
        <w:t xml:space="preserve">2. </w:t>
      </w:r>
      <w:r>
        <w:rPr>
          <w:rFonts w:ascii="Calibri" w:cs="Calibri" w:eastAsia="Calibri" w:hAnsi="Calibri"/>
          <w:sz w:val="20"/>
          <w:szCs w:val="20"/>
        </w:rPr>
        <w:t xml:space="preserve">No prior study applied a collective techno-economic analysis integrating carbon credits as revenue for rooftop solar NMS across Bangladesh's rural healthcare sector.</w:t>
      </w:r>
    </w:p>
    <w:p>
      <w:pPr>
        <w:spacing w:after="40" w:before="40"/>
        <w:ind w:left="288"/>
      </w:pPr>
      <w:r>
        <w:rPr>
          <w:rFonts w:ascii="Calibri" w:cs="Calibri" w:eastAsia="Calibri" w:hAnsi="Calibri"/>
          <w:b/>
          <w:bCs/>
          <w:sz w:val="20"/>
          <w:szCs w:val="20"/>
        </w:rPr>
        <w:t xml:space="preserve">3. </w:t>
      </w:r>
      <w:r>
        <w:rPr>
          <w:rFonts w:ascii="Calibri" w:cs="Calibri" w:eastAsia="Calibri" w:hAnsi="Calibri"/>
          <w:sz w:val="20"/>
          <w:szCs w:val="20"/>
        </w:rPr>
        <w:t xml:space="preserve">Three objectives: (1) techno-economic feasibility of rooftop solar NMS; (2) model carbon credit revenue; (3) propose Net Metering Guideline amendments.</w:t>
      </w:r>
    </w:p>
    <w:p>
      <w:pPr>
        <w:spacing w:after="40" w:before="40"/>
        <w:ind w:left="288"/>
      </w:pPr>
      <w:r>
        <w:rPr>
          <w:rFonts w:ascii="Calibri" w:cs="Calibri" w:eastAsia="Calibri" w:hAnsi="Calibri"/>
          <w:b/>
          <w:bCs/>
          <w:sz w:val="20"/>
          <w:szCs w:val="20"/>
        </w:rPr>
        <w:t xml:space="preserve">4. </w:t>
      </w:r>
      <w:r>
        <w:rPr>
          <w:rFonts w:ascii="Calibri" w:cs="Calibri" w:eastAsia="Calibri" w:hAnsi="Calibri"/>
          <w:sz w:val="20"/>
          <w:szCs w:val="20"/>
        </w:rPr>
        <w:t xml:space="preserve">Data from 50 real healthcare facilities: rooftop area, location, monthly energy consumption, sanctioned load; scaled to 5,424 facilities nationally.</w:t>
      </w:r>
    </w:p>
    <w:p>
      <w:pPr>
        <w:spacing w:after="40" w:before="40"/>
        <w:ind w:left="288"/>
      </w:pPr>
      <w:r>
        <w:rPr>
          <w:rFonts w:ascii="Calibri" w:cs="Calibri" w:eastAsia="Calibri" w:hAnsi="Calibri"/>
          <w:b/>
          <w:bCs/>
          <w:sz w:val="20"/>
          <w:szCs w:val="20"/>
        </w:rPr>
        <w:t xml:space="preserve">5. </w:t>
      </w:r>
      <w:r>
        <w:rPr>
          <w:rFonts w:ascii="Calibri" w:cs="Calibri" w:eastAsia="Calibri" w:hAnsi="Calibri"/>
          <w:sz w:val="20"/>
          <w:szCs w:val="20"/>
        </w:rPr>
        <w:t xml:space="preserve">Facilities aggregated into a single unit due to similar load profiles; total area = 70,799 m²; installed capacity = 7.86 MWp AC.</w:t>
      </w:r>
    </w:p>
    <w:p>
      <w:pPr>
        <w:spacing w:after="40" w:before="40"/>
        <w:ind w:left="288"/>
      </w:pPr>
      <w:r>
        <w:rPr>
          <w:rFonts w:ascii="Calibri" w:cs="Calibri" w:eastAsia="Calibri" w:hAnsi="Calibri"/>
          <w:b/>
          <w:bCs/>
          <w:sz w:val="20"/>
          <w:szCs w:val="20"/>
        </w:rPr>
        <w:t xml:space="preserve">6. </w:t>
      </w:r>
      <w:r>
        <w:rPr>
          <w:rFonts w:ascii="Calibri" w:cs="Calibri" w:eastAsia="Calibri" w:hAnsi="Calibri"/>
          <w:sz w:val="20"/>
          <w:szCs w:val="20"/>
        </w:rPr>
        <w:t xml:space="preserve">10-step methodology: collect area → irradiance → azimuth → load → consumption → system sizing → cost-benefit → carbon credit revenue → SREDA verification → sensitivity analysis.</w:t>
      </w:r>
    </w:p>
    <w:p>
      <w:pPr>
        <w:spacing w:after="40" w:before="40"/>
        <w:ind w:left="288"/>
      </w:pPr>
      <w:r>
        <w:rPr>
          <w:rFonts w:ascii="Calibri" w:cs="Calibri" w:eastAsia="Calibri" w:hAnsi="Calibri"/>
          <w:b/>
          <w:bCs/>
          <w:sz w:val="20"/>
          <w:szCs w:val="20"/>
        </w:rPr>
        <w:t xml:space="preserve">7. </w:t>
      </w:r>
      <w:r>
        <w:rPr>
          <w:rFonts w:ascii="Calibri" w:cs="Calibri" w:eastAsia="Calibri" w:hAnsi="Calibri"/>
          <w:sz w:val="20"/>
          <w:szCs w:val="20"/>
        </w:rPr>
        <w:t xml:space="preserve">Metrics: NPV, IRR, Payback Period, LCOE; GEF = 484 gCO₂/kWh; carbon credit revenue modelled at CAGR scenarios from −50% to +5%; initial carbon credit price = US$5/unit.</w:t>
      </w:r>
    </w:p>
    <w:p>
      <w:pPr>
        <w:spacing w:after="40" w:before="40"/>
        <w:ind w:left="288"/>
      </w:pPr>
      <w:r>
        <w:rPr>
          <w:rFonts w:ascii="Calibri" w:cs="Calibri" w:eastAsia="Calibri" w:hAnsi="Calibri"/>
          <w:b/>
          <w:bCs/>
          <w:sz w:val="20"/>
          <w:szCs w:val="20"/>
        </w:rPr>
        <w:t xml:space="preserve">8. </w:t>
      </w:r>
      <w:r>
        <w:rPr>
          <w:rFonts w:ascii="Calibri" w:cs="Calibri" w:eastAsia="Calibri" w:hAnsi="Calibri"/>
          <w:sz w:val="20"/>
          <w:szCs w:val="20"/>
        </w:rPr>
        <w:t xml:space="preserve">Novel dual-revenue model: solar electricity revenue + carbon credit sales (CERs/VCUs) — first applied to Bangladesh's rooftop solar NMS healthcare sector.</w:t>
      </w:r>
    </w:p>
    <w:p>
      <w:pPr>
        <w:spacing w:after="40" w:before="40"/>
        <w:ind w:left="288"/>
      </w:pPr>
      <w:r>
        <w:rPr>
          <w:rFonts w:ascii="Calibri" w:cs="Calibri" w:eastAsia="Calibri" w:hAnsi="Calibri"/>
          <w:b/>
          <w:bCs/>
          <w:sz w:val="20"/>
          <w:szCs w:val="20"/>
        </w:rPr>
        <w:t xml:space="preserve">9. </w:t>
      </w:r>
      <w:r>
        <w:rPr>
          <w:rFonts w:ascii="Calibri" w:cs="Calibri" w:eastAsia="Calibri" w:hAnsi="Calibri"/>
          <w:sz w:val="20"/>
          <w:szCs w:val="20"/>
        </w:rPr>
        <w:t xml:space="preserve">Quantitative techno-economic analysis + sensitivity analysis with spider charts; NPV positive across all scenarios including −50% CAGR (US$3.38M).</w:t>
      </w:r>
    </w:p>
    <w:p>
      <w:pPr>
        <w:spacing w:after="40" w:before="40"/>
        <w:ind w:left="288"/>
      </w:pPr>
      <w:r>
        <w:rPr>
          <w:rFonts w:ascii="Calibri" w:cs="Calibri" w:eastAsia="Calibri" w:hAnsi="Calibri"/>
          <w:b/>
          <w:bCs/>
          <w:sz w:val="20"/>
          <w:szCs w:val="20"/>
        </w:rPr>
        <w:t xml:space="preserve">10. </w:t>
      </w:r>
      <w:r>
        <w:rPr>
          <w:rFonts w:ascii="Calibri" w:cs="Calibri" w:eastAsia="Calibri" w:hAnsi="Calibri"/>
          <w:sz w:val="20"/>
          <w:szCs w:val="20"/>
        </w:rPr>
        <w:t xml:space="preserve">171.48 GWh energy generated over 20 years; 82,999.02 MTCO₂e emissions reduced.</w:t>
      </w:r>
    </w:p>
    <w:p>
      <w:pPr>
        <w:spacing w:after="40" w:before="40"/>
        <w:ind w:left="288"/>
      </w:pPr>
      <w:r>
        <w:rPr>
          <w:rFonts w:ascii="Calibri" w:cs="Calibri" w:eastAsia="Calibri" w:hAnsi="Calibri"/>
          <w:b/>
          <w:bCs/>
          <w:sz w:val="20"/>
          <w:szCs w:val="20"/>
        </w:rPr>
        <w:t xml:space="preserve">11. </w:t>
      </w:r>
      <w:r>
        <w:rPr>
          <w:rFonts w:ascii="Calibri" w:cs="Calibri" w:eastAsia="Calibri" w:hAnsi="Calibri"/>
          <w:sz w:val="20"/>
          <w:szCs w:val="20"/>
        </w:rPr>
        <w:t xml:space="preserve">Initial investment US$2.25M; total lifecycle US$3.59M; solar revenue US$6.94M; combined revenue at 1.5% CAGR US$7.319M, 3% CAGR US$7.374M, 5% CAGR US$7.463M.</w:t>
      </w:r>
    </w:p>
    <w:p>
      <w:pPr>
        <w:spacing w:after="40" w:before="40"/>
        <w:ind w:left="288"/>
      </w:pPr>
      <w:r>
        <w:rPr>
          <w:rFonts w:ascii="Calibri" w:cs="Calibri" w:eastAsia="Calibri" w:hAnsi="Calibri"/>
          <w:b/>
          <w:bCs/>
          <w:sz w:val="20"/>
          <w:szCs w:val="20"/>
        </w:rPr>
        <w:t xml:space="preserve">12. </w:t>
      </w:r>
      <w:r>
        <w:rPr>
          <w:rFonts w:ascii="Calibri" w:cs="Calibri" w:eastAsia="Calibri" w:hAnsi="Calibri"/>
          <w:sz w:val="20"/>
          <w:szCs w:val="20"/>
        </w:rPr>
        <w:t xml:space="preserve">Best case (5% CAGR): NPV US$3.86M, IRR 9.85%, payback 8.35 years, LCOE US$0.0179/kWh (vs. current BREB tariff US$0.0358/kWh).</w:t>
      </w:r>
    </w:p>
    <w:p>
      <w:pPr>
        <w:spacing w:after="40" w:before="40"/>
        <w:ind w:left="288"/>
      </w:pPr>
      <w:r>
        <w:rPr>
          <w:rFonts w:ascii="Calibri" w:cs="Calibri" w:eastAsia="Calibri" w:hAnsi="Calibri"/>
          <w:b/>
          <w:bCs/>
          <w:sz w:val="20"/>
          <w:szCs w:val="20"/>
        </w:rPr>
        <w:t xml:space="preserve">13. </w:t>
      </w:r>
      <w:r>
        <w:rPr>
          <w:rFonts w:ascii="Calibri" w:cs="Calibri" w:eastAsia="Calibri" w:hAnsi="Calibri"/>
          <w:sz w:val="20"/>
          <w:szCs w:val="20"/>
        </w:rPr>
        <w:t xml:space="preserve">2025 guideline expanded eligibility (three-phase, removed 10 MW cap) but lacks consumer billing control, OPEX support, prosumer incentives; study recommends bonus payments, tax exemptions, carbon trading access for prosumers.</w:t>
      </w:r>
    </w:p>
    <w:p>
      <w:pPr>
        <w:spacing w:after="40" w:before="40"/>
        <w:ind w:left="288"/>
      </w:pPr>
      <w:r>
        <w:rPr>
          <w:rFonts w:ascii="Calibri" w:cs="Calibri" w:eastAsia="Calibri" w:hAnsi="Calibri"/>
          <w:b/>
          <w:bCs/>
          <w:sz w:val="20"/>
          <w:szCs w:val="20"/>
        </w:rPr>
        <w:t xml:space="preserve">14. </w:t>
      </w:r>
      <w:r>
        <w:rPr>
          <w:rFonts w:ascii="Calibri" w:cs="Calibri" w:eastAsia="Calibri" w:hAnsi="Calibri"/>
          <w:sz w:val="20"/>
          <w:szCs w:val="20"/>
        </w:rPr>
        <w:t xml:space="preserve">No battery storage (cannot operate during outages); 5,424 facilities aggregated as single unit; uniform solar irradiance assumption across regions.</w:t>
      </w:r>
    </w:p>
    <w:p>
      <w:pPr>
        <w:spacing w:after="40" w:before="40"/>
        <w:ind w:left="288"/>
      </w:pPr>
      <w:r>
        <w:rPr>
          <w:rFonts w:ascii="Calibri" w:cs="Calibri" w:eastAsia="Calibri" w:hAnsi="Calibri"/>
          <w:b/>
          <w:bCs/>
          <w:sz w:val="20"/>
          <w:szCs w:val="20"/>
        </w:rPr>
        <w:t xml:space="preserve">15. </w:t>
      </w:r>
      <w:r>
        <w:rPr>
          <w:rFonts w:ascii="Calibri" w:cs="Calibri" w:eastAsia="Calibri" w:hAnsi="Calibri"/>
          <w:sz w:val="20"/>
          <w:szCs w:val="20"/>
        </w:rPr>
        <w:t xml:space="preserve">Positive NPV even at −50% CAGR; LCOE significantly below grid tariff; carbon credits are financial game-changer; provides policy roadmap for renewable healthcare energy transition in developing countries.</w:t>
      </w:r>
    </w:p>
    <w:p>
      <w:pPr>
        <w:spacing w:after="100" w:before="100"/>
      </w:pPr>
    </w:p>
    <w:p>
      <w:pPr>
        <w:pStyle w:val="Heading2"/>
        <w:spacing w:after="100" w:before="280"/>
      </w:pPr>
      <w:r>
        <w:t xml:space="preserve">Paper 2 — CMED Feasibility Answer Key</w:t>
      </w:r>
    </w:p>
    <w:p>
      <w:pPr>
        <w:spacing w:after="40" w:before="40"/>
        <w:ind w:left="288"/>
      </w:pPr>
      <w:r>
        <w:rPr>
          <w:rFonts w:ascii="Calibri" w:cs="Calibri" w:eastAsia="Calibri" w:hAnsi="Calibri"/>
          <w:b/>
          <w:bCs/>
          <w:sz w:val="20"/>
          <w:szCs w:val="20"/>
        </w:rPr>
        <w:t xml:space="preserve">1. </w:t>
      </w:r>
      <w:r>
        <w:rPr>
          <w:rFonts w:ascii="Calibri" w:cs="Calibri" w:eastAsia="Calibri" w:hAnsi="Calibri"/>
          <w:sz w:val="20"/>
          <w:szCs w:val="20"/>
        </w:rPr>
        <w:t xml:space="preserve">NCDs (CVD, hypertension, diabetes) cause 67% of deaths in Bangladesh; rural populations lack preventive care; mHealth apps focus on specific conditions, not community NCD prevention.</w:t>
      </w:r>
    </w:p>
    <w:p>
      <w:pPr>
        <w:spacing w:after="40" w:before="40"/>
        <w:ind w:left="288"/>
      </w:pPr>
      <w:r>
        <w:rPr>
          <w:rFonts w:ascii="Calibri" w:cs="Calibri" w:eastAsia="Calibri" w:hAnsi="Calibri"/>
          <w:b/>
          <w:bCs/>
          <w:sz w:val="20"/>
          <w:szCs w:val="20"/>
        </w:rPr>
        <w:t xml:space="preserve">2. </w:t>
      </w:r>
      <w:r>
        <w:rPr>
          <w:rFonts w:ascii="Calibri" w:cs="Calibri" w:eastAsia="Calibri" w:hAnsi="Calibri"/>
          <w:sz w:val="20"/>
          <w:szCs w:val="20"/>
        </w:rPr>
        <w:t xml:space="preserve">No published evidence on content accuracy, usability, and real-world efficacy of commercially deployed digital health platforms for NCD prevention in rural Bangladesh.</w:t>
      </w:r>
    </w:p>
    <w:p>
      <w:pPr>
        <w:spacing w:after="40" w:before="40"/>
        <w:ind w:left="288"/>
      </w:pPr>
      <w:r>
        <w:rPr>
          <w:rFonts w:ascii="Calibri" w:cs="Calibri" w:eastAsia="Calibri" w:hAnsi="Calibri"/>
          <w:b/>
          <w:bCs/>
          <w:sz w:val="20"/>
          <w:szCs w:val="20"/>
        </w:rPr>
        <w:t xml:space="preserve">3. </w:t>
      </w:r>
      <w:r>
        <w:rPr>
          <w:rFonts w:ascii="Calibri" w:cs="Calibri" w:eastAsia="Calibri" w:hAnsi="Calibri"/>
          <w:sz w:val="20"/>
          <w:szCs w:val="20"/>
        </w:rPr>
        <w:t xml:space="preserve">Assess content, usability, and efficacy of CMED Health platform for NCD prevention and primary healthcare in rural Bangladesh.</w:t>
      </w:r>
    </w:p>
    <w:p>
      <w:pPr>
        <w:spacing w:after="40" w:before="40"/>
        <w:ind w:left="288"/>
      </w:pPr>
      <w:r>
        <w:rPr>
          <w:rFonts w:ascii="Calibri" w:cs="Calibri" w:eastAsia="Calibri" w:hAnsi="Calibri"/>
          <w:b/>
          <w:bCs/>
          <w:sz w:val="20"/>
          <w:szCs w:val="20"/>
        </w:rPr>
        <w:t xml:space="preserve">4. </w:t>
      </w:r>
      <w:r>
        <w:rPr>
          <w:rFonts w:ascii="Calibri" w:cs="Calibri" w:eastAsia="Calibri" w:hAnsi="Calibri"/>
          <w:sz w:val="20"/>
          <w:szCs w:val="20"/>
        </w:rPr>
        <w:t xml:space="preserve">CMED: IoT-enabled, AI-driven, cloud-based platform using smart sensors (BP, glucose, SpO₂, BMI, pulse, temperature) + CDSS + mobile app for real-time health assessment and advice.</w:t>
      </w:r>
    </w:p>
    <w:p>
      <w:pPr>
        <w:spacing w:after="40" w:before="40"/>
        <w:ind w:left="288"/>
      </w:pPr>
      <w:r>
        <w:rPr>
          <w:rFonts w:ascii="Calibri" w:cs="Calibri" w:eastAsia="Calibri" w:hAnsi="Calibri"/>
          <w:b/>
          <w:bCs/>
          <w:sz w:val="20"/>
          <w:szCs w:val="20"/>
        </w:rPr>
        <w:t xml:space="preserve">5. </w:t>
      </w:r>
      <w:r>
        <w:rPr>
          <w:rFonts w:ascii="Calibri" w:cs="Calibri" w:eastAsia="Calibri" w:hAnsi="Calibri"/>
          <w:sz w:val="20"/>
          <w:szCs w:val="20"/>
        </w:rPr>
        <w:t xml:space="preserve">Quantitative: 393 service receivers (semi-structured questionnaire); qualitative: KII + 4 FGDs; health screening data from &gt;7,000 households in 21 villages over 6 months.</w:t>
      </w:r>
    </w:p>
    <w:p>
      <w:pPr>
        <w:spacing w:after="40" w:before="40"/>
        <w:ind w:left="288"/>
      </w:pPr>
      <w:r>
        <w:rPr>
          <w:rFonts w:ascii="Calibri" w:cs="Calibri" w:eastAsia="Calibri" w:hAnsi="Calibri"/>
          <w:b/>
          <w:bCs/>
          <w:sz w:val="20"/>
          <w:szCs w:val="20"/>
        </w:rPr>
        <w:t xml:space="preserve">6. </w:t>
      </w:r>
      <w:r>
        <w:rPr>
          <w:rFonts w:ascii="Calibri" w:cs="Calibri" w:eastAsia="Calibri" w:hAnsi="Calibri"/>
          <w:sz w:val="20"/>
          <w:szCs w:val="20"/>
        </w:rPr>
        <w:t xml:space="preserve">Action Research Methodology; mixed-methods (quantitative + qualitative + participant observation).</w:t>
      </w:r>
    </w:p>
    <w:p>
      <w:pPr>
        <w:spacing w:after="40" w:before="40"/>
        <w:ind w:left="288"/>
      </w:pPr>
      <w:r>
        <w:rPr>
          <w:rFonts w:ascii="Calibri" w:cs="Calibri" w:eastAsia="Calibri" w:hAnsi="Calibri"/>
          <w:b/>
          <w:bCs/>
          <w:sz w:val="20"/>
          <w:szCs w:val="20"/>
        </w:rPr>
        <w:t xml:space="preserve">7. </w:t>
      </w:r>
      <w:r>
        <w:rPr>
          <w:rFonts w:ascii="Calibri" w:cs="Calibri" w:eastAsia="Calibri" w:hAnsi="Calibri"/>
          <w:sz w:val="20"/>
          <w:szCs w:val="20"/>
        </w:rPr>
        <w:t xml:space="preserve">CDSS content compared with National Protocol on Diabetes and Hypertension; validated by medical professionals and expert consultation workshop at policy level.</w:t>
      </w:r>
    </w:p>
    <w:p>
      <w:pPr>
        <w:spacing w:after="40" w:before="40"/>
        <w:ind w:left="288"/>
      </w:pPr>
      <w:r>
        <w:rPr>
          <w:rFonts w:ascii="Calibri" w:cs="Calibri" w:eastAsia="Calibri" w:hAnsi="Calibri"/>
          <w:b/>
          <w:bCs/>
          <w:sz w:val="20"/>
          <w:szCs w:val="20"/>
        </w:rPr>
        <w:t xml:space="preserve">8. </w:t>
      </w:r>
      <w:r>
        <w:rPr>
          <w:rFonts w:ascii="Calibri" w:cs="Calibri" w:eastAsia="Calibri" w:hAnsi="Calibri"/>
          <w:sz w:val="20"/>
          <w:szCs w:val="20"/>
        </w:rPr>
        <w:t xml:space="preserve">Testing-and-fixing usability assessment with field providers; all respondents reported positive feedback; smart devices more effective than manual methods.</w:t>
      </w:r>
    </w:p>
    <w:p>
      <w:pPr>
        <w:spacing w:after="40" w:before="40"/>
        <w:ind w:left="288"/>
      </w:pPr>
      <w:r>
        <w:rPr>
          <w:rFonts w:ascii="Calibri" w:cs="Calibri" w:eastAsia="Calibri" w:hAnsi="Calibri"/>
          <w:b/>
          <w:bCs/>
          <w:sz w:val="20"/>
          <w:szCs w:val="20"/>
        </w:rPr>
        <w:t xml:space="preserve">9. </w:t>
      </w:r>
      <w:r>
        <w:rPr>
          <w:rFonts w:ascii="Calibri" w:cs="Calibri" w:eastAsia="Calibri" w:hAnsi="Calibri"/>
          <w:sz w:val="20"/>
          <w:szCs w:val="20"/>
        </w:rPr>
        <w:t xml:space="preserve">17,907 adults screened out of 32,122; BP=36,326; SpO₂=38,400; BMI=34,721 measurements; 99.5% acceptance rate.</w:t>
      </w:r>
    </w:p>
    <w:p>
      <w:pPr>
        <w:spacing w:after="40" w:before="40"/>
        <w:ind w:left="288"/>
      </w:pPr>
      <w:r>
        <w:rPr>
          <w:rFonts w:ascii="Calibri" w:cs="Calibri" w:eastAsia="Calibri" w:hAnsi="Calibri"/>
          <w:b/>
          <w:bCs/>
          <w:sz w:val="20"/>
          <w:szCs w:val="20"/>
        </w:rPr>
        <w:t xml:space="preserve">10. </w:t>
      </w:r>
      <w:r>
        <w:rPr>
          <w:rFonts w:ascii="Calibri" w:cs="Calibri" w:eastAsia="Calibri" w:hAnsi="Calibri"/>
          <w:sz w:val="20"/>
          <w:szCs w:val="20"/>
        </w:rPr>
        <w:t xml:space="preserve">Pre-screening: 2.7% knew they had diabetes → 15.8% found post-screening; 6.5% knew about hypertension → 11.5% identified.</w:t>
      </w:r>
    </w:p>
    <w:p>
      <w:pPr>
        <w:spacing w:after="40" w:before="40"/>
        <w:ind w:left="288"/>
      </w:pPr>
      <w:r>
        <w:rPr>
          <w:rFonts w:ascii="Calibri" w:cs="Calibri" w:eastAsia="Calibri" w:hAnsi="Calibri"/>
          <w:b/>
          <w:bCs/>
          <w:sz w:val="20"/>
          <w:szCs w:val="20"/>
        </w:rPr>
        <w:t xml:space="preserve">11. </w:t>
      </w:r>
      <w:r>
        <w:rPr>
          <w:rFonts w:ascii="Calibri" w:cs="Calibri" w:eastAsia="Calibri" w:hAnsi="Calibri"/>
          <w:sz w:val="20"/>
          <w:szCs w:val="20"/>
        </w:rPr>
        <w:t xml:space="preserve">Mixed-methods: quantitative (descriptive statistics) + qualitative (FGD/KII transcripts as direct speech-mark quotes) triangulated via Action Research.</w:t>
      </w:r>
    </w:p>
    <w:p>
      <w:pPr>
        <w:spacing w:after="40" w:before="40"/>
        <w:ind w:left="288"/>
      </w:pPr>
      <w:r>
        <w:rPr>
          <w:rFonts w:ascii="Calibri" w:cs="Calibri" w:eastAsia="Calibri" w:hAnsi="Calibri"/>
          <w:b/>
          <w:bCs/>
          <w:sz w:val="20"/>
          <w:szCs w:val="20"/>
        </w:rPr>
        <w:t xml:space="preserve">12. </w:t>
      </w:r>
      <w:r>
        <w:rPr>
          <w:rFonts w:ascii="Calibri" w:cs="Calibri" w:eastAsia="Calibri" w:hAnsi="Calibri"/>
          <w:sz w:val="20"/>
          <w:szCs w:val="20"/>
        </w:rPr>
        <w:t xml:space="preserve">Health workers: CMED enabled accurate advice and earned community trust. Villagers: visible on-screen results increased trust; CDSS advice changed behaviour (e.g., started walking).</w:t>
      </w:r>
    </w:p>
    <w:p>
      <w:pPr>
        <w:spacing w:after="40" w:before="40"/>
        <w:ind w:left="288"/>
      </w:pPr>
      <w:r>
        <w:rPr>
          <w:rFonts w:ascii="Calibri" w:cs="Calibri" w:eastAsia="Calibri" w:hAnsi="Calibri"/>
          <w:b/>
          <w:bCs/>
          <w:sz w:val="20"/>
          <w:szCs w:val="20"/>
        </w:rPr>
        <w:t xml:space="preserve">13. </w:t>
      </w:r>
      <w:r>
        <w:rPr>
          <w:rFonts w:ascii="Calibri" w:cs="Calibri" w:eastAsia="Calibri" w:hAnsi="Calibri"/>
          <w:sz w:val="20"/>
          <w:szCs w:val="20"/>
        </w:rPr>
        <w:t xml:space="preserve">Seven advantages: supervision, data usability for research, population dashboard, simultaneous data collection, offline functionality, reduced workload, increased NCD awareness.</w:t>
      </w:r>
    </w:p>
    <w:p>
      <w:pPr>
        <w:spacing w:after="40" w:before="40"/>
        <w:ind w:left="288"/>
      </w:pPr>
      <w:r>
        <w:rPr>
          <w:rFonts w:ascii="Calibri" w:cs="Calibri" w:eastAsia="Calibri" w:hAnsi="Calibri"/>
          <w:b/>
          <w:bCs/>
          <w:sz w:val="20"/>
          <w:szCs w:val="20"/>
        </w:rPr>
        <w:t xml:space="preserve">14. </w:t>
      </w:r>
      <w:r>
        <w:rPr>
          <w:rFonts w:ascii="Calibri" w:cs="Calibri" w:eastAsia="Calibri" w:hAnsi="Calibri"/>
          <w:sz w:val="20"/>
          <w:szCs w:val="20"/>
        </w:rPr>
        <w:t xml:space="preserve">Short 6-month pilot limits behaviour-change measurement; limited geographic area; not independently validated via RCT.</w:t>
      </w:r>
    </w:p>
    <w:p>
      <w:pPr>
        <w:spacing w:after="40" w:before="40"/>
        <w:ind w:left="288"/>
      </w:pPr>
      <w:r>
        <w:rPr>
          <w:rFonts w:ascii="Calibri" w:cs="Calibri" w:eastAsia="Calibri" w:hAnsi="Calibri"/>
          <w:b/>
          <w:bCs/>
          <w:sz w:val="20"/>
          <w:szCs w:val="20"/>
        </w:rPr>
        <w:t xml:space="preserve">15. </w:t>
      </w:r>
      <w:r>
        <w:rPr>
          <w:rFonts w:ascii="Calibri" w:cs="Calibri" w:eastAsia="Calibri" w:hAnsi="Calibri"/>
          <w:sz w:val="20"/>
          <w:szCs w:val="20"/>
        </w:rPr>
        <w:t xml:space="preserve">CMED feasible for rural/urban communities; recommended as cost-effective primary prevention model for NCDs in low-resource settings.</w:t>
      </w:r>
    </w:p>
    <w:p>
      <w:pPr>
        <w:spacing w:after="100" w:before="100"/>
      </w:pPr>
    </w:p>
    <w:p>
      <w:pPr>
        <w:pStyle w:val="Heading2"/>
        <w:spacing w:after="100" w:before="280"/>
      </w:pPr>
      <w:r>
        <w:t xml:space="preserve">Paper 3 — SuSastho.AI Answer Key</w:t>
      </w:r>
    </w:p>
    <w:p>
      <w:pPr>
        <w:spacing w:after="40" w:before="40"/>
        <w:ind w:left="288"/>
      </w:pPr>
      <w:r>
        <w:rPr>
          <w:rFonts w:ascii="Calibri" w:cs="Calibri" w:eastAsia="Calibri" w:hAnsi="Calibri"/>
          <w:b/>
          <w:bCs/>
          <w:sz w:val="20"/>
          <w:szCs w:val="20"/>
        </w:rPr>
        <w:t xml:space="preserve">1. </w:t>
      </w:r>
      <w:r>
        <w:rPr>
          <w:rFonts w:ascii="Calibri" w:cs="Calibri" w:eastAsia="Calibri" w:hAnsi="Calibri"/>
          <w:sz w:val="20"/>
          <w:szCs w:val="20"/>
        </w:rPr>
        <w:t xml:space="preserve">63% of Bangladeshi adolescents lack SRH services; only 13% receive mental health support; stigma and poverty prevent SRMH access, leading to high STI and unintended pregnancy rates.</w:t>
      </w:r>
    </w:p>
    <w:p>
      <w:pPr>
        <w:spacing w:after="40" w:before="40"/>
        <w:ind w:left="288"/>
      </w:pPr>
      <w:r>
        <w:rPr>
          <w:rFonts w:ascii="Calibri" w:cs="Calibri" w:eastAsia="Calibri" w:hAnsi="Calibri"/>
          <w:b/>
          <w:bCs/>
          <w:sz w:val="20"/>
          <w:szCs w:val="20"/>
        </w:rPr>
        <w:t xml:space="preserve">2. </w:t>
      </w:r>
      <w:r>
        <w:rPr>
          <w:rFonts w:ascii="Calibri" w:cs="Calibri" w:eastAsia="Calibri" w:hAnsi="Calibri"/>
          <w:sz w:val="20"/>
          <w:szCs w:val="20"/>
        </w:rPr>
        <w:t xml:space="preserve">No voice-activated, LLM-based, evidence-grounded, Bengali-language copilot for adolescent SRMH existed; existing bots used predefined rules lacking personalisation and voice interaction.</w:t>
      </w:r>
    </w:p>
    <w:p>
      <w:pPr>
        <w:spacing w:after="40" w:before="40"/>
        <w:ind w:left="288"/>
      </w:pPr>
      <w:r>
        <w:rPr>
          <w:rFonts w:ascii="Calibri" w:cs="Calibri" w:eastAsia="Calibri" w:hAnsi="Calibri"/>
          <w:b/>
          <w:bCs/>
          <w:sz w:val="20"/>
          <w:szCs w:val="20"/>
        </w:rPr>
        <w:t xml:space="preserve">3. </w:t>
      </w:r>
      <w:r>
        <w:rPr>
          <w:rFonts w:ascii="Calibri" w:cs="Calibri" w:eastAsia="Calibri" w:hAnsi="Calibri"/>
          <w:sz w:val="20"/>
          <w:szCs w:val="20"/>
        </w:rPr>
        <w:t xml:space="preserve">Develop and evaluate SuSastho.AI: a multimodal, evidence-based, voice-text copilot for Bangladeshi adolescent SRMH in Bengali and English.</w:t>
      </w:r>
    </w:p>
    <w:p>
      <w:pPr>
        <w:spacing w:after="40" w:before="40"/>
        <w:ind w:left="288"/>
      </w:pPr>
      <w:r>
        <w:rPr>
          <w:rFonts w:ascii="Calibri" w:cs="Calibri" w:eastAsia="Calibri" w:hAnsi="Calibri"/>
          <w:b/>
          <w:bCs/>
          <w:sz w:val="20"/>
          <w:szCs w:val="20"/>
        </w:rPr>
        <w:t xml:space="preserve">4. </w:t>
      </w:r>
      <w:r>
        <w:rPr>
          <w:rFonts w:ascii="Calibri" w:cs="Calibri" w:eastAsia="Calibri" w:hAnsi="Calibri"/>
          <w:sz w:val="20"/>
          <w:szCs w:val="20"/>
        </w:rPr>
        <w:t xml:space="preserve">KB: 2,063 medical documents across 20 SRMH categories; fine-tuning dataset: 8,614 examples (5,396 Task-QG + 3,218 Task-AG); pilot: 428 questions from 32 adolescent health professionals.</w:t>
      </w:r>
    </w:p>
    <w:p>
      <w:pPr>
        <w:spacing w:after="40" w:before="40"/>
        <w:ind w:left="288"/>
      </w:pPr>
      <w:r>
        <w:rPr>
          <w:rFonts w:ascii="Calibri" w:cs="Calibri" w:eastAsia="Calibri" w:hAnsi="Calibri"/>
          <w:b/>
          <w:bCs/>
          <w:sz w:val="20"/>
          <w:szCs w:val="20"/>
        </w:rPr>
        <w:t xml:space="preserve">5. </w:t>
      </w:r>
      <w:r>
        <w:rPr>
          <w:rFonts w:ascii="Calibri" w:cs="Calibri" w:eastAsia="Calibri" w:hAnsi="Calibri"/>
          <w:sz w:val="20"/>
          <w:szCs w:val="20"/>
        </w:rPr>
        <w:t xml:space="preserve">General datasets lack Bangladeshi adolescent colloquial/Banglish patterns; culturally grounded task-specific dataset ensures accurate intent extraction for indirect, locally phrased queries.</w:t>
      </w:r>
    </w:p>
    <w:p>
      <w:pPr>
        <w:spacing w:after="40" w:before="40"/>
        <w:ind w:left="288"/>
      </w:pPr>
      <w:r>
        <w:rPr>
          <w:rFonts w:ascii="Calibri" w:cs="Calibri" w:eastAsia="Calibri" w:hAnsi="Calibri"/>
          <w:b/>
          <w:bCs/>
          <w:sz w:val="20"/>
          <w:szCs w:val="20"/>
        </w:rPr>
        <w:t xml:space="preserve">6. </w:t>
      </w:r>
      <w:r>
        <w:rPr>
          <w:rFonts w:ascii="Calibri" w:cs="Calibri" w:eastAsia="Calibri" w:hAnsi="Calibri"/>
          <w:sz w:val="20"/>
          <w:szCs w:val="20"/>
        </w:rPr>
        <w:t xml:space="preserve">4-step EBM protocol (formulate question → find evidence → assess evidence → apply evidence) + CoT prompting + RAG for evidence retrieval.</w:t>
      </w:r>
    </w:p>
    <w:p>
      <w:pPr>
        <w:spacing w:after="40" w:before="40"/>
        <w:ind w:left="288"/>
      </w:pPr>
      <w:r>
        <w:rPr>
          <w:rFonts w:ascii="Calibri" w:cs="Calibri" w:eastAsia="Calibri" w:hAnsi="Calibri"/>
          <w:b/>
          <w:bCs/>
          <w:sz w:val="20"/>
          <w:szCs w:val="20"/>
        </w:rPr>
        <w:t xml:space="preserve">7. </w:t>
      </w:r>
      <w:r>
        <w:rPr>
          <w:rFonts w:ascii="Calibri" w:cs="Calibri" w:eastAsia="Calibri" w:hAnsi="Calibri"/>
          <w:sz w:val="20"/>
          <w:szCs w:val="20"/>
        </w:rPr>
        <w:t xml:space="preserve">Spring Boot backend; fine-tuned Llama 3 8B for Task-QG and Task-AG; Multilingual E5 for retrieval; Wav2Vec + 5-gram model for speech recognition; VITS for speech synthesis; Flutter frontend.</w:t>
      </w:r>
    </w:p>
    <w:p>
      <w:pPr>
        <w:spacing w:after="40" w:before="40"/>
        <w:ind w:left="288"/>
      </w:pPr>
      <w:r>
        <w:rPr>
          <w:rFonts w:ascii="Calibri" w:cs="Calibri" w:eastAsia="Calibri" w:hAnsi="Calibri"/>
          <w:b/>
          <w:bCs/>
          <w:sz w:val="20"/>
          <w:szCs w:val="20"/>
        </w:rPr>
        <w:t xml:space="preserve">8. </w:t>
      </w:r>
      <w:r>
        <w:rPr>
          <w:rFonts w:ascii="Calibri" w:cs="Calibri" w:eastAsia="Calibri" w:hAnsi="Calibri"/>
          <w:sz w:val="20"/>
          <w:szCs w:val="20"/>
        </w:rPr>
        <w:t xml:space="preserve">Evolved from RASA/Chatterbot → Bloom + RAG → Llama 3 8B (final); Llama 3's enhanced Bengali comprehension was the decisive improvement.</w:t>
      </w:r>
    </w:p>
    <w:p>
      <w:pPr>
        <w:spacing w:after="40" w:before="40"/>
        <w:ind w:left="288"/>
      </w:pPr>
      <w:r>
        <w:rPr>
          <w:rFonts w:ascii="Calibri" w:cs="Calibri" w:eastAsia="Calibri" w:hAnsi="Calibri"/>
          <w:b/>
          <w:bCs/>
          <w:sz w:val="20"/>
          <w:szCs w:val="20"/>
        </w:rPr>
        <w:t xml:space="preserve">9. </w:t>
      </w:r>
      <w:r>
        <w:rPr>
          <w:rFonts w:ascii="Calibri" w:cs="Calibri" w:eastAsia="Calibri" w:hAnsi="Calibri"/>
          <w:sz w:val="20"/>
          <w:szCs w:val="20"/>
        </w:rPr>
        <w:t xml:space="preserve">Human evaluation by SRMH experts (accuracy/factual-consistency/relevance checklist); 32 pilot participants; compared with RAG + Llama 3 8B and baseline Llama 3 8B.</w:t>
      </w:r>
    </w:p>
    <w:p>
      <w:pPr>
        <w:spacing w:after="40" w:before="40"/>
        <w:ind w:left="288"/>
      </w:pPr>
      <w:r>
        <w:rPr>
          <w:rFonts w:ascii="Calibri" w:cs="Calibri" w:eastAsia="Calibri" w:hAnsi="Calibri"/>
          <w:b/>
          <w:bCs/>
          <w:sz w:val="20"/>
          <w:szCs w:val="20"/>
        </w:rPr>
        <w:t xml:space="preserve">10. </w:t>
      </w:r>
      <w:r>
        <w:rPr>
          <w:rFonts w:ascii="Calibri" w:cs="Calibri" w:eastAsia="Calibri" w:hAnsi="Calibri"/>
          <w:sz w:val="20"/>
          <w:szCs w:val="20"/>
        </w:rPr>
        <w:t xml:space="preserve">86.68% correct overall; 61.9% correctness in comparative test vs. RAG (40.4%) and Llama 3 (45.8%); reduced incorrect responses by 26.9% vs. RAG.</w:t>
      </w:r>
    </w:p>
    <w:p>
      <w:pPr>
        <w:spacing w:after="40" w:before="40"/>
        <w:ind w:left="288"/>
      </w:pPr>
      <w:r>
        <w:rPr>
          <w:rFonts w:ascii="Calibri" w:cs="Calibri" w:eastAsia="Calibri" w:hAnsi="Calibri"/>
          <w:b/>
          <w:bCs/>
          <w:sz w:val="20"/>
          <w:szCs w:val="20"/>
        </w:rPr>
        <w:t xml:space="preserve">11. </w:t>
      </w:r>
      <w:r>
        <w:rPr>
          <w:rFonts w:ascii="Calibri" w:cs="Calibri" w:eastAsia="Calibri" w:hAnsi="Calibri"/>
          <w:sz w:val="20"/>
          <w:szCs w:val="20"/>
        </w:rPr>
        <w:t xml:space="preserve">87% found answers; 90.7% found answers relevant; overall satisfaction 62.5%; 25% felt responses robotic; 21.9% felt copilot did not understand their question.</w:t>
      </w:r>
    </w:p>
    <w:p>
      <w:pPr>
        <w:spacing w:after="40" w:before="40"/>
        <w:ind w:left="288"/>
      </w:pPr>
      <w:r>
        <w:rPr>
          <w:rFonts w:ascii="Calibri" w:cs="Calibri" w:eastAsia="Calibri" w:hAnsi="Calibri"/>
          <w:b/>
          <w:bCs/>
          <w:sz w:val="20"/>
          <w:szCs w:val="20"/>
        </w:rPr>
        <w:t xml:space="preserve">12. </w:t>
      </w:r>
      <w:r>
        <w:rPr>
          <w:rFonts w:ascii="Calibri" w:cs="Calibri" w:eastAsia="Calibri" w:hAnsi="Calibri"/>
          <w:sz w:val="20"/>
          <w:szCs w:val="20"/>
        </w:rPr>
        <w:t xml:space="preserve">Wrong answers with fictitious KB info: 7/8 were in Banglish; system correctly refused to answer when KB lacked relevant information (100% refusal rate = intended behaviour).</w:t>
      </w:r>
    </w:p>
    <w:p>
      <w:pPr>
        <w:spacing w:after="40" w:before="40"/>
        <w:ind w:left="288"/>
      </w:pPr>
      <w:r>
        <w:rPr>
          <w:rFonts w:ascii="Calibri" w:cs="Calibri" w:eastAsia="Calibri" w:hAnsi="Calibri"/>
          <w:b/>
          <w:bCs/>
          <w:sz w:val="20"/>
          <w:szCs w:val="20"/>
        </w:rPr>
        <w:t xml:space="preserve">13. </w:t>
      </w:r>
      <w:r>
        <w:rPr>
          <w:rFonts w:ascii="Calibri" w:cs="Calibri" w:eastAsia="Calibri" w:hAnsi="Calibri"/>
          <w:sz w:val="20"/>
          <w:szCs w:val="20"/>
        </w:rPr>
        <w:t xml:space="preserve">Only 32 pilot participants (health professionals, not actual adolescents); human evaluation labour-intensive; Banglish and indirect language challenges; KB completeness limits.</w:t>
      </w:r>
    </w:p>
    <w:p>
      <w:pPr>
        <w:spacing w:after="40" w:before="40"/>
        <w:ind w:left="288"/>
      </w:pPr>
      <w:r>
        <w:rPr>
          <w:rFonts w:ascii="Calibri" w:cs="Calibri" w:eastAsia="Calibri" w:hAnsi="Calibri"/>
          <w:b/>
          <w:bCs/>
          <w:sz w:val="20"/>
          <w:szCs w:val="20"/>
        </w:rPr>
        <w:t xml:space="preserve">14. </w:t>
      </w:r>
      <w:r>
        <w:rPr>
          <w:rFonts w:ascii="Calibri" w:cs="Calibri" w:eastAsia="Calibri" w:hAnsi="Calibri"/>
          <w:sz w:val="20"/>
          <w:szCs w:val="20"/>
        </w:rPr>
        <w:t xml:space="preserve">BMRC and IREB ethical approval; informed consent; data anonymised; low-confidence blocking mechanism; disclaimers against replacing professional medical advice.</w:t>
      </w:r>
    </w:p>
    <w:p>
      <w:pPr>
        <w:spacing w:after="40" w:before="40"/>
        <w:ind w:left="288"/>
      </w:pPr>
      <w:r>
        <w:rPr>
          <w:rFonts w:ascii="Calibri" w:cs="Calibri" w:eastAsia="Calibri" w:hAnsi="Calibri"/>
          <w:b/>
          <w:bCs/>
          <w:sz w:val="20"/>
          <w:szCs w:val="20"/>
        </w:rPr>
        <w:t xml:space="preserve">15. </w:t>
      </w:r>
      <w:r>
        <w:rPr>
          <w:rFonts w:ascii="Calibri" w:cs="Calibri" w:eastAsia="Calibri" w:hAnsi="Calibri"/>
          <w:sz w:val="20"/>
          <w:szCs w:val="20"/>
        </w:rPr>
        <w:t xml:space="preserve">Potential to serve 36M Bangladeshi adolescents; future: newborn/elderly expansion, RLHF/DPO, symptom checker, clinical SOPs; replicable LLM framework for low-resource health copilots globally.</w:t>
      </w:r>
    </w:p>
    <w:p>
      <w:pPr>
        <w:spacing w:after="100" w:before="100"/>
      </w:pPr>
    </w:p>
    <w:p>
      <w:pPr>
        <w:pStyle w:val="Heading2"/>
        <w:spacing w:after="100" w:before="280"/>
      </w:pPr>
      <w:r>
        <w:t xml:space="preserve">Paper 4 — IGP/CHW Efficacy Answer Key</w:t>
      </w:r>
    </w:p>
    <w:p>
      <w:pPr>
        <w:spacing w:after="40" w:before="40"/>
        <w:ind w:left="288"/>
      </w:pPr>
      <w:r>
        <w:rPr>
          <w:rFonts w:ascii="Calibri" w:cs="Calibri" w:eastAsia="Calibri" w:hAnsi="Calibri"/>
          <w:b/>
          <w:bCs/>
          <w:sz w:val="20"/>
          <w:szCs w:val="20"/>
        </w:rPr>
        <w:t xml:space="preserve">1. </w:t>
      </w:r>
      <w:r>
        <w:rPr>
          <w:rFonts w:ascii="Calibri" w:cs="Calibri" w:eastAsia="Calibri" w:hAnsi="Calibri"/>
          <w:sz w:val="20"/>
          <w:szCs w:val="20"/>
        </w:rPr>
        <w:t xml:space="preserve">Rural Bangladesh lacks primary healthcare due to professional shortages, low health literacy, and self-medication; 67% of deaths from NCDs; early detection critically underdeveloped.</w:t>
      </w:r>
    </w:p>
    <w:p>
      <w:pPr>
        <w:spacing w:after="40" w:before="40"/>
        <w:ind w:left="288"/>
      </w:pPr>
      <w:r>
        <w:rPr>
          <w:rFonts w:ascii="Calibri" w:cs="Calibri" w:eastAsia="Calibri" w:hAnsi="Calibri"/>
          <w:b/>
          <w:bCs/>
          <w:sz w:val="20"/>
          <w:szCs w:val="20"/>
        </w:rPr>
        <w:t xml:space="preserve">2. </w:t>
      </w:r>
      <w:r>
        <w:rPr>
          <w:rFonts w:ascii="Calibri" w:cs="Calibri" w:eastAsia="Calibri" w:hAnsi="Calibri"/>
          <w:sz w:val="20"/>
          <w:szCs w:val="20"/>
        </w:rPr>
        <w:t xml:space="preserve">No prior longitudinal study evaluated actual health outcome changes across multiple time periods for the CMED AI+CHW digital health model in rural Bangladesh.</w:t>
      </w:r>
    </w:p>
    <w:p>
      <w:pPr>
        <w:spacing w:after="40" w:before="40"/>
        <w:ind w:left="288"/>
      </w:pPr>
      <w:r>
        <w:rPr>
          <w:rFonts w:ascii="Calibri" w:cs="Calibri" w:eastAsia="Calibri" w:hAnsi="Calibri"/>
          <w:b/>
          <w:bCs/>
          <w:sz w:val="20"/>
          <w:szCs w:val="20"/>
        </w:rPr>
        <w:t xml:space="preserve">3. </w:t>
      </w:r>
      <w:r>
        <w:rPr>
          <w:rFonts w:ascii="Calibri" w:cs="Calibri" w:eastAsia="Calibri" w:hAnsi="Calibri"/>
          <w:sz w:val="20"/>
          <w:szCs w:val="20"/>
        </w:rPr>
        <w:t xml:space="preserve">Evaluate efficacy of CMED CHW+AI model in improving rural primary health outcomes (BMI, BP, blood glucose, MUAC) over 18 months using repeated cross-sectional design.</w:t>
      </w:r>
    </w:p>
    <w:p>
      <w:pPr>
        <w:spacing w:after="40" w:before="40"/>
        <w:ind w:left="288"/>
      </w:pPr>
      <w:r>
        <w:rPr>
          <w:rFonts w:ascii="Calibri" w:cs="Calibri" w:eastAsia="Calibri" w:hAnsi="Calibri"/>
          <w:b/>
          <w:bCs/>
          <w:sz w:val="20"/>
          <w:szCs w:val="20"/>
        </w:rPr>
        <w:t xml:space="preserve">4. </w:t>
      </w:r>
      <w:r>
        <w:rPr>
          <w:rFonts w:ascii="Calibri" w:cs="Calibri" w:eastAsia="Calibri" w:hAnsi="Calibri"/>
          <w:sz w:val="20"/>
          <w:szCs w:val="20"/>
        </w:rPr>
        <w:t xml:space="preserve">Repeated cross-sectional observational study; three six-month periods (Jul–Dec 2018; Jan–Jun 2019; Jul–Dec 2019); bottom-up household-to-upper-level approach.</w:t>
      </w:r>
    </w:p>
    <w:p>
      <w:pPr>
        <w:spacing w:after="40" w:before="40"/>
        <w:ind w:left="288"/>
      </w:pPr>
      <w:r>
        <w:rPr>
          <w:rFonts w:ascii="Calibri" w:cs="Calibri" w:eastAsia="Calibri" w:hAnsi="Calibri"/>
          <w:b/>
          <w:bCs/>
          <w:sz w:val="20"/>
          <w:szCs w:val="20"/>
        </w:rPr>
        <w:t xml:space="preserve">5. </w:t>
      </w:r>
      <w:r>
        <w:rPr>
          <w:rFonts w:ascii="Calibri" w:cs="Calibri" w:eastAsia="Calibri" w:hAnsi="Calibri"/>
          <w:sz w:val="20"/>
          <w:szCs w:val="20"/>
        </w:rPr>
        <w:t xml:space="preserve">32,581 individuals, 7,090 households, Somvag Union; CHWs used 'Enriched Sastho' app + smart health kit; data in AWS MySQL; analysed via Python/Google Colab.</w:t>
      </w:r>
    </w:p>
    <w:p>
      <w:pPr>
        <w:spacing w:after="40" w:before="40"/>
        <w:ind w:left="288"/>
      </w:pPr>
      <w:r>
        <w:rPr>
          <w:rFonts w:ascii="Calibri" w:cs="Calibri" w:eastAsia="Calibri" w:hAnsi="Calibri"/>
          <w:b/>
          <w:bCs/>
          <w:sz w:val="20"/>
          <w:szCs w:val="20"/>
        </w:rPr>
        <w:t xml:space="preserve">6. </w:t>
      </w:r>
      <w:r>
        <w:rPr>
          <w:rFonts w:ascii="Calibri" w:cs="Calibri" w:eastAsia="Calibri" w:hAnsi="Calibri"/>
          <w:sz w:val="20"/>
          <w:szCs w:val="20"/>
        </w:rPr>
        <w:t xml:space="preserve">14 CHWs (1 per 500 households); 2-week training; monthly household visits; measured BMI, BP, blood glucose, SpO₂, MUAC; AI-CDSS risk assessment; digital referrals to medical assistants/GPs.</w:t>
      </w:r>
    </w:p>
    <w:p>
      <w:pPr>
        <w:spacing w:after="40" w:before="40"/>
        <w:ind w:left="288"/>
      </w:pPr>
      <w:r>
        <w:rPr>
          <w:rFonts w:ascii="Calibri" w:cs="Calibri" w:eastAsia="Calibri" w:hAnsi="Calibri"/>
          <w:b/>
          <w:bCs/>
          <w:sz w:val="20"/>
          <w:szCs w:val="20"/>
        </w:rPr>
        <w:t xml:space="preserve">7. </w:t>
      </w:r>
      <w:r>
        <w:rPr>
          <w:rFonts w:ascii="Calibri" w:cs="Calibri" w:eastAsia="Calibri" w:hAnsi="Calibri"/>
          <w:sz w:val="20"/>
          <w:szCs w:val="20"/>
        </w:rPr>
        <w:t xml:space="preserve">Descriptive statistics (proportions, 95% CIs); multivariate logistic regression (ORs for NCD risk factors); two-proportion z-tests; Wilcoxon signed-rank test; Student's t-test; D'Agostino–Pearson normality test.</w:t>
      </w:r>
    </w:p>
    <w:p>
      <w:pPr>
        <w:spacing w:after="40" w:before="40"/>
        <w:ind w:left="288"/>
      </w:pPr>
      <w:r>
        <w:rPr>
          <w:rFonts w:ascii="Calibri" w:cs="Calibri" w:eastAsia="Calibri" w:hAnsi="Calibri"/>
          <w:b/>
          <w:bCs/>
          <w:sz w:val="20"/>
          <w:szCs w:val="20"/>
        </w:rPr>
        <w:t xml:space="preserve">8. </w:t>
      </w:r>
      <w:r>
        <w:rPr>
          <w:rFonts w:ascii="Calibri" w:cs="Calibri" w:eastAsia="Calibri" w:hAnsi="Calibri"/>
          <w:sz w:val="20"/>
          <w:szCs w:val="20"/>
        </w:rPr>
        <w:t xml:space="preserve">32,581 served (50.67% male, 49.33% female); ages 18–35 most prevalent (32.25%); ~64% under age 35.</w:t>
      </w:r>
    </w:p>
    <w:p>
      <w:pPr>
        <w:spacing w:after="40" w:before="40"/>
        <w:ind w:left="288"/>
      </w:pPr>
      <w:r>
        <w:rPr>
          <w:rFonts w:ascii="Calibri" w:cs="Calibri" w:eastAsia="Calibri" w:hAnsi="Calibri"/>
          <w:b/>
          <w:bCs/>
          <w:sz w:val="20"/>
          <w:szCs w:val="20"/>
        </w:rPr>
        <w:t xml:space="preserve">9. </w:t>
      </w:r>
      <w:r>
        <w:rPr>
          <w:rFonts w:ascii="Calibri" w:cs="Calibri" w:eastAsia="Calibri" w:hAnsi="Calibri"/>
          <w:sz w:val="20"/>
          <w:szCs w:val="20"/>
        </w:rPr>
        <w:t xml:space="preserve">21.76% overweight; 8.18% prehypertension; 16.45% high blood glucose; 11% children malnourished; 78.19% normal BP; 70.65% normal blood glucose.</w:t>
      </w:r>
    </w:p>
    <w:p>
      <w:pPr>
        <w:spacing w:after="40" w:before="40"/>
        <w:ind w:left="288"/>
      </w:pPr>
      <w:r>
        <w:rPr>
          <w:rFonts w:ascii="Calibri" w:cs="Calibri" w:eastAsia="Calibri" w:hAnsi="Calibri"/>
          <w:b/>
          <w:bCs/>
          <w:sz w:val="20"/>
          <w:szCs w:val="20"/>
        </w:rPr>
        <w:t xml:space="preserve">10. </w:t>
      </w:r>
      <w:r>
        <w:rPr>
          <w:rFonts w:ascii="Calibri" w:cs="Calibri" w:eastAsia="Calibri" w:hAnsi="Calibri"/>
          <w:sz w:val="20"/>
          <w:szCs w:val="20"/>
        </w:rPr>
        <w:t xml:space="preserve">Age ≥40: hypertension OR=13.56 (CI: 12.06–15.24); diabetes OR=3.96 (CI: 3.35–4.69). CVD associated with hypertension OR=12.50 and stroke OR=8.12. Hypertension–diabetes comorbidity: OR=7.16.</w:t>
      </w:r>
    </w:p>
    <w:p>
      <w:pPr>
        <w:spacing w:after="40" w:before="40"/>
        <w:ind w:left="288"/>
      </w:pPr>
      <w:r>
        <w:rPr>
          <w:rFonts w:ascii="Calibri" w:cs="Calibri" w:eastAsia="Calibri" w:hAnsi="Calibri"/>
          <w:b/>
          <w:bCs/>
          <w:sz w:val="20"/>
          <w:szCs w:val="20"/>
        </w:rPr>
        <w:t xml:space="preserve">11. </w:t>
      </w:r>
      <w:r>
        <w:rPr>
          <w:rFonts w:ascii="Calibri" w:cs="Calibri" w:eastAsia="Calibri" w:hAnsi="Calibri"/>
          <w:sz w:val="20"/>
          <w:szCs w:val="20"/>
        </w:rPr>
        <w:t xml:space="preserve">BMI, BP, MUAC improved significantly across 3 periods; normal BP 72.50%→82.19%; nourished children 82.87%→93.17%; blood glucose showed no significant improvement.</w:t>
      </w:r>
    </w:p>
    <w:p>
      <w:pPr>
        <w:spacing w:after="40" w:before="40"/>
        <w:ind w:left="288"/>
      </w:pPr>
      <w:r>
        <w:rPr>
          <w:rFonts w:ascii="Calibri" w:cs="Calibri" w:eastAsia="Calibri" w:hAnsi="Calibri"/>
          <w:b/>
          <w:bCs/>
          <w:sz w:val="20"/>
          <w:szCs w:val="20"/>
        </w:rPr>
        <w:t xml:space="preserve">12. </w:t>
      </w:r>
      <w:r>
        <w:rPr>
          <w:rFonts w:ascii="Calibri" w:cs="Calibri" w:eastAsia="Calibri" w:hAnsi="Calibri"/>
          <w:sz w:val="20"/>
          <w:szCs w:val="20"/>
        </w:rPr>
        <w:t xml:space="preserve">Blood glucose: normal people stopped testing (no perceived need); diabetics had uncontrolled levels; paid test created financial barrier; low retention across periods.</w:t>
      </w:r>
    </w:p>
    <w:p>
      <w:pPr>
        <w:spacing w:after="40" w:before="40"/>
        <w:ind w:left="288"/>
      </w:pPr>
      <w:r>
        <w:rPr>
          <w:rFonts w:ascii="Calibri" w:cs="Calibri" w:eastAsia="Calibri" w:hAnsi="Calibri"/>
          <w:b/>
          <w:bCs/>
          <w:sz w:val="20"/>
          <w:szCs w:val="20"/>
        </w:rPr>
        <w:t xml:space="preserve">13. </w:t>
      </w:r>
      <w:r>
        <w:rPr>
          <w:rFonts w:ascii="Calibri" w:cs="Calibri" w:eastAsia="Calibri" w:hAnsi="Calibri"/>
          <w:sz w:val="20"/>
          <w:szCs w:val="20"/>
        </w:rPr>
        <w:t xml:space="preserve">Compared health vital proportions across 3 periods using two-proportion z-tests and Wilcoxon signed-rank test; statistically significant improvements confirmed for BMI, BP, MUAC.</w:t>
      </w:r>
    </w:p>
    <w:p>
      <w:pPr>
        <w:spacing w:after="40" w:before="40"/>
        <w:ind w:left="288"/>
      </w:pPr>
      <w:r>
        <w:rPr>
          <w:rFonts w:ascii="Calibri" w:cs="Calibri" w:eastAsia="Calibri" w:hAnsi="Calibri"/>
          <w:b/>
          <w:bCs/>
          <w:sz w:val="20"/>
          <w:szCs w:val="20"/>
        </w:rPr>
        <w:t xml:space="preserve">14. </w:t>
      </w:r>
      <w:r>
        <w:rPr>
          <w:rFonts w:ascii="Calibri" w:cs="Calibri" w:eastAsia="Calibri" w:hAnsi="Calibri"/>
          <w:sz w:val="20"/>
          <w:szCs w:val="20"/>
        </w:rPr>
        <w:t xml:space="preserve">One union only (limited generalisability); gender imbalance (more female data due to daytime visits); blood glucose test retention low; referral follow-up incomplete due to server issues.</w:t>
      </w:r>
    </w:p>
    <w:p>
      <w:pPr>
        <w:spacing w:after="40" w:before="40"/>
        <w:ind w:left="288"/>
      </w:pPr>
      <w:r>
        <w:rPr>
          <w:rFonts w:ascii="Calibri" w:cs="Calibri" w:eastAsia="Calibri" w:hAnsi="Calibri"/>
          <w:b/>
          <w:bCs/>
          <w:sz w:val="20"/>
          <w:szCs w:val="20"/>
        </w:rPr>
        <w:t xml:space="preserve">15. </w:t>
      </w:r>
      <w:r>
        <w:rPr>
          <w:rFonts w:ascii="Calibri" w:cs="Calibri" w:eastAsia="Calibri" w:hAnsi="Calibri"/>
          <w:sz w:val="20"/>
          <w:szCs w:val="20"/>
        </w:rPr>
        <w:t xml:space="preserve">32,581 individuals served in 18 months; AI+CHW model effective for BMI, BP, MUAC; scaling recommended via public-private partnerships at US$1/family/month; future: early risk prediction, Bangla medical-GPT, AI health insurance.</w:t>
      </w:r>
    </w:p>
    <w:p>
      <w:pPr>
        <w:spacing w:after="100" w:before="100"/>
      </w:pPr>
    </w:p>
    <w:p>
      <w:r>
        <w:br w:type="page"/>
      </w:r>
    </w:p>
    <w:p>
      <w:pPr>
        <w:pStyle w:val="Heading1"/>
        <w:spacing w:after="120" w:before="360"/>
      </w:pPr>
      <w:r>
        <w:t xml:space="preserve">Four-Paper Comparison Table</w:t>
      </w:r>
    </w:p>
    <w:p>
      <w:pPr>
        <w:pBdr>
          <w:bottom w:val="single" w:color="999999" w:sz="4" w:space="1"/>
        </w:pBdr>
        <w:spacing w:after="100" w:before="100"/>
      </w:pPr>
    </w:p>
    <w:p>
      <w:pPr>
        <w:spacing w:after="160" w:before="40"/>
      </w:pPr>
      <w:r>
        <w:rPr>
          <w:rFonts w:ascii="Calibri" w:cs="Calibri" w:eastAsia="Calibri" w:hAnsi="Calibri"/>
          <w:i/>
          <w:iCs/>
          <w:color w:val="595959"/>
          <w:sz w:val="22"/>
          <w:szCs w:val="22"/>
        </w:rPr>
        <w:t xml:space="preserve">The table below compares all four papers across key research dimensions.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0"/>
        <w:gridCol w:w="1870"/>
        <w:gridCol w:w="1870"/>
        <w:gridCol w:w="1870"/>
        <w:gridCol w:w="1870"/>
      </w:tblGrid>
      <w:tr>
        <w:trPr>
          <w:tblHeader/>
        </w:trPr>
        <w:tc>
          <w:tcPr>
            <w:tcW w:type="dxa" w:w="1870"/>
            <w:shd w:fill="2E74B5" w:val="clear"/>
          </w:tcPr>
          <w:p>
            <w:pPr>
              <w:spacing w:after="40" w:before="40"/>
            </w:pPr>
            <w:r>
              <w:rPr>
                <w:rFonts w:ascii="Calibri" w:cs="Calibri" w:eastAsia="Calibri" w:hAnsi="Calibri"/>
                <w:b/>
                <w:bCs/>
                <w:color w:val="FFFFFF"/>
                <w:sz w:val="20"/>
                <w:szCs w:val="20"/>
              </w:rPr>
              <w:t xml:space="preserve">Aspect</w:t>
            </w:r>
          </w:p>
        </w:tc>
        <w:tc>
          <w:tcPr>
            <w:tcW w:type="dxa" w:w="1870"/>
            <w:shd w:fill="2E74B5" w:val="clear"/>
          </w:tcPr>
          <w:p>
            <w:pPr>
              <w:spacing w:after="40" w:before="40"/>
            </w:pPr>
            <w:r>
              <w:rPr>
                <w:rFonts w:ascii="Calibri" w:cs="Calibri" w:eastAsia="Calibri" w:hAnsi="Calibri"/>
                <w:b/>
                <w:bCs/>
                <w:color w:val="FFFFFF"/>
                <w:sz w:val="20"/>
                <w:szCs w:val="20"/>
              </w:rPr>
              <w:t xml:space="preserve">Paper 1 (Solar/Carbon)</w:t>
            </w:r>
          </w:p>
        </w:tc>
        <w:tc>
          <w:tcPr>
            <w:tcW w:type="dxa" w:w="1870"/>
            <w:shd w:fill="2E74B5" w:val="clear"/>
          </w:tcPr>
          <w:p>
            <w:pPr>
              <w:spacing w:after="40" w:before="40"/>
            </w:pPr>
            <w:r>
              <w:rPr>
                <w:rFonts w:ascii="Calibri" w:cs="Calibri" w:eastAsia="Calibri" w:hAnsi="Calibri"/>
                <w:b/>
                <w:bCs/>
                <w:color w:val="FFFFFF"/>
                <w:sz w:val="20"/>
                <w:szCs w:val="20"/>
              </w:rPr>
              <w:t xml:space="preserve">Paper 2 (CMED Feasibility)</w:t>
            </w:r>
          </w:p>
        </w:tc>
        <w:tc>
          <w:tcPr>
            <w:tcW w:type="dxa" w:w="1870"/>
            <w:shd w:fill="2E74B5" w:val="clear"/>
          </w:tcPr>
          <w:p>
            <w:pPr>
              <w:spacing w:after="40" w:before="40"/>
            </w:pPr>
            <w:r>
              <w:rPr>
                <w:rFonts w:ascii="Calibri" w:cs="Calibri" w:eastAsia="Calibri" w:hAnsi="Calibri"/>
                <w:b/>
                <w:bCs/>
                <w:color w:val="FFFFFF"/>
                <w:sz w:val="20"/>
                <w:szCs w:val="20"/>
              </w:rPr>
              <w:t xml:space="preserve">Paper 3 (SuSastho.AI)</w:t>
            </w:r>
          </w:p>
        </w:tc>
        <w:tc>
          <w:tcPr>
            <w:tcW w:type="dxa" w:w="1870"/>
            <w:shd w:fill="2E74B5" w:val="clear"/>
          </w:tcPr>
          <w:p>
            <w:pPr>
              <w:spacing w:after="40" w:before="40"/>
            </w:pPr>
            <w:r>
              <w:rPr>
                <w:rFonts w:ascii="Calibri" w:cs="Calibri" w:eastAsia="Calibri" w:hAnsi="Calibri"/>
                <w:b/>
                <w:bCs/>
                <w:color w:val="FFFFFF"/>
                <w:sz w:val="20"/>
                <w:szCs w:val="20"/>
              </w:rPr>
              <w:t xml:space="preserve">Paper 4 (IGP/CHW Efficacy)</w:t>
            </w:r>
          </w:p>
        </w:tc>
      </w:tr>
      <w:tr>
        <w:tc>
          <w:tcPr>
            <w:tcW w:type="dxa" w:w="1870"/>
            <w:shd w:fill="F2F8FD" w:val="clear"/>
          </w:tcPr>
          <w:p>
            <w:pPr>
              <w:spacing w:after="30" w:before="30"/>
            </w:pPr>
            <w:r>
              <w:rPr>
                <w:rFonts w:ascii="Calibri" w:cs="Calibri" w:eastAsia="Calibri" w:hAnsi="Calibri"/>
                <w:sz w:val="18"/>
                <w:szCs w:val="18"/>
              </w:rPr>
              <w:t xml:space="preserve">Problem</w:t>
            </w:r>
          </w:p>
        </w:tc>
        <w:tc>
          <w:tcPr>
            <w:tcW w:type="dxa" w:w="1870"/>
            <w:shd w:fill="F2F8FD" w:val="clear"/>
          </w:tcPr>
          <w:p>
            <w:pPr>
              <w:spacing w:after="30" w:before="30"/>
            </w:pPr>
            <w:r>
              <w:rPr>
                <w:rFonts w:ascii="Calibri" w:cs="Calibri" w:eastAsia="Calibri" w:hAnsi="Calibri"/>
                <w:sz w:val="18"/>
                <w:szCs w:val="18"/>
              </w:rPr>
              <w:t xml:space="preserve">Rural healthcare lacks reliable electricity; fossil-fuel dependence; no prior solar NMS+carbon model for this sector</w:t>
            </w:r>
          </w:p>
        </w:tc>
        <w:tc>
          <w:tcPr>
            <w:tcW w:type="dxa" w:w="1870"/>
            <w:shd w:fill="F2F8FD" w:val="clear"/>
          </w:tcPr>
          <w:p>
            <w:pPr>
              <w:spacing w:after="30" w:before="30"/>
            </w:pPr>
            <w:r>
              <w:rPr>
                <w:rFonts w:ascii="Calibri" w:cs="Calibri" w:eastAsia="Calibri" w:hAnsi="Calibri"/>
                <w:sz w:val="18"/>
                <w:szCs w:val="18"/>
              </w:rPr>
              <w:t xml:space="preserve">Rural communities lack preventive NCD care; no evidence on usability/efficacy of commercial mHealth in rural Bangladesh</w:t>
            </w:r>
          </w:p>
        </w:tc>
        <w:tc>
          <w:tcPr>
            <w:tcW w:type="dxa" w:w="1870"/>
            <w:shd w:fill="F2F8FD" w:val="clear"/>
          </w:tcPr>
          <w:p>
            <w:pPr>
              <w:spacing w:after="30" w:before="30"/>
            </w:pPr>
            <w:r>
              <w:rPr>
                <w:rFonts w:ascii="Calibri" w:cs="Calibri" w:eastAsia="Calibri" w:hAnsi="Calibri"/>
                <w:sz w:val="18"/>
                <w:szCs w:val="18"/>
              </w:rPr>
              <w:t xml:space="preserve">Adolescents lack SRMH information; existing chatbots use predefined rules; no voice LLM copilot for this population</w:t>
            </w:r>
          </w:p>
        </w:tc>
        <w:tc>
          <w:tcPr>
            <w:tcW w:type="dxa" w:w="1870"/>
            <w:shd w:fill="F2F8FD" w:val="clear"/>
          </w:tcPr>
          <w:p>
            <w:pPr>
              <w:spacing w:after="30" w:before="30"/>
            </w:pPr>
            <w:r>
              <w:rPr>
                <w:rFonts w:ascii="Calibri" w:cs="Calibri" w:eastAsia="Calibri" w:hAnsi="Calibri"/>
                <w:sz w:val="18"/>
                <w:szCs w:val="18"/>
              </w:rPr>
              <w:t xml:space="preserve">Rural Bangladesh lacks primary healthcare; CHW shortages; NCDs rising; no longitudinal study of AI+CHW digital model</w:t>
            </w:r>
          </w:p>
        </w:tc>
      </w:tr>
      <w:tr>
        <w:tc>
          <w:tcPr>
            <w:tcW w:type="dxa" w:w="1870"/>
          </w:tcPr>
          <w:p>
            <w:pPr>
              <w:spacing w:after="30" w:before="30"/>
            </w:pPr>
            <w:r>
              <w:rPr>
                <w:rFonts w:ascii="Calibri" w:cs="Calibri" w:eastAsia="Calibri" w:hAnsi="Calibri"/>
                <w:sz w:val="18"/>
                <w:szCs w:val="18"/>
              </w:rPr>
              <w:t xml:space="preserve">Objective</w:t>
            </w:r>
          </w:p>
        </w:tc>
        <w:tc>
          <w:tcPr>
            <w:tcW w:type="dxa" w:w="1870"/>
          </w:tcPr>
          <w:p>
            <w:pPr>
              <w:spacing w:after="30" w:before="30"/>
            </w:pPr>
            <w:r>
              <w:rPr>
                <w:rFonts w:ascii="Calibri" w:cs="Calibri" w:eastAsia="Calibri" w:hAnsi="Calibri"/>
                <w:sz w:val="18"/>
                <w:szCs w:val="18"/>
              </w:rPr>
              <w:t xml:space="preserve">Techno-economic feasibility of rooftop solar NMS + carbon credit revenue + Net Metering Guideline amendments</w:t>
            </w:r>
          </w:p>
        </w:tc>
        <w:tc>
          <w:tcPr>
            <w:tcW w:type="dxa" w:w="1870"/>
          </w:tcPr>
          <w:p>
            <w:pPr>
              <w:spacing w:after="30" w:before="30"/>
            </w:pPr>
            <w:r>
              <w:rPr>
                <w:rFonts w:ascii="Calibri" w:cs="Calibri" w:eastAsia="Calibri" w:hAnsi="Calibri"/>
                <w:sz w:val="18"/>
                <w:szCs w:val="18"/>
              </w:rPr>
              <w:t xml:space="preserve">Assess content, usability, and efficacy of CMED digital health platform for NCD prevention</w:t>
            </w:r>
          </w:p>
        </w:tc>
        <w:tc>
          <w:tcPr>
            <w:tcW w:type="dxa" w:w="1870"/>
          </w:tcPr>
          <w:p>
            <w:pPr>
              <w:spacing w:after="30" w:before="30"/>
            </w:pPr>
            <w:r>
              <w:rPr>
                <w:rFonts w:ascii="Calibri" w:cs="Calibri" w:eastAsia="Calibri" w:hAnsi="Calibri"/>
                <w:sz w:val="18"/>
                <w:szCs w:val="18"/>
              </w:rPr>
              <w:t xml:space="preserve">Develop &amp; evaluate evidence-based, multimodal LLM copilot for adolescent SRMH</w:t>
            </w:r>
          </w:p>
        </w:tc>
        <w:tc>
          <w:tcPr>
            <w:tcW w:type="dxa" w:w="1870"/>
          </w:tcPr>
          <w:p>
            <w:pPr>
              <w:spacing w:after="30" w:before="30"/>
            </w:pPr>
            <w:r>
              <w:rPr>
                <w:rFonts w:ascii="Calibri" w:cs="Calibri" w:eastAsia="Calibri" w:hAnsi="Calibri"/>
                <w:sz w:val="18"/>
                <w:szCs w:val="18"/>
              </w:rPr>
              <w:t xml:space="preserve">Evaluate efficacy of CMED CHW+AI digital health model in improving health outcomes over 18 months</w:t>
            </w:r>
          </w:p>
        </w:tc>
      </w:tr>
      <w:tr>
        <w:tc>
          <w:tcPr>
            <w:tcW w:type="dxa" w:w="1870"/>
            <w:shd w:fill="F2F8FD" w:val="clear"/>
          </w:tcPr>
          <w:p>
            <w:pPr>
              <w:spacing w:after="30" w:before="30"/>
            </w:pPr>
            <w:r>
              <w:rPr>
                <w:rFonts w:ascii="Calibri" w:cs="Calibri" w:eastAsia="Calibri" w:hAnsi="Calibri"/>
                <w:sz w:val="18"/>
                <w:szCs w:val="18"/>
              </w:rPr>
              <w:t xml:space="preserve">Dataset/Data</w:t>
            </w:r>
          </w:p>
        </w:tc>
        <w:tc>
          <w:tcPr>
            <w:tcW w:type="dxa" w:w="1870"/>
            <w:shd w:fill="F2F8FD" w:val="clear"/>
          </w:tcPr>
          <w:p>
            <w:pPr>
              <w:spacing w:after="30" w:before="30"/>
            </w:pPr>
            <w:r>
              <w:rPr>
                <w:rFonts w:ascii="Calibri" w:cs="Calibri" w:eastAsia="Calibri" w:hAnsi="Calibri"/>
                <w:sz w:val="18"/>
                <w:szCs w:val="18"/>
              </w:rPr>
              <w:t xml:space="preserve">50 real facilities scaled to 5,424; rooftop area, energy consumption, sanctioned load, solar irradiance</w:t>
            </w:r>
          </w:p>
        </w:tc>
        <w:tc>
          <w:tcPr>
            <w:tcW w:type="dxa" w:w="1870"/>
            <w:shd w:fill="F2F8FD" w:val="clear"/>
          </w:tcPr>
          <w:p>
            <w:pPr>
              <w:spacing w:after="30" w:before="30"/>
            </w:pPr>
            <w:r>
              <w:rPr>
                <w:rFonts w:ascii="Calibri" w:cs="Calibri" w:eastAsia="Calibri" w:hAnsi="Calibri"/>
                <w:sz w:val="18"/>
                <w:szCs w:val="18"/>
              </w:rPr>
              <w:t xml:space="preserve">7,000+ households (21 villages, 6 months); 393 questionnaires; KII + 4 FGDs; platform-generated health data</w:t>
            </w:r>
          </w:p>
        </w:tc>
        <w:tc>
          <w:tcPr>
            <w:tcW w:type="dxa" w:w="1870"/>
            <w:shd w:fill="F2F8FD" w:val="clear"/>
          </w:tcPr>
          <w:p>
            <w:pPr>
              <w:spacing w:after="30" w:before="30"/>
            </w:pPr>
            <w:r>
              <w:rPr>
                <w:rFonts w:ascii="Calibri" w:cs="Calibri" w:eastAsia="Calibri" w:hAnsi="Calibri"/>
                <w:sz w:val="18"/>
                <w:szCs w:val="18"/>
              </w:rPr>
              <w:t xml:space="preserve">2,063 KB documents; 8,614 fine-tuning examples; 428 pilot questions from 32 participants</w:t>
            </w:r>
          </w:p>
        </w:tc>
        <w:tc>
          <w:tcPr>
            <w:tcW w:type="dxa" w:w="1870"/>
            <w:shd w:fill="F2F8FD" w:val="clear"/>
          </w:tcPr>
          <w:p>
            <w:pPr>
              <w:spacing w:after="30" w:before="30"/>
            </w:pPr>
            <w:r>
              <w:rPr>
                <w:rFonts w:ascii="Calibri" w:cs="Calibri" w:eastAsia="Calibri" w:hAnsi="Calibri"/>
                <w:sz w:val="18"/>
                <w:szCs w:val="18"/>
              </w:rPr>
              <w:t xml:space="preserve">32,581 individuals, 7,090 households; Somvag Union; Jul 2018–Dec 2019; BMI, BP, blood glucose, MUAC measurements</w:t>
            </w:r>
          </w:p>
        </w:tc>
      </w:tr>
      <w:tr>
        <w:tc>
          <w:tcPr>
            <w:tcW w:type="dxa" w:w="1870"/>
          </w:tcPr>
          <w:p>
            <w:pPr>
              <w:spacing w:after="30" w:before="30"/>
            </w:pPr>
            <w:r>
              <w:rPr>
                <w:rFonts w:ascii="Calibri" w:cs="Calibri" w:eastAsia="Calibri" w:hAnsi="Calibri"/>
                <w:sz w:val="18"/>
                <w:szCs w:val="18"/>
              </w:rPr>
              <w:t xml:space="preserve">Methodology</w:t>
            </w:r>
          </w:p>
        </w:tc>
        <w:tc>
          <w:tcPr>
            <w:tcW w:type="dxa" w:w="1870"/>
          </w:tcPr>
          <w:p>
            <w:pPr>
              <w:spacing w:after="30" w:before="30"/>
            </w:pPr>
            <w:r>
              <w:rPr>
                <w:rFonts w:ascii="Calibri" w:cs="Calibri" w:eastAsia="Calibri" w:hAnsi="Calibri"/>
                <w:sz w:val="18"/>
                <w:szCs w:val="18"/>
              </w:rPr>
              <w:t xml:space="preserve">Quantitative techno-economic feasibility; 10-step cost-benefit analysis with dual revenue model</w:t>
            </w:r>
          </w:p>
        </w:tc>
        <w:tc>
          <w:tcPr>
            <w:tcW w:type="dxa" w:w="1870"/>
          </w:tcPr>
          <w:p>
            <w:pPr>
              <w:spacing w:after="30" w:before="30"/>
            </w:pPr>
            <w:r>
              <w:rPr>
                <w:rFonts w:ascii="Calibri" w:cs="Calibri" w:eastAsia="Calibri" w:hAnsi="Calibri"/>
                <w:sz w:val="18"/>
                <w:szCs w:val="18"/>
              </w:rPr>
              <w:t xml:space="preserve">Action Research; mixed-methods (quantitative + qualitative + participant observation)</w:t>
            </w:r>
          </w:p>
        </w:tc>
        <w:tc>
          <w:tcPr>
            <w:tcW w:type="dxa" w:w="1870"/>
          </w:tcPr>
          <w:p>
            <w:pPr>
              <w:spacing w:after="30" w:before="30"/>
            </w:pPr>
            <w:r>
              <w:rPr>
                <w:rFonts w:ascii="Calibri" w:cs="Calibri" w:eastAsia="Calibri" w:hAnsi="Calibri"/>
                <w:sz w:val="18"/>
                <w:szCs w:val="18"/>
              </w:rPr>
              <w:t xml:space="preserve">LLM development: EBM + CoT + RAG; human evaluation pilot study</w:t>
            </w:r>
          </w:p>
        </w:tc>
        <w:tc>
          <w:tcPr>
            <w:tcW w:type="dxa" w:w="1870"/>
          </w:tcPr>
          <w:p>
            <w:pPr>
              <w:spacing w:after="30" w:before="30"/>
            </w:pPr>
            <w:r>
              <w:rPr>
                <w:rFonts w:ascii="Calibri" w:cs="Calibri" w:eastAsia="Calibri" w:hAnsi="Calibri"/>
                <w:sz w:val="18"/>
                <w:szCs w:val="18"/>
              </w:rPr>
              <w:t xml:space="preserve">Repeated cross-sectional observational; descriptive stats + multivariate logistic regression + period comparison</w:t>
            </w:r>
          </w:p>
        </w:tc>
      </w:tr>
      <w:tr>
        <w:tc>
          <w:tcPr>
            <w:tcW w:type="dxa" w:w="1870"/>
            <w:shd w:fill="F2F8FD" w:val="clear"/>
          </w:tcPr>
          <w:p>
            <w:pPr>
              <w:spacing w:after="30" w:before="30"/>
            </w:pPr>
            <w:r>
              <w:rPr>
                <w:rFonts w:ascii="Calibri" w:cs="Calibri" w:eastAsia="Calibri" w:hAnsi="Calibri"/>
                <w:sz w:val="18"/>
                <w:szCs w:val="18"/>
              </w:rPr>
              <w:t xml:space="preserve">Analysis Type</w:t>
            </w:r>
          </w:p>
        </w:tc>
        <w:tc>
          <w:tcPr>
            <w:tcW w:type="dxa" w:w="1870"/>
            <w:shd w:fill="F2F8FD" w:val="clear"/>
          </w:tcPr>
          <w:p>
            <w:pPr>
              <w:spacing w:after="30" w:before="30"/>
            </w:pPr>
            <w:r>
              <w:rPr>
                <w:rFonts w:ascii="Calibri" w:cs="Calibri" w:eastAsia="Calibri" w:hAnsi="Calibri"/>
                <w:sz w:val="18"/>
                <w:szCs w:val="18"/>
              </w:rPr>
              <w:t xml:space="preserve">Quantitative (financial modelling + sensitivity analysis)</w:t>
            </w:r>
          </w:p>
        </w:tc>
        <w:tc>
          <w:tcPr>
            <w:tcW w:type="dxa" w:w="1870"/>
            <w:shd w:fill="F2F8FD" w:val="clear"/>
          </w:tcPr>
          <w:p>
            <w:pPr>
              <w:spacing w:after="30" w:before="30"/>
            </w:pPr>
            <w:r>
              <w:rPr>
                <w:rFonts w:ascii="Calibri" w:cs="Calibri" w:eastAsia="Calibri" w:hAnsi="Calibri"/>
                <w:sz w:val="18"/>
                <w:szCs w:val="18"/>
              </w:rPr>
              <w:t xml:space="preserve">Mixed-methods (quantitative + qualitative)</w:t>
            </w:r>
          </w:p>
        </w:tc>
        <w:tc>
          <w:tcPr>
            <w:tcW w:type="dxa" w:w="1870"/>
            <w:shd w:fill="F2F8FD" w:val="clear"/>
          </w:tcPr>
          <w:p>
            <w:pPr>
              <w:spacing w:after="30" w:before="30"/>
            </w:pPr>
            <w:r>
              <w:rPr>
                <w:rFonts w:ascii="Calibri" w:cs="Calibri" w:eastAsia="Calibri" w:hAnsi="Calibri"/>
                <w:sz w:val="18"/>
                <w:szCs w:val="18"/>
              </w:rPr>
              <w:t xml:space="preserve">Mixed (quantitative accuracy metrics + qualitative usability survey)</w:t>
            </w:r>
          </w:p>
        </w:tc>
        <w:tc>
          <w:tcPr>
            <w:tcW w:type="dxa" w:w="1870"/>
            <w:shd w:fill="F2F8FD" w:val="clear"/>
          </w:tcPr>
          <w:p>
            <w:pPr>
              <w:spacing w:after="30" w:before="30"/>
            </w:pPr>
            <w:r>
              <w:rPr>
                <w:rFonts w:ascii="Calibri" w:cs="Calibri" w:eastAsia="Calibri" w:hAnsi="Calibri"/>
                <w:sz w:val="18"/>
                <w:szCs w:val="18"/>
              </w:rPr>
              <w:t xml:space="preserve">Quantitative (descriptive, logistic regression, z-tests, Wilcoxon)</w:t>
            </w:r>
          </w:p>
        </w:tc>
      </w:tr>
      <w:tr>
        <w:tc>
          <w:tcPr>
            <w:tcW w:type="dxa" w:w="1870"/>
          </w:tcPr>
          <w:p>
            <w:pPr>
              <w:spacing w:after="30" w:before="30"/>
            </w:pPr>
            <w:r>
              <w:rPr>
                <w:rFonts w:ascii="Calibri" w:cs="Calibri" w:eastAsia="Calibri" w:hAnsi="Calibri"/>
                <w:sz w:val="18"/>
                <w:szCs w:val="18"/>
              </w:rPr>
              <w:t xml:space="preserve">Proposed Solution</w:t>
            </w:r>
          </w:p>
        </w:tc>
        <w:tc>
          <w:tcPr>
            <w:tcW w:type="dxa" w:w="1870"/>
          </w:tcPr>
          <w:p>
            <w:pPr>
              <w:spacing w:after="30" w:before="30"/>
            </w:pPr>
            <w:r>
              <w:rPr>
                <w:rFonts w:ascii="Calibri" w:cs="Calibri" w:eastAsia="Calibri" w:hAnsi="Calibri"/>
                <w:sz w:val="18"/>
                <w:szCs w:val="18"/>
              </w:rPr>
              <w:t xml:space="preserve">Rooftop solar NMS (7.86 MWp) with dual revenue: energy + carbon credits; Net Metering Guideline amendments</w:t>
            </w:r>
          </w:p>
        </w:tc>
        <w:tc>
          <w:tcPr>
            <w:tcW w:type="dxa" w:w="1870"/>
          </w:tcPr>
          <w:p>
            <w:pPr>
              <w:spacing w:after="30" w:before="30"/>
            </w:pPr>
            <w:r>
              <w:rPr>
                <w:rFonts w:ascii="Calibri" w:cs="Calibri" w:eastAsia="Calibri" w:hAnsi="Calibri"/>
                <w:sz w:val="18"/>
                <w:szCs w:val="18"/>
              </w:rPr>
              <w:t xml:space="preserve">CMED IoT+AI+cloud platform (smart sensors + mobile app + CDSS) for community NCD screening and advice</w:t>
            </w:r>
          </w:p>
        </w:tc>
        <w:tc>
          <w:tcPr>
            <w:tcW w:type="dxa" w:w="1870"/>
          </w:tcPr>
          <w:p>
            <w:pPr>
              <w:spacing w:after="30" w:before="30"/>
            </w:pPr>
            <w:r>
              <w:rPr>
                <w:rFonts w:ascii="Calibri" w:cs="Calibri" w:eastAsia="Calibri" w:hAnsi="Calibri"/>
                <w:sz w:val="18"/>
                <w:szCs w:val="18"/>
              </w:rPr>
              <w:t xml:space="preserve">SuSastho.AI: fine-tuned Llama 3 8B + Multilingual E5 + EBM + CoT + RAG + voice interface</w:t>
            </w:r>
          </w:p>
        </w:tc>
        <w:tc>
          <w:tcPr>
            <w:tcW w:type="dxa" w:w="1870"/>
          </w:tcPr>
          <w:p>
            <w:pPr>
              <w:spacing w:after="30" w:before="30"/>
            </w:pPr>
            <w:r>
              <w:rPr>
                <w:rFonts w:ascii="Calibri" w:cs="Calibri" w:eastAsia="Calibri" w:hAnsi="Calibri"/>
                <w:sz w:val="18"/>
                <w:szCs w:val="18"/>
              </w:rPr>
              <w:t xml:space="preserve">CMED smart health kit + 'Enriched Sastho' app + AI-CDSS + 14 CHWs for doorstep monthly health monitoring</w:t>
            </w:r>
          </w:p>
        </w:tc>
      </w:tr>
      <w:tr>
        <w:tc>
          <w:tcPr>
            <w:tcW w:type="dxa" w:w="1870"/>
            <w:shd w:fill="F2F8FD" w:val="clear"/>
          </w:tcPr>
          <w:p>
            <w:pPr>
              <w:spacing w:after="30" w:before="30"/>
            </w:pPr>
            <w:r>
              <w:rPr>
                <w:rFonts w:ascii="Calibri" w:cs="Calibri" w:eastAsia="Calibri" w:hAnsi="Calibri"/>
                <w:sz w:val="18"/>
                <w:szCs w:val="18"/>
              </w:rPr>
              <w:t xml:space="preserve">Evaluation</w:t>
            </w:r>
          </w:p>
        </w:tc>
        <w:tc>
          <w:tcPr>
            <w:tcW w:type="dxa" w:w="1870"/>
            <w:shd w:fill="F2F8FD" w:val="clear"/>
          </w:tcPr>
          <w:p>
            <w:pPr>
              <w:spacing w:after="30" w:before="30"/>
            </w:pPr>
            <w:r>
              <w:rPr>
                <w:rFonts w:ascii="Calibri" w:cs="Calibri" w:eastAsia="Calibri" w:hAnsi="Calibri"/>
                <w:sz w:val="18"/>
                <w:szCs w:val="18"/>
              </w:rPr>
              <w:t xml:space="preserve">NPV, IRR, Payback, LCOE; sensitivity analysis at 10 CAGR scenarios; SREDA calculator verification</w:t>
            </w:r>
          </w:p>
        </w:tc>
        <w:tc>
          <w:tcPr>
            <w:tcW w:type="dxa" w:w="1870"/>
            <w:shd w:fill="F2F8FD" w:val="clear"/>
          </w:tcPr>
          <w:p>
            <w:pPr>
              <w:spacing w:after="30" w:before="30"/>
            </w:pPr>
            <w:r>
              <w:rPr>
                <w:rFonts w:ascii="Calibri" w:cs="Calibri" w:eastAsia="Calibri" w:hAnsi="Calibri"/>
                <w:sz w:val="18"/>
                <w:szCs w:val="18"/>
              </w:rPr>
              <w:t xml:space="preserve">Content analysis, usability testing, observational study, efficacy testing; 99.5% acceptance; NCD detection rates</w:t>
            </w:r>
          </w:p>
        </w:tc>
        <w:tc>
          <w:tcPr>
            <w:tcW w:type="dxa" w:w="1870"/>
            <w:shd w:fill="F2F8FD" w:val="clear"/>
          </w:tcPr>
          <w:p>
            <w:pPr>
              <w:spacing w:after="30" w:before="30"/>
            </w:pPr>
            <w:r>
              <w:rPr>
                <w:rFonts w:ascii="Calibri" w:cs="Calibri" w:eastAsia="Calibri" w:hAnsi="Calibri"/>
                <w:sz w:val="18"/>
                <w:szCs w:val="18"/>
              </w:rPr>
              <w:t xml:space="preserve">Human evaluation by SRMH experts; accuracy/correctness; comparison vs. RAG+Llama3 and baseline Llama3</w:t>
            </w:r>
          </w:p>
        </w:tc>
        <w:tc>
          <w:tcPr>
            <w:tcW w:type="dxa" w:w="1870"/>
            <w:shd w:fill="F2F8FD" w:val="clear"/>
          </w:tcPr>
          <w:p>
            <w:pPr>
              <w:spacing w:after="30" w:before="30"/>
            </w:pPr>
            <w:r>
              <w:rPr>
                <w:rFonts w:ascii="Calibri" w:cs="Calibri" w:eastAsia="Calibri" w:hAnsi="Calibri"/>
                <w:sz w:val="18"/>
                <w:szCs w:val="18"/>
              </w:rPr>
              <w:t xml:space="preserve">Period comparison across 3 six-month intervals; two-proportion z-tests; Wilcoxon test; multivariate logistic regression</w:t>
            </w:r>
          </w:p>
        </w:tc>
      </w:tr>
      <w:tr>
        <w:tc>
          <w:tcPr>
            <w:tcW w:type="dxa" w:w="1870"/>
          </w:tcPr>
          <w:p>
            <w:pPr>
              <w:spacing w:after="30" w:before="30"/>
            </w:pPr>
            <w:r>
              <w:rPr>
                <w:rFonts w:ascii="Calibri" w:cs="Calibri" w:eastAsia="Calibri" w:hAnsi="Calibri"/>
                <w:sz w:val="18"/>
                <w:szCs w:val="18"/>
              </w:rPr>
              <w:t xml:space="preserve">Main Results</w:t>
            </w:r>
          </w:p>
        </w:tc>
        <w:tc>
          <w:tcPr>
            <w:tcW w:type="dxa" w:w="1870"/>
          </w:tcPr>
          <w:p>
            <w:pPr>
              <w:spacing w:after="30" w:before="30"/>
            </w:pPr>
            <w:r>
              <w:rPr>
                <w:rFonts w:ascii="Calibri" w:cs="Calibri" w:eastAsia="Calibri" w:hAnsi="Calibri"/>
                <w:sz w:val="18"/>
                <w:szCs w:val="18"/>
              </w:rPr>
              <w:t xml:space="preserve">NPV US$3.86M (5% CAGR); IRR 9.85%; payback 8.35 yrs; LCOE US$0.0179/kWh; 171.48 GWh; 82,999 MTCO₂e reduced</w:t>
            </w:r>
          </w:p>
        </w:tc>
        <w:tc>
          <w:tcPr>
            <w:tcW w:type="dxa" w:w="1870"/>
          </w:tcPr>
          <w:p>
            <w:pPr>
              <w:spacing w:after="30" w:before="30"/>
            </w:pPr>
            <w:r>
              <w:rPr>
                <w:rFonts w:ascii="Calibri" w:cs="Calibri" w:eastAsia="Calibri" w:hAnsi="Calibri"/>
                <w:sz w:val="18"/>
                <w:szCs w:val="18"/>
              </w:rPr>
              <w:t xml:space="preserve">17,907 adults screened; 99.5% acceptance; 15.8% found with diabetes (vs. 2.7% prior); 11.5% hypertensive (vs. 6.5%)</w:t>
            </w:r>
          </w:p>
        </w:tc>
        <w:tc>
          <w:tcPr>
            <w:tcW w:type="dxa" w:w="1870"/>
          </w:tcPr>
          <w:p>
            <w:pPr>
              <w:spacing w:after="30" w:before="30"/>
            </w:pPr>
            <w:r>
              <w:rPr>
                <w:rFonts w:ascii="Calibri" w:cs="Calibri" w:eastAsia="Calibri" w:hAnsi="Calibri"/>
                <w:sz w:val="18"/>
                <w:szCs w:val="18"/>
              </w:rPr>
              <w:t xml:space="preserve">86.68% accuracy; 61.9% correctness (vs. RAG 40.4%, Llama3 45.8%); 87% users found answers</w:t>
            </w:r>
          </w:p>
        </w:tc>
        <w:tc>
          <w:tcPr>
            <w:tcW w:type="dxa" w:w="1870"/>
          </w:tcPr>
          <w:p>
            <w:pPr>
              <w:spacing w:after="30" w:before="30"/>
            </w:pPr>
            <w:r>
              <w:rPr>
                <w:rFonts w:ascii="Calibri" w:cs="Calibri" w:eastAsia="Calibri" w:hAnsi="Calibri"/>
                <w:sz w:val="18"/>
                <w:szCs w:val="18"/>
              </w:rPr>
              <w:t xml:space="preserve">BMI, BP, MUAC improved; normal BP 72.50%→82.19%; nourished children 82.87%→93.17%; blood glucose: no significant change</w:t>
            </w:r>
          </w:p>
        </w:tc>
      </w:tr>
      <w:tr>
        <w:tc>
          <w:tcPr>
            <w:tcW w:type="dxa" w:w="1870"/>
            <w:shd w:fill="F2F8FD" w:val="clear"/>
          </w:tcPr>
          <w:p>
            <w:pPr>
              <w:spacing w:after="30" w:before="30"/>
            </w:pPr>
            <w:r>
              <w:rPr>
                <w:rFonts w:ascii="Calibri" w:cs="Calibri" w:eastAsia="Calibri" w:hAnsi="Calibri"/>
                <w:sz w:val="18"/>
                <w:szCs w:val="18"/>
              </w:rPr>
              <w:t xml:space="preserve">Impact/Application</w:t>
            </w:r>
          </w:p>
        </w:tc>
        <w:tc>
          <w:tcPr>
            <w:tcW w:type="dxa" w:w="1870"/>
            <w:shd w:fill="F2F8FD" w:val="clear"/>
          </w:tcPr>
          <w:p>
            <w:pPr>
              <w:spacing w:after="30" w:before="30"/>
            </w:pPr>
            <w:r>
              <w:rPr>
                <w:rFonts w:ascii="Calibri" w:cs="Calibri" w:eastAsia="Calibri" w:hAnsi="Calibri"/>
                <w:sz w:val="18"/>
                <w:szCs w:val="18"/>
              </w:rPr>
              <w:t xml:space="preserve">Cost-effective renewable energy for rural healthcare; carbon-neutral pathway; policy recommendations for Bangladesh and developing nations</w:t>
            </w:r>
          </w:p>
        </w:tc>
        <w:tc>
          <w:tcPr>
            <w:tcW w:type="dxa" w:w="1870"/>
            <w:shd w:fill="F2F8FD" w:val="clear"/>
          </w:tcPr>
          <w:p>
            <w:pPr>
              <w:spacing w:after="30" w:before="30"/>
            </w:pPr>
            <w:r>
              <w:rPr>
                <w:rFonts w:ascii="Calibri" w:cs="Calibri" w:eastAsia="Calibri" w:hAnsi="Calibri"/>
                <w:sz w:val="18"/>
                <w:szCs w:val="18"/>
              </w:rPr>
              <w:t xml:space="preserve">Feasible low-cost NCD prevention for rural Bangladesh; scalable nationally as primary prevention model</w:t>
            </w:r>
          </w:p>
        </w:tc>
        <w:tc>
          <w:tcPr>
            <w:tcW w:type="dxa" w:w="1870"/>
            <w:shd w:fill="F2F8FD" w:val="clear"/>
          </w:tcPr>
          <w:p>
            <w:pPr>
              <w:spacing w:after="30" w:before="30"/>
            </w:pPr>
            <w:r>
              <w:rPr>
                <w:rFonts w:ascii="Calibri" w:cs="Calibri" w:eastAsia="Calibri" w:hAnsi="Calibri"/>
                <w:sz w:val="18"/>
                <w:szCs w:val="18"/>
              </w:rPr>
              <w:t xml:space="preserve">Democratises SRMH information for 36M adolescents; replicable LLM health copilot framework for low-resource settings</w:t>
            </w:r>
          </w:p>
        </w:tc>
        <w:tc>
          <w:tcPr>
            <w:tcW w:type="dxa" w:w="1870"/>
            <w:shd w:fill="F2F8FD" w:val="clear"/>
          </w:tcPr>
          <w:p>
            <w:pPr>
              <w:spacing w:after="30" w:before="30"/>
            </w:pPr>
            <w:r>
              <w:rPr>
                <w:rFonts w:ascii="Calibri" w:cs="Calibri" w:eastAsia="Calibri" w:hAnsi="Calibri"/>
                <w:sz w:val="18"/>
                <w:szCs w:val="18"/>
              </w:rPr>
              <w:t xml:space="preserve">AI+CHW model effective for primary healthcare; scale via public-private partnerships at US$1/family/month; pathway to UHC</w:t>
            </w:r>
          </w:p>
        </w:tc>
      </w:tr>
    </w:tbl>
    <w:p>
      <w:pPr>
        <w:spacing w:before="200"/>
      </w:pPr>
    </w:p>
    <w:p>
      <w:r>
        <w:br w:type="page"/>
      </w:r>
    </w:p>
    <w:p>
      <w:pPr>
        <w:pStyle w:val="Heading1"/>
        <w:spacing w:after="120" w:before="360"/>
      </w:pPr>
      <w:r>
        <w:t xml:space="preserve">Glossary of Key Technical Terms</w:t>
      </w:r>
    </w:p>
    <w:p>
      <w:pPr>
        <w:pBdr>
          <w:bottom w:val="single" w:color="999999" w:sz="4" w:space="1"/>
        </w:pBdr>
        <w:spacing w:after="100" w:before="100"/>
      </w:pPr>
    </w:p>
    <w:p>
      <w:pPr>
        <w:pStyle w:val="Heading2"/>
        <w:spacing w:after="100" w:before="280"/>
      </w:pPr>
      <w:r>
        <w:t xml:space="preserve">Paper 1</w:t>
      </w:r>
    </w:p>
    <w:p>
      <w:pPr>
        <w:spacing w:after="20" w:before="100"/>
      </w:pPr>
      <w:r>
        <w:rPr>
          <w:rFonts w:ascii="Calibri" w:cs="Calibri" w:eastAsia="Calibri" w:hAnsi="Calibri"/>
          <w:b/>
          <w:bCs/>
          <w:sz w:val="22"/>
          <w:szCs w:val="22"/>
        </w:rPr>
        <w:t xml:space="preserve">Term: Net Metering System (NMS)</w:t>
      </w:r>
    </w:p>
    <w:p>
      <w:pPr>
        <w:spacing w:after="80" w:before="0"/>
        <w:ind w:left="431"/>
      </w:pPr>
      <w:r>
        <w:rPr>
          <w:rFonts w:ascii="Calibri" w:cs="Calibri" w:eastAsia="Calibri" w:hAnsi="Calibri"/>
          <w:sz w:val="22"/>
          <w:szCs w:val="22"/>
        </w:rPr>
        <w:t xml:space="preserve">Definition: A billing mechanism that allows solar panel owners to export surplus electricity to the national grid and receive credit against their consumption; a bidirectional energy meter tracks electricity both exported and imported.</w:t>
      </w:r>
    </w:p>
    <w:p>
      <w:pPr>
        <w:spacing w:after="20" w:before="100"/>
      </w:pPr>
      <w:r>
        <w:rPr>
          <w:rFonts w:ascii="Calibri" w:cs="Calibri" w:eastAsia="Calibri" w:hAnsi="Calibri"/>
          <w:b/>
          <w:bCs/>
          <w:sz w:val="22"/>
          <w:szCs w:val="22"/>
        </w:rPr>
        <w:t xml:space="preserve">Term: Levelised Cost of Electricity (LCOE)</w:t>
      </w:r>
    </w:p>
    <w:p>
      <w:pPr>
        <w:spacing w:after="80" w:before="0"/>
        <w:ind w:left="431"/>
      </w:pPr>
      <w:r>
        <w:rPr>
          <w:rFonts w:ascii="Calibri" w:cs="Calibri" w:eastAsia="Calibri" w:hAnsi="Calibri"/>
          <w:sz w:val="22"/>
          <w:szCs w:val="22"/>
        </w:rPr>
        <w:t xml:space="preserve">Definition: The average total cost of building and operating a power-generating asset per unit of electricity generated over its entire lifetime, used to compare cost-effectiveness; calculated as total present-value investment divided by total lifetime power generated.</w:t>
      </w:r>
    </w:p>
    <w:p>
      <w:pPr>
        <w:spacing w:after="20" w:before="100"/>
      </w:pPr>
      <w:r>
        <w:rPr>
          <w:rFonts w:ascii="Calibri" w:cs="Calibri" w:eastAsia="Calibri" w:hAnsi="Calibri"/>
          <w:b/>
          <w:bCs/>
          <w:sz w:val="22"/>
          <w:szCs w:val="22"/>
        </w:rPr>
        <w:t xml:space="preserve">Term: Carbon Credits / Certified Emission Reductions (CERs)</w:t>
      </w:r>
    </w:p>
    <w:p>
      <w:pPr>
        <w:spacing w:after="80" w:before="0"/>
        <w:ind w:left="431"/>
      </w:pPr>
      <w:r>
        <w:rPr>
          <w:rFonts w:ascii="Calibri" w:cs="Calibri" w:eastAsia="Calibri" w:hAnsi="Calibri"/>
          <w:sz w:val="22"/>
          <w:szCs w:val="22"/>
        </w:rPr>
        <w:t xml:space="preserve">Definition: Tradeable certificates each representing the reduction, avoidance, or removal of one tonne of CO₂ from the atmosphere, issued under the Clean Development Mechanism (CDM) of the Kyoto Protocol or voluntary carbon standards.</w:t>
      </w:r>
    </w:p>
    <w:p>
      <w:pPr>
        <w:spacing w:after="20" w:before="100"/>
      </w:pPr>
      <w:r>
        <w:rPr>
          <w:rFonts w:ascii="Calibri" w:cs="Calibri" w:eastAsia="Calibri" w:hAnsi="Calibri"/>
          <w:b/>
          <w:bCs/>
          <w:sz w:val="22"/>
          <w:szCs w:val="22"/>
        </w:rPr>
        <w:t xml:space="preserve">Term: Net Present Value (NPV)</w:t>
      </w:r>
    </w:p>
    <w:p>
      <w:pPr>
        <w:spacing w:after="80" w:before="0"/>
        <w:ind w:left="431"/>
      </w:pPr>
      <w:r>
        <w:rPr>
          <w:rFonts w:ascii="Calibri" w:cs="Calibri" w:eastAsia="Calibri" w:hAnsi="Calibri"/>
          <w:sz w:val="22"/>
          <w:szCs w:val="22"/>
        </w:rPr>
        <w:t xml:space="preserve">Definition: A financial metric representing the difference between the present value of cash inflows and outflows over a project's lifetime; a positive NPV indicates the project generates more value than its cost.</w:t>
      </w:r>
    </w:p>
    <w:p>
      <w:pPr>
        <w:spacing w:after="20" w:before="100"/>
      </w:pPr>
      <w:r>
        <w:rPr>
          <w:rFonts w:ascii="Calibri" w:cs="Calibri" w:eastAsia="Calibri" w:hAnsi="Calibri"/>
          <w:b/>
          <w:bCs/>
          <w:sz w:val="22"/>
          <w:szCs w:val="22"/>
        </w:rPr>
        <w:t xml:space="preserve">Term: Internal Rate of Return (IRR)</w:t>
      </w:r>
    </w:p>
    <w:p>
      <w:pPr>
        <w:spacing w:after="80" w:before="0"/>
        <w:ind w:left="431"/>
      </w:pPr>
      <w:r>
        <w:rPr>
          <w:rFonts w:ascii="Calibri" w:cs="Calibri" w:eastAsia="Calibri" w:hAnsi="Calibri"/>
          <w:sz w:val="22"/>
          <w:szCs w:val="22"/>
        </w:rPr>
        <w:t xml:space="preserve">Definition: The discount rate at which a project's NPV equals zero; it represents the expected annualised rate of return on investment and is compared against the cost of capital to assess viability.</w:t>
      </w:r>
    </w:p>
    <w:p>
      <w:pPr>
        <w:spacing w:after="20" w:before="100"/>
      </w:pPr>
      <w:r>
        <w:rPr>
          <w:rFonts w:ascii="Calibri" w:cs="Calibri" w:eastAsia="Calibri" w:hAnsi="Calibri"/>
          <w:b/>
          <w:bCs/>
          <w:sz w:val="22"/>
          <w:szCs w:val="22"/>
        </w:rPr>
        <w:t xml:space="preserve">Term: Grid Emission Factor (GEF)</w:t>
      </w:r>
    </w:p>
    <w:p>
      <w:pPr>
        <w:spacing w:after="80" w:before="0"/>
        <w:ind w:left="431"/>
      </w:pPr>
      <w:r>
        <w:rPr>
          <w:rFonts w:ascii="Calibri" w:cs="Calibri" w:eastAsia="Calibri" w:hAnsi="Calibri"/>
          <w:sz w:val="22"/>
          <w:szCs w:val="22"/>
        </w:rPr>
        <w:t xml:space="preserve">Definition: The CO₂ equivalent emitted per unit of electricity (kWh) generated from the national grid; for Bangladesh's intermittent renewable sources (solar, wind) the GEF is 484 gCO₂/kWh, used to calculate CO₂ reduction from renewable energy production.</w:t>
      </w:r>
    </w:p>
    <w:p>
      <w:pPr>
        <w:spacing w:after="20" w:before="100"/>
      </w:pPr>
      <w:r>
        <w:rPr>
          <w:rFonts w:ascii="Calibri" w:cs="Calibri" w:eastAsia="Calibri" w:hAnsi="Calibri"/>
          <w:b/>
          <w:bCs/>
          <w:sz w:val="22"/>
          <w:szCs w:val="22"/>
        </w:rPr>
        <w:t xml:space="preserve">Term: Compound Annual Growth Rate (CAGR)</w:t>
      </w:r>
    </w:p>
    <w:p>
      <w:pPr>
        <w:spacing w:after="80" w:before="0"/>
        <w:ind w:left="431"/>
      </w:pPr>
      <w:r>
        <w:rPr>
          <w:rFonts w:ascii="Calibri" w:cs="Calibri" w:eastAsia="Calibri" w:hAnsi="Calibri"/>
          <w:sz w:val="22"/>
          <w:szCs w:val="22"/>
        </w:rPr>
        <w:t xml:space="preserve">Definition: The annualised rate of growth of carbon credit prices over a specified period, used in this study to model different market scenarios and test the financial robustness of the project under uncertainty.</w:t>
      </w:r>
    </w:p>
    <w:p>
      <w:pPr>
        <w:spacing w:after="20" w:before="100"/>
      </w:pPr>
      <w:r>
        <w:rPr>
          <w:rFonts w:ascii="Calibri" w:cs="Calibri" w:eastAsia="Calibri" w:hAnsi="Calibri"/>
          <w:b/>
          <w:bCs/>
          <w:sz w:val="22"/>
          <w:szCs w:val="22"/>
        </w:rPr>
        <w:t xml:space="preserve">Term: Clean Development Mechanism (CDM)</w:t>
      </w:r>
    </w:p>
    <w:p>
      <w:pPr>
        <w:spacing w:after="80" w:before="0"/>
        <w:ind w:left="431"/>
      </w:pPr>
      <w:r>
        <w:rPr>
          <w:rFonts w:ascii="Calibri" w:cs="Calibri" w:eastAsia="Calibri" w:hAnsi="Calibri"/>
          <w:sz w:val="22"/>
          <w:szCs w:val="22"/>
        </w:rPr>
        <w:t xml:space="preserve">Definition: A Kyoto Protocol-based framework enabling emission reduction projects in developing countries to earn CERs, which can be traded in compliance carbon markets; Bangladesh has CDM-registered projects through IDCOL.</w:t>
      </w:r>
    </w:p>
    <w:p>
      <w:pPr>
        <w:pStyle w:val="Heading2"/>
        <w:spacing w:after="100" w:before="280"/>
      </w:pPr>
      <w:r>
        <w:t xml:space="preserve">Paper 2</w:t>
      </w:r>
    </w:p>
    <w:p>
      <w:pPr>
        <w:spacing w:after="20" w:before="100"/>
      </w:pPr>
      <w:r>
        <w:rPr>
          <w:rFonts w:ascii="Calibri" w:cs="Calibri" w:eastAsia="Calibri" w:hAnsi="Calibri"/>
          <w:b/>
          <w:bCs/>
          <w:sz w:val="22"/>
          <w:szCs w:val="22"/>
        </w:rPr>
        <w:t xml:space="preserve">Term: CMED Health Platform</w:t>
      </w:r>
    </w:p>
    <w:p>
      <w:pPr>
        <w:spacing w:after="80" w:before="0"/>
        <w:ind w:left="431"/>
      </w:pPr>
      <w:r>
        <w:rPr>
          <w:rFonts w:ascii="Calibri" w:cs="Calibri" w:eastAsia="Calibri" w:hAnsi="Calibri"/>
          <w:sz w:val="22"/>
          <w:szCs w:val="22"/>
        </w:rPr>
        <w:t xml:space="preserve">Definition: An IoT-enabled, AI-driven, cloud-based preventive and primary healthcare platform using portable smart medical sensors and a smartphone app to monitor health parameters, generate CDSS-driven risk assessments, and connect users to doctors.</w:t>
      </w:r>
    </w:p>
    <w:p>
      <w:pPr>
        <w:spacing w:after="20" w:before="100"/>
      </w:pPr>
      <w:r>
        <w:rPr>
          <w:rFonts w:ascii="Calibri" w:cs="Calibri" w:eastAsia="Calibri" w:hAnsi="Calibri"/>
          <w:b/>
          <w:bCs/>
          <w:sz w:val="22"/>
          <w:szCs w:val="22"/>
        </w:rPr>
        <w:t xml:space="preserve">Term: Clinical Decision Support System (CDSS)</w:t>
      </w:r>
    </w:p>
    <w:p>
      <w:pPr>
        <w:spacing w:after="80" w:before="0"/>
        <w:ind w:left="431"/>
      </w:pPr>
      <w:r>
        <w:rPr>
          <w:rFonts w:ascii="Calibri" w:cs="Calibri" w:eastAsia="Calibri" w:hAnsi="Calibri"/>
          <w:sz w:val="22"/>
          <w:szCs w:val="22"/>
        </w:rPr>
        <w:t xml:space="preserve">Definition: A software system embedded in the CMED app that analyses health parameter measurements and provides instant, colour-coded health status feedback and clinical advice, alerting users when risk factors are detected.</w:t>
      </w:r>
    </w:p>
    <w:p>
      <w:pPr>
        <w:spacing w:after="20" w:before="100"/>
      </w:pPr>
      <w:r>
        <w:rPr>
          <w:rFonts w:ascii="Calibri" w:cs="Calibri" w:eastAsia="Calibri" w:hAnsi="Calibri"/>
          <w:b/>
          <w:bCs/>
          <w:sz w:val="22"/>
          <w:szCs w:val="22"/>
        </w:rPr>
        <w:t xml:space="preserve">Term: Noncommunicable Diseases (NCDs)</w:t>
      </w:r>
    </w:p>
    <w:p>
      <w:pPr>
        <w:spacing w:after="80" w:before="0"/>
        <w:ind w:left="431"/>
      </w:pPr>
      <w:r>
        <w:rPr>
          <w:rFonts w:ascii="Calibri" w:cs="Calibri" w:eastAsia="Calibri" w:hAnsi="Calibri"/>
          <w:sz w:val="22"/>
          <w:szCs w:val="22"/>
        </w:rPr>
        <w:t xml:space="preserve">Definition: Chronic diseases not transmitted between people, including cardiovascular disease, diabetes, hypertension, and cancer; responsible for approximately 67% of total deaths in Bangladesh.</w:t>
      </w:r>
    </w:p>
    <w:p>
      <w:pPr>
        <w:spacing w:after="20" w:before="100"/>
      </w:pPr>
      <w:r>
        <w:rPr>
          <w:rFonts w:ascii="Calibri" w:cs="Calibri" w:eastAsia="Calibri" w:hAnsi="Calibri"/>
          <w:b/>
          <w:bCs/>
          <w:sz w:val="22"/>
          <w:szCs w:val="22"/>
        </w:rPr>
        <w:t xml:space="preserve">Term: Action Research Methodology</w:t>
      </w:r>
    </w:p>
    <w:p>
      <w:pPr>
        <w:spacing w:after="80" w:before="0"/>
        <w:ind w:left="431"/>
      </w:pPr>
      <w:r>
        <w:rPr>
          <w:rFonts w:ascii="Calibri" w:cs="Calibri" w:eastAsia="Calibri" w:hAnsi="Calibri"/>
          <w:sz w:val="22"/>
          <w:szCs w:val="22"/>
        </w:rPr>
        <w:t xml:space="preserve">Definition: A cyclical, participatory research approach combining planning, action, observation, and reflection, used to iteratively evaluate and improve the CMED digital health service in a real-world community setting.</w:t>
      </w:r>
    </w:p>
    <w:p>
      <w:pPr>
        <w:spacing w:after="20" w:before="100"/>
      </w:pPr>
      <w:r>
        <w:rPr>
          <w:rFonts w:ascii="Calibri" w:cs="Calibri" w:eastAsia="Calibri" w:hAnsi="Calibri"/>
          <w:b/>
          <w:bCs/>
          <w:sz w:val="22"/>
          <w:szCs w:val="22"/>
        </w:rPr>
        <w:t xml:space="preserve">Term: Key Informant Interview (KII)</w:t>
      </w:r>
    </w:p>
    <w:p>
      <w:pPr>
        <w:spacing w:after="80" w:before="0"/>
        <w:ind w:left="431"/>
      </w:pPr>
      <w:r>
        <w:rPr>
          <w:rFonts w:ascii="Calibri" w:cs="Calibri" w:eastAsia="Calibri" w:hAnsi="Calibri"/>
          <w:sz w:val="22"/>
          <w:szCs w:val="22"/>
        </w:rPr>
        <w:t xml:space="preserve">Definition: A qualitative data collection method involving in-depth interviews with key informants (service-providing team members, senior staff, village opinion leaders) to gather expert perspectives on health service feasibility and effectiveness.</w:t>
      </w:r>
    </w:p>
    <w:p>
      <w:pPr>
        <w:spacing w:after="20" w:before="100"/>
      </w:pPr>
      <w:r>
        <w:rPr>
          <w:rFonts w:ascii="Calibri" w:cs="Calibri" w:eastAsia="Calibri" w:hAnsi="Calibri"/>
          <w:b/>
          <w:bCs/>
          <w:sz w:val="22"/>
          <w:szCs w:val="22"/>
        </w:rPr>
        <w:t xml:space="preserve">Term: MUAC (Mid-Upper Arm Circumference)</w:t>
      </w:r>
    </w:p>
    <w:p>
      <w:pPr>
        <w:spacing w:after="80" w:before="0"/>
        <w:ind w:left="431"/>
      </w:pPr>
      <w:r>
        <w:rPr>
          <w:rFonts w:ascii="Calibri" w:cs="Calibri" w:eastAsia="Calibri" w:hAnsi="Calibri"/>
          <w:sz w:val="22"/>
          <w:szCs w:val="22"/>
        </w:rPr>
        <w:t xml:space="preserve">Definition: A measurement of the circumference of the left upper arm used as a proxy indicator of nutritional status, particularly for detecting malnutrition in children under age 7; measured in this study using a standard measuring tape.</w:t>
      </w:r>
    </w:p>
    <w:p>
      <w:pPr>
        <w:pStyle w:val="Heading2"/>
        <w:spacing w:after="100" w:before="280"/>
      </w:pPr>
      <w:r>
        <w:t xml:space="preserve">Paper 3</w:t>
      </w:r>
    </w:p>
    <w:p>
      <w:pPr>
        <w:spacing w:after="20" w:before="100"/>
      </w:pPr>
      <w:r>
        <w:rPr>
          <w:rFonts w:ascii="Calibri" w:cs="Calibri" w:eastAsia="Calibri" w:hAnsi="Calibri"/>
          <w:b/>
          <w:bCs/>
          <w:sz w:val="22"/>
          <w:szCs w:val="22"/>
        </w:rPr>
        <w:t xml:space="preserve">Term: Large Language Model (LLM)</w:t>
      </w:r>
    </w:p>
    <w:p>
      <w:pPr>
        <w:spacing w:after="80" w:before="0"/>
        <w:ind w:left="431"/>
      </w:pPr>
      <w:r>
        <w:rPr>
          <w:rFonts w:ascii="Calibri" w:cs="Calibri" w:eastAsia="Calibri" w:hAnsi="Calibri"/>
          <w:sz w:val="22"/>
          <w:szCs w:val="22"/>
        </w:rPr>
        <w:t xml:space="preserve">Definition: A deep learning model trained on vast text corpora capable of understanding and generating natural language; in SuSastho.AI, the fine-tuned Llama 3 8B Instruct model serves as the core reasoning and generation engine.</w:t>
      </w:r>
    </w:p>
    <w:p>
      <w:pPr>
        <w:spacing w:after="20" w:before="100"/>
      </w:pPr>
      <w:r>
        <w:rPr>
          <w:rFonts w:ascii="Calibri" w:cs="Calibri" w:eastAsia="Calibri" w:hAnsi="Calibri"/>
          <w:b/>
          <w:bCs/>
          <w:sz w:val="22"/>
          <w:szCs w:val="22"/>
        </w:rPr>
        <w:t xml:space="preserve">Term: Retrieval-Augmented Generation (RAG)</w:t>
      </w:r>
    </w:p>
    <w:p>
      <w:pPr>
        <w:spacing w:after="80" w:before="0"/>
        <w:ind w:left="431"/>
      </w:pPr>
      <w:r>
        <w:rPr>
          <w:rFonts w:ascii="Calibri" w:cs="Calibri" w:eastAsia="Calibri" w:hAnsi="Calibri"/>
          <w:sz w:val="22"/>
          <w:szCs w:val="22"/>
        </w:rPr>
        <w:t xml:space="preserve">Definition: A framework combining a retrieval system (finding relevant documents from a knowledge base via embedding similarity) with a generative LLM, producing grounded, evidence-based responses rather than purely parametric generations.</w:t>
      </w:r>
    </w:p>
    <w:p>
      <w:pPr>
        <w:spacing w:after="20" w:before="100"/>
      </w:pPr>
      <w:r>
        <w:rPr>
          <w:rFonts w:ascii="Calibri" w:cs="Calibri" w:eastAsia="Calibri" w:hAnsi="Calibri"/>
          <w:b/>
          <w:bCs/>
          <w:sz w:val="22"/>
          <w:szCs w:val="22"/>
        </w:rPr>
        <w:t xml:space="preserve">Term: Evidence-Based Medicine (EBM)</w:t>
      </w:r>
    </w:p>
    <w:p>
      <w:pPr>
        <w:spacing w:after="80" w:before="0"/>
        <w:ind w:left="431"/>
      </w:pPr>
      <w:r>
        <w:rPr>
          <w:rFonts w:ascii="Calibri" w:cs="Calibri" w:eastAsia="Calibri" w:hAnsi="Calibri"/>
          <w:sz w:val="22"/>
          <w:szCs w:val="22"/>
        </w:rPr>
        <w:t xml:space="preserve">Definition: The clinical practice of integrating the best available research evidence with clinical expertise and patient values to guide healthcare decisions; used in SuSastho.AI as a four-step protocol to ensure responses are grounded in validated medical knowledge.</w:t>
      </w:r>
    </w:p>
    <w:p>
      <w:pPr>
        <w:spacing w:after="20" w:before="100"/>
      </w:pPr>
      <w:r>
        <w:rPr>
          <w:rFonts w:ascii="Calibri" w:cs="Calibri" w:eastAsia="Calibri" w:hAnsi="Calibri"/>
          <w:b/>
          <w:bCs/>
          <w:sz w:val="22"/>
          <w:szCs w:val="22"/>
        </w:rPr>
        <w:t xml:space="preserve">Term: Chain of Thought (CoT) Prompting</w:t>
      </w:r>
    </w:p>
    <w:p>
      <w:pPr>
        <w:spacing w:after="80" w:before="0"/>
        <w:ind w:left="431"/>
      </w:pPr>
      <w:r>
        <w:rPr>
          <w:rFonts w:ascii="Calibri" w:cs="Calibri" w:eastAsia="Calibri" w:hAnsi="Calibri"/>
          <w:sz w:val="22"/>
          <w:szCs w:val="22"/>
        </w:rPr>
        <w:t xml:space="preserve">Definition: A prompting technique that instructs the LLM to reason through intermediate steps in a structured, logical sequence before producing a final answer, reducing hallucinations and improving accuracy in complex clinical question-answering.</w:t>
      </w:r>
    </w:p>
    <w:p>
      <w:pPr>
        <w:spacing w:after="20" w:before="100"/>
      </w:pPr>
      <w:r>
        <w:rPr>
          <w:rFonts w:ascii="Calibri" w:cs="Calibri" w:eastAsia="Calibri" w:hAnsi="Calibri"/>
          <w:b/>
          <w:bCs/>
          <w:sz w:val="22"/>
          <w:szCs w:val="22"/>
        </w:rPr>
        <w:t xml:space="preserve">Term: SRMH (Sexual, Reproductive, and Mental Health)</w:t>
      </w:r>
    </w:p>
    <w:p>
      <w:pPr>
        <w:spacing w:after="80" w:before="0"/>
        <w:ind w:left="431"/>
      </w:pPr>
      <w:r>
        <w:rPr>
          <w:rFonts w:ascii="Calibri" w:cs="Calibri" w:eastAsia="Calibri" w:hAnsi="Calibri"/>
          <w:sz w:val="22"/>
          <w:szCs w:val="22"/>
        </w:rPr>
        <w:t xml:space="preserve">Definition: The domain of health encompassing sexual and reproductive health (STI prevention, family planning, pregnancy) and mental health (anxiety, depression, stress), which is the primary health focus of the SuSastho.AI copilot.</w:t>
      </w:r>
    </w:p>
    <w:p>
      <w:pPr>
        <w:spacing w:after="20" w:before="100"/>
      </w:pPr>
      <w:r>
        <w:rPr>
          <w:rFonts w:ascii="Calibri" w:cs="Calibri" w:eastAsia="Calibri" w:hAnsi="Calibri"/>
          <w:b/>
          <w:bCs/>
          <w:sz w:val="22"/>
          <w:szCs w:val="22"/>
        </w:rPr>
        <w:t xml:space="preserve">Term: Multilingual E5 Embedding Model</w:t>
      </w:r>
    </w:p>
    <w:p>
      <w:pPr>
        <w:spacing w:after="80" w:before="0"/>
        <w:ind w:left="431"/>
      </w:pPr>
      <w:r>
        <w:rPr>
          <w:rFonts w:ascii="Calibri" w:cs="Calibri" w:eastAsia="Calibri" w:hAnsi="Calibri"/>
          <w:sz w:val="22"/>
          <w:szCs w:val="22"/>
        </w:rPr>
        <w:t xml:space="preserve">Definition: A pre-trained multilingual text embedding model converting documents and queries into fixed-length vectors for semantic similarity search; used in SuSastho.AI to retrieve the most relevant KB document chunks in both English and Bengali.</w:t>
      </w:r>
    </w:p>
    <w:p>
      <w:pPr>
        <w:spacing w:after="20" w:before="100"/>
      </w:pPr>
      <w:r>
        <w:rPr>
          <w:rFonts w:ascii="Calibri" w:cs="Calibri" w:eastAsia="Calibri" w:hAnsi="Calibri"/>
          <w:b/>
          <w:bCs/>
          <w:sz w:val="22"/>
          <w:szCs w:val="22"/>
        </w:rPr>
        <w:t xml:space="preserve">Term: Banglish</w:t>
      </w:r>
    </w:p>
    <w:p>
      <w:pPr>
        <w:spacing w:after="80" w:before="0"/>
        <w:ind w:left="431"/>
      </w:pPr>
      <w:r>
        <w:rPr>
          <w:rFonts w:ascii="Calibri" w:cs="Calibri" w:eastAsia="Calibri" w:hAnsi="Calibri"/>
          <w:sz w:val="22"/>
          <w:szCs w:val="22"/>
        </w:rPr>
        <w:t xml:space="preserve">Definition: Bengali language written using English characters, a common informal writing style among Bangladeshi youth on digital platforms, which posed a significant challenge for SuSastho.AI due to limited Banglish representation in the training data.</w:t>
      </w:r>
    </w:p>
    <w:p>
      <w:pPr>
        <w:spacing w:after="20" w:before="100"/>
      </w:pPr>
      <w:r>
        <w:rPr>
          <w:rFonts w:ascii="Calibri" w:cs="Calibri" w:eastAsia="Calibri" w:hAnsi="Calibri"/>
          <w:b/>
          <w:bCs/>
          <w:sz w:val="22"/>
          <w:szCs w:val="22"/>
        </w:rPr>
        <w:t xml:space="preserve">Term: Task-QG / Task-AG</w:t>
      </w:r>
    </w:p>
    <w:p>
      <w:pPr>
        <w:spacing w:after="80" w:before="0"/>
        <w:ind w:left="431"/>
      </w:pPr>
      <w:r>
        <w:rPr>
          <w:rFonts w:ascii="Calibri" w:cs="Calibri" w:eastAsia="Calibri" w:hAnsi="Calibri"/>
          <w:sz w:val="22"/>
          <w:szCs w:val="22"/>
        </w:rPr>
        <w:t xml:space="preserve">Definition: Two fine-tuning tasks in SuSastho.AI's pipeline: Task-QG (Query Generation) formulates clinical search strings from user input in English and Bengali; Task-AG (Answer Generation) retrieves relevant medical documents and generates the final evidence-based response.</w:t>
      </w:r>
    </w:p>
    <w:p>
      <w:pPr>
        <w:pStyle w:val="Heading2"/>
        <w:spacing w:after="100" w:before="280"/>
      </w:pPr>
      <w:r>
        <w:t xml:space="preserve">Paper 4</w:t>
      </w:r>
    </w:p>
    <w:p>
      <w:pPr>
        <w:spacing w:after="20" w:before="100"/>
      </w:pPr>
      <w:r>
        <w:rPr>
          <w:rFonts w:ascii="Calibri" w:cs="Calibri" w:eastAsia="Calibri" w:hAnsi="Calibri"/>
          <w:b/>
          <w:bCs/>
          <w:sz w:val="22"/>
          <w:szCs w:val="22"/>
        </w:rPr>
        <w:t xml:space="preserve">Term: Community Health Worker (CHW) / Health Assistant (HA)</w:t>
      </w:r>
    </w:p>
    <w:p>
      <w:pPr>
        <w:spacing w:after="80" w:before="0"/>
        <w:ind w:left="431"/>
      </w:pPr>
      <w:r>
        <w:rPr>
          <w:rFonts w:ascii="Calibri" w:cs="Calibri" w:eastAsia="Calibri" w:hAnsi="Calibri"/>
          <w:sz w:val="22"/>
          <w:szCs w:val="22"/>
        </w:rPr>
        <w:t xml:space="preserve">Definition: A trained non-clinical community worker employed by CMED Health to conduct monthly household visits, collect vital health measurements using a smart health kit and mobile app, deliver AI-based risk consultations, and refer high-risk individuals to medical personnel.</w:t>
      </w:r>
    </w:p>
    <w:p>
      <w:pPr>
        <w:spacing w:after="20" w:before="100"/>
      </w:pPr>
      <w:r>
        <w:rPr>
          <w:rFonts w:ascii="Calibri" w:cs="Calibri" w:eastAsia="Calibri" w:hAnsi="Calibri"/>
          <w:b/>
          <w:bCs/>
          <w:sz w:val="22"/>
          <w:szCs w:val="22"/>
        </w:rPr>
        <w:t xml:space="preserve">Term: Repeated Cross-Sectional Observational Study</w:t>
      </w:r>
    </w:p>
    <w:p>
      <w:pPr>
        <w:spacing w:after="80" w:before="0"/>
        <w:ind w:left="431"/>
      </w:pPr>
      <w:r>
        <w:rPr>
          <w:rFonts w:ascii="Calibri" w:cs="Calibri" w:eastAsia="Calibri" w:hAnsi="Calibri"/>
          <w:sz w:val="22"/>
          <w:szCs w:val="22"/>
        </w:rPr>
        <w:t xml:space="preserve">Definition: A research design in which data are collected from members of the same population at multiple time points; in this study, health vitals were measured across three six-month periods to evaluate longitudinal intervention effects without a randomised control group.</w:t>
      </w:r>
    </w:p>
    <w:p>
      <w:pPr>
        <w:spacing w:after="20" w:before="100"/>
      </w:pPr>
      <w:r>
        <w:rPr>
          <w:rFonts w:ascii="Calibri" w:cs="Calibri" w:eastAsia="Calibri" w:hAnsi="Calibri"/>
          <w:b/>
          <w:bCs/>
          <w:sz w:val="22"/>
          <w:szCs w:val="22"/>
        </w:rPr>
        <w:t xml:space="preserve">Term: Enriched Sastho Application</w:t>
      </w:r>
    </w:p>
    <w:p>
      <w:pPr>
        <w:spacing w:after="80" w:before="0"/>
        <w:ind w:left="431"/>
      </w:pPr>
      <w:r>
        <w:rPr>
          <w:rFonts w:ascii="Calibri" w:cs="Calibri" w:eastAsia="Calibri" w:hAnsi="Calibri"/>
          <w:sz w:val="22"/>
          <w:szCs w:val="22"/>
        </w:rPr>
        <w:t xml:space="preserve">Definition: The AI-enabled mobile application used by CHWs to record household-level health data (BMI, BP, blood glucose, MUAC, demographics) and access AI-CDSS-driven risk assessments and digital referrals to healthcare providers.</w:t>
      </w:r>
    </w:p>
    <w:p>
      <w:pPr>
        <w:spacing w:after="20" w:before="100"/>
      </w:pPr>
      <w:r>
        <w:rPr>
          <w:rFonts w:ascii="Calibri" w:cs="Calibri" w:eastAsia="Calibri" w:hAnsi="Calibri"/>
          <w:b/>
          <w:bCs/>
          <w:sz w:val="22"/>
          <w:szCs w:val="22"/>
        </w:rPr>
        <w:t xml:space="preserve">Term: Odds Ratio (OR)</w:t>
      </w:r>
    </w:p>
    <w:p>
      <w:pPr>
        <w:spacing w:after="80" w:before="0"/>
        <w:ind w:left="431"/>
      </w:pPr>
      <w:r>
        <w:rPr>
          <w:rFonts w:ascii="Calibri" w:cs="Calibri" w:eastAsia="Calibri" w:hAnsi="Calibri"/>
          <w:sz w:val="22"/>
          <w:szCs w:val="22"/>
        </w:rPr>
        <w:t xml:space="preserve">Definition: A statistical measure of association between an exposure (risk factor) and an outcome (disease); ORs from multivariate logistic regression in this study indicate how much more likely NCDs are in people with specific risk factors compared to a reference group.</w:t>
      </w:r>
    </w:p>
    <w:p>
      <w:pPr>
        <w:spacing w:after="20" w:before="100"/>
      </w:pPr>
      <w:r>
        <w:rPr>
          <w:rFonts w:ascii="Calibri" w:cs="Calibri" w:eastAsia="Calibri" w:hAnsi="Calibri"/>
          <w:b/>
          <w:bCs/>
          <w:sz w:val="22"/>
          <w:szCs w:val="22"/>
        </w:rPr>
        <w:t xml:space="preserve">Term: Universal Health Coverage (UHC)</w:t>
      </w:r>
    </w:p>
    <w:p>
      <w:pPr>
        <w:spacing w:after="80" w:before="0"/>
        <w:ind w:left="431"/>
      </w:pPr>
      <w:r>
        <w:rPr>
          <w:rFonts w:ascii="Calibri" w:cs="Calibri" w:eastAsia="Calibri" w:hAnsi="Calibri"/>
          <w:sz w:val="22"/>
          <w:szCs w:val="22"/>
        </w:rPr>
        <w:t xml:space="preserve">Definition: The goal of ensuring all people access the health services they need without financial hardship; the CMED digital health model is positioned as a cost-effective pathway toward UHC in rural Bangladesh, scalable through public-private partnerships.</w:t>
      </w:r>
    </w:p>
    <w:p>
      <w:pPr>
        <w:spacing w:after="20" w:before="100"/>
      </w:pPr>
      <w:r>
        <w:rPr>
          <w:rFonts w:ascii="Calibri" w:cs="Calibri" w:eastAsia="Calibri" w:hAnsi="Calibri"/>
          <w:b/>
          <w:bCs/>
          <w:sz w:val="22"/>
          <w:szCs w:val="22"/>
        </w:rPr>
        <w:t xml:space="preserve">Term: AI-Based Clinical Decision Support System (AI-CDSS)</w:t>
      </w:r>
    </w:p>
    <w:p>
      <w:pPr>
        <w:spacing w:after="80" w:before="0"/>
        <w:ind w:left="431"/>
      </w:pPr>
      <w:r>
        <w:rPr>
          <w:rFonts w:ascii="Calibri" w:cs="Calibri" w:eastAsia="Calibri" w:hAnsi="Calibri"/>
          <w:sz w:val="22"/>
          <w:szCs w:val="22"/>
        </w:rPr>
        <w:t xml:space="preserve">Definition: A software component using AI algorithms to analyse collected health measurements, assess patient risk levels for NCDs, and automatically generate consultation recommendations and digital referrals to appropriate healthcare providers.</w:t>
      </w:r>
    </w:p>
    <w:sectPr>
      <w:pgSz w:w="11906" w:h="16838" w:orient="portrait"/>
      <w:pgMar w:top="1440" w:right="1727" w:bottom="1440" w:left="172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pPr>
    <w:rPr>
      <w:rFonts w:ascii="Calibri" w:cs="Calibri" w:eastAsia="Calibri" w:hAnsi="Calibri"/>
      <w:b/>
      <w:bCs/>
      <w:color w:val="1F3864"/>
      <w:sz w:val="32"/>
      <w:szCs w:val="32"/>
    </w:rPr>
  </w:style>
  <w:style w:type="paragraph" w:styleId="Heading2">
    <w:name w:val="Heading 2"/>
    <w:basedOn w:val="Normal"/>
    <w:next w:val="Normal"/>
    <w:qFormat/>
    <w:pPr>
      <w:spacing w:after="80" w:before="280"/>
    </w:pPr>
    <w:rPr>
      <w:rFonts w:ascii="Calibri" w:cs="Calibri" w:eastAsia="Calibri" w:hAnsi="Calibri"/>
      <w:b/>
      <w:bCs/>
      <w:color w:val="2E74B5"/>
      <w:sz w:val="26"/>
      <w:szCs w:val="26"/>
    </w:rPr>
  </w:style>
  <w:style w:type="paragraph" w:styleId="Heading3">
    <w:name w:val="Heading 3"/>
    <w:basedOn w:val="Normal"/>
    <w:next w:val="Normal"/>
    <w:qFormat/>
    <w:pPr>
      <w:spacing w:after="60" w:before="200"/>
    </w:pPr>
    <w:rPr>
      <w:rFonts w:ascii="Calibri" w:cs="Calibri" w:eastAsia="Calibri" w:hAnsi="Calibri"/>
      <w:b/>
      <w:bCs/>
      <w:color w:val="44546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Paper Study Guide — 60 Questions</dc:title>
  <dc:creator>CSE 6093 RMTW Study Guide Generator</dc:creator>
  <dc:description>Study guide for four research papers with Q&amp;A, answer keys, comparison table and glossary</dc:description>
  <cp:lastModifiedBy>Un-named</cp:lastModifiedBy>
  <cp:revision>1</cp:revision>
  <dcterms:created xsi:type="dcterms:W3CDTF">2026-10-05T06:48:13.483Z</dcterms:created>
  <dcterms:modified xsi:type="dcterms:W3CDTF">2026-10-05T06:48:13.484Z</dcterms:modified>
</cp:coreProperties>
</file>

<file path=docProps/custom.xml><?xml version="1.0" encoding="utf-8"?>
<Properties xmlns="http://schemas.openxmlformats.org/officeDocument/2006/custom-properties" xmlns:vt="http://schemas.openxmlformats.org/officeDocument/2006/docPropsVTypes"/>
</file>