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D686" w14:textId="77777777" w:rsidR="007176B9" w:rsidRPr="007176B9" w:rsidRDefault="007176B9" w:rsidP="007176B9">
      <w:pPr>
        <w:rPr>
          <w:b/>
          <w:bCs/>
        </w:rPr>
      </w:pPr>
      <w:r w:rsidRPr="007176B9">
        <w:rPr>
          <w:b/>
          <w:bCs/>
        </w:rPr>
        <w:t>Paper A: SuSastho.AI (Informatics in Medicine Unlocked, 2025)</w:t>
      </w:r>
    </w:p>
    <w:p w14:paraId="3F689C43" w14:textId="77777777" w:rsidR="007176B9" w:rsidRPr="007176B9" w:rsidRDefault="007176B9" w:rsidP="007176B9">
      <w:pPr>
        <w:numPr>
          <w:ilvl w:val="0"/>
          <w:numId w:val="1"/>
        </w:numPr>
      </w:pPr>
      <w:r w:rsidRPr="007176B9">
        <w:rPr>
          <w:b/>
          <w:bCs/>
        </w:rPr>
        <w:t>Goal (p1–2):</w:t>
      </w:r>
      <w:r w:rsidRPr="007176B9">
        <w:t xml:space="preserve"> To build a voice- and text-based medical copilot that gives Bangladeshi adolescents accurate, evidence-based sexual, reproductive and mental health information.</w:t>
      </w:r>
    </w:p>
    <w:p w14:paraId="2B3F838E" w14:textId="77777777" w:rsidR="007176B9" w:rsidRPr="007176B9" w:rsidRDefault="007176B9" w:rsidP="007176B9">
      <w:pPr>
        <w:numPr>
          <w:ilvl w:val="0"/>
          <w:numId w:val="1"/>
        </w:numPr>
      </w:pPr>
      <w:r w:rsidRPr="007176B9">
        <w:rPr>
          <w:b/>
          <w:bCs/>
        </w:rPr>
        <w:t>Objective (p2):</w:t>
      </w:r>
      <w:r w:rsidRPr="007176B9">
        <w:t xml:space="preserve"> Fill the gap in access to accurate, culturally sensitive health information. It does this by combining a fine-tuned LLM (Llama 3 8B), evidence-based medicine, retrieval-augmented generation (RAG) and chain-of-thought reasoning, to reduce hallucination and bias.</w:t>
      </w:r>
    </w:p>
    <w:p w14:paraId="3EA6AC36" w14:textId="77777777" w:rsidR="007176B9" w:rsidRPr="007176B9" w:rsidRDefault="007176B9" w:rsidP="007176B9">
      <w:pPr>
        <w:numPr>
          <w:ilvl w:val="0"/>
          <w:numId w:val="1"/>
        </w:numPr>
      </w:pPr>
      <w:r w:rsidRPr="007176B9">
        <w:rPr>
          <w:b/>
          <w:bCs/>
        </w:rPr>
        <w:t>Participants (p6):</w:t>
      </w:r>
      <w:r w:rsidRPr="007176B9">
        <w:t xml:space="preserve"> 32 pilot participants (81.3% male, 18.8% female, aged 23–55) asked 428 questions.</w:t>
      </w:r>
    </w:p>
    <w:p w14:paraId="1B29745A" w14:textId="77777777" w:rsidR="007176B9" w:rsidRPr="007176B9" w:rsidRDefault="007176B9" w:rsidP="007176B9">
      <w:pPr>
        <w:numPr>
          <w:ilvl w:val="0"/>
          <w:numId w:val="1"/>
        </w:numPr>
      </w:pPr>
      <w:r w:rsidRPr="007176B9">
        <w:rPr>
          <w:b/>
          <w:bCs/>
        </w:rPr>
        <w:t>Feature domains (p3):</w:t>
      </w:r>
      <w:r w:rsidRPr="007176B9">
        <w:t xml:space="preserve"> The paper has no feature set. Its knowledge base has 2,063 documents in 20 categories, split into two domains: sexual and reproductive health, and mental health.</w:t>
      </w:r>
    </w:p>
    <w:p w14:paraId="20616748" w14:textId="77777777" w:rsidR="007176B9" w:rsidRPr="007176B9" w:rsidRDefault="007176B9" w:rsidP="007176B9">
      <w:pPr>
        <w:numPr>
          <w:ilvl w:val="0"/>
          <w:numId w:val="1"/>
        </w:numPr>
      </w:pPr>
      <w:r w:rsidRPr="007176B9">
        <w:rPr>
          <w:b/>
          <w:bCs/>
        </w:rPr>
        <w:t>Statistical test:</w:t>
      </w:r>
      <w:r w:rsidRPr="007176B9">
        <w:t xml:space="preserve"> None. Results are descriptive percentages from human evaluation by two evaluators, with a third consulted when they disagreed (p6).</w:t>
      </w:r>
    </w:p>
    <w:p w14:paraId="53C3ECAD" w14:textId="77777777" w:rsidR="007176B9" w:rsidRPr="007176B9" w:rsidRDefault="007176B9" w:rsidP="007176B9">
      <w:pPr>
        <w:numPr>
          <w:ilvl w:val="0"/>
          <w:numId w:val="1"/>
        </w:numPr>
      </w:pPr>
      <w:r w:rsidRPr="007176B9">
        <w:rPr>
          <w:b/>
          <w:bCs/>
        </w:rPr>
        <w:t>Outcome (p1, 8):</w:t>
      </w:r>
    </w:p>
    <w:p w14:paraId="1E5B998B" w14:textId="77777777" w:rsidR="007176B9" w:rsidRPr="007176B9" w:rsidRDefault="007176B9" w:rsidP="007176B9">
      <w:pPr>
        <w:numPr>
          <w:ilvl w:val="1"/>
          <w:numId w:val="1"/>
        </w:numPr>
      </w:pPr>
      <w:r w:rsidRPr="007176B9">
        <w:t>The paper reports 86.7% accuracy, and 61.9% correct answers against 40.4% for RAG and 45.8% for baseline Llama.</w:t>
      </w:r>
    </w:p>
    <w:p w14:paraId="3B1E242A" w14:textId="77777777" w:rsidR="007176B9" w:rsidRPr="007176B9" w:rsidRDefault="007176B9" w:rsidP="007176B9">
      <w:pPr>
        <w:numPr>
          <w:ilvl w:val="1"/>
          <w:numId w:val="1"/>
        </w:numPr>
      </w:pPr>
      <w:r w:rsidRPr="007176B9">
        <w:t>It cuts incorrect answers by 26.9% and raises correct ones by 16.1% compared with other methods.</w:t>
      </w:r>
    </w:p>
    <w:p w14:paraId="0E5E41B8" w14:textId="77777777" w:rsidR="007176B9" w:rsidRPr="007176B9" w:rsidRDefault="007176B9" w:rsidP="007176B9">
      <w:pPr>
        <w:numPr>
          <w:ilvl w:val="1"/>
          <w:numId w:val="1"/>
        </w:numPr>
      </w:pPr>
      <w:r w:rsidRPr="007176B9">
        <w:t>87% of users found the answers they wanted and 90.7% found them relevant.</w:t>
      </w:r>
    </w:p>
    <w:p w14:paraId="510BD6E1" w14:textId="77777777" w:rsidR="007176B9" w:rsidRPr="007176B9" w:rsidRDefault="007176B9" w:rsidP="007176B9">
      <w:pPr>
        <w:numPr>
          <w:ilvl w:val="0"/>
          <w:numId w:val="1"/>
        </w:numPr>
      </w:pPr>
      <w:r w:rsidRPr="007176B9">
        <w:rPr>
          <w:b/>
          <w:bCs/>
        </w:rPr>
        <w:t>Social impact (p11–12, section 4.3): Yes.</w:t>
      </w:r>
    </w:p>
    <w:p w14:paraId="4E3F67EE" w14:textId="77777777" w:rsidR="007176B9" w:rsidRPr="007176B9" w:rsidRDefault="007176B9" w:rsidP="007176B9">
      <w:pPr>
        <w:numPr>
          <w:ilvl w:val="1"/>
          <w:numId w:val="1"/>
        </w:numPr>
      </w:pPr>
      <w:r w:rsidRPr="007176B9">
        <w:t>It gives adolescents stigma-free access to validated health information, including slum, street-child and refugee adolescents.</w:t>
      </w:r>
    </w:p>
    <w:p w14:paraId="7182E867" w14:textId="77777777" w:rsidR="007176B9" w:rsidRPr="007176B9" w:rsidRDefault="007176B9" w:rsidP="007176B9">
      <w:pPr>
        <w:numPr>
          <w:ilvl w:val="1"/>
          <w:numId w:val="1"/>
        </w:numPr>
      </w:pPr>
      <w:r w:rsidRPr="007176B9">
        <w:t>It helps them make informed decisions and reduce risky behaviours.</w:t>
      </w:r>
    </w:p>
    <w:p w14:paraId="461ABA8B" w14:textId="77777777" w:rsidR="007176B9" w:rsidRPr="007176B9" w:rsidRDefault="007176B9" w:rsidP="007176B9">
      <w:pPr>
        <w:numPr>
          <w:ilvl w:val="1"/>
          <w:numId w:val="1"/>
        </w:numPr>
      </w:pPr>
      <w:r w:rsidRPr="007176B9">
        <w:t>It supports government adolescent health programmes and can improve health literacy.</w:t>
      </w:r>
    </w:p>
    <w:p w14:paraId="0A733B8B" w14:textId="77777777" w:rsidR="007176B9" w:rsidRPr="007176B9" w:rsidRDefault="007176B9" w:rsidP="007176B9">
      <w:pPr>
        <w:rPr>
          <w:b/>
          <w:bCs/>
        </w:rPr>
      </w:pPr>
      <w:r w:rsidRPr="007176B9">
        <w:rPr>
          <w:b/>
          <w:bCs/>
        </w:rPr>
        <w:t>Paper B: CMED Digital Health, NCD feasibility (HCII 2019)</w:t>
      </w:r>
    </w:p>
    <w:p w14:paraId="01BFFD32" w14:textId="77777777" w:rsidR="007176B9" w:rsidRPr="007176B9" w:rsidRDefault="007176B9" w:rsidP="007176B9">
      <w:pPr>
        <w:numPr>
          <w:ilvl w:val="0"/>
          <w:numId w:val="2"/>
        </w:numPr>
      </w:pPr>
      <w:r w:rsidRPr="007176B9">
        <w:rPr>
          <w:b/>
          <w:bCs/>
        </w:rPr>
        <w:t>Goal (p1):</w:t>
      </w:r>
      <w:r w:rsidRPr="007176B9">
        <w:t xml:space="preserve"> To assess the content, usability and efficacy of CMED’s digital health platform for preventing non-communicable diseases (NCDs) in rural Bangladesh.</w:t>
      </w:r>
    </w:p>
    <w:p w14:paraId="3D611565" w14:textId="77777777" w:rsidR="007176B9" w:rsidRPr="007176B9" w:rsidRDefault="007176B9" w:rsidP="007176B9">
      <w:pPr>
        <w:numPr>
          <w:ilvl w:val="0"/>
          <w:numId w:val="2"/>
        </w:numPr>
      </w:pPr>
      <w:r w:rsidRPr="007176B9">
        <w:rPr>
          <w:b/>
          <w:bCs/>
        </w:rPr>
        <w:t>Objective (p4):</w:t>
      </w:r>
      <w:r w:rsidRPr="007176B9">
        <w:t xml:space="preserve"> Show the platform can cut NCD risk (stroke, heart attack, diabetes, obesity) through regular monitoring and lifestyle change.</w:t>
      </w:r>
    </w:p>
    <w:p w14:paraId="507EA04E" w14:textId="77777777" w:rsidR="007176B9" w:rsidRPr="007176B9" w:rsidRDefault="007176B9" w:rsidP="007176B9">
      <w:pPr>
        <w:numPr>
          <w:ilvl w:val="0"/>
          <w:numId w:val="2"/>
        </w:numPr>
      </w:pPr>
      <w:r w:rsidRPr="007176B9">
        <w:rPr>
          <w:b/>
          <w:bCs/>
        </w:rPr>
        <w:t>Participants (p1, 6, 7):</w:t>
      </w:r>
    </w:p>
    <w:p w14:paraId="24D8AE4C" w14:textId="77777777" w:rsidR="007176B9" w:rsidRPr="007176B9" w:rsidRDefault="007176B9" w:rsidP="007176B9">
      <w:pPr>
        <w:numPr>
          <w:ilvl w:val="1"/>
          <w:numId w:val="2"/>
        </w:numPr>
      </w:pPr>
      <w:r w:rsidRPr="007176B9">
        <w:t>393 service receivers answered the questionnaire.</w:t>
      </w:r>
    </w:p>
    <w:p w14:paraId="27A36AE9" w14:textId="77777777" w:rsidR="007176B9" w:rsidRPr="007176B9" w:rsidRDefault="007176B9" w:rsidP="007176B9">
      <w:pPr>
        <w:numPr>
          <w:ilvl w:val="1"/>
          <w:numId w:val="2"/>
        </w:numPr>
      </w:pPr>
      <w:r w:rsidRPr="007176B9">
        <w:t>Others took part through key informant interviews and focus groups: providers, managers and village opinion leaders.</w:t>
      </w:r>
    </w:p>
    <w:p w14:paraId="43492331" w14:textId="77777777" w:rsidR="007176B9" w:rsidRPr="007176B9" w:rsidRDefault="007176B9" w:rsidP="007176B9">
      <w:pPr>
        <w:numPr>
          <w:ilvl w:val="1"/>
          <w:numId w:val="2"/>
        </w:numPr>
      </w:pPr>
      <w:r w:rsidRPr="007176B9">
        <w:t>The pilot covered about 7,000 households in 21 villages.</w:t>
      </w:r>
    </w:p>
    <w:p w14:paraId="67D7F1A1" w14:textId="77777777" w:rsidR="007176B9" w:rsidRPr="007176B9" w:rsidRDefault="007176B9" w:rsidP="007176B9">
      <w:pPr>
        <w:numPr>
          <w:ilvl w:val="1"/>
          <w:numId w:val="2"/>
        </w:numPr>
      </w:pPr>
      <w:r w:rsidRPr="007176B9">
        <w:lastRenderedPageBreak/>
        <w:t>17,907 adults were screened out of 32,122 people.</w:t>
      </w:r>
    </w:p>
    <w:p w14:paraId="625D9DBB" w14:textId="77777777" w:rsidR="007176B9" w:rsidRPr="007176B9" w:rsidRDefault="007176B9" w:rsidP="007176B9">
      <w:pPr>
        <w:numPr>
          <w:ilvl w:val="1"/>
          <w:numId w:val="2"/>
        </w:numPr>
      </w:pPr>
      <w:r w:rsidRPr="007176B9">
        <w:t>92.1% of respondents were female.</w:t>
      </w:r>
    </w:p>
    <w:p w14:paraId="3C78EC85" w14:textId="77777777" w:rsidR="007176B9" w:rsidRPr="007176B9" w:rsidRDefault="007176B9" w:rsidP="007176B9">
      <w:pPr>
        <w:numPr>
          <w:ilvl w:val="0"/>
          <w:numId w:val="2"/>
        </w:numPr>
      </w:pPr>
      <w:r w:rsidRPr="007176B9">
        <w:rPr>
          <w:b/>
          <w:bCs/>
        </w:rPr>
        <w:t>Feature domains (p2, 5):</w:t>
      </w:r>
      <w:r w:rsidRPr="007176B9">
        <w:t xml:space="preserve"> The measured parameters are blood pressure, blood glucose, pulse, SpO2, body temperature, weight, height and BMI. The evaluation had four parts: content analysis, usability testing, health observational study and efficacy testing.</w:t>
      </w:r>
    </w:p>
    <w:p w14:paraId="06167F24" w14:textId="77777777" w:rsidR="007176B9" w:rsidRPr="007176B9" w:rsidRDefault="007176B9" w:rsidP="007176B9">
      <w:pPr>
        <w:numPr>
          <w:ilvl w:val="0"/>
          <w:numId w:val="2"/>
        </w:numPr>
      </w:pPr>
      <w:r w:rsidRPr="007176B9">
        <w:rPr>
          <w:b/>
          <w:bCs/>
        </w:rPr>
        <w:t>Statistical test:</w:t>
      </w:r>
      <w:r w:rsidRPr="007176B9">
        <w:t xml:space="preserve"> None; the paper reports percentages only.</w:t>
      </w:r>
    </w:p>
    <w:p w14:paraId="28182CDF" w14:textId="77777777" w:rsidR="007176B9" w:rsidRPr="007176B9" w:rsidRDefault="007176B9" w:rsidP="007176B9">
      <w:pPr>
        <w:numPr>
          <w:ilvl w:val="0"/>
          <w:numId w:val="2"/>
        </w:numPr>
      </w:pPr>
      <w:r w:rsidRPr="007176B9">
        <w:rPr>
          <w:b/>
          <w:bCs/>
        </w:rPr>
        <w:t>Outcome (p7–9, 12):</w:t>
      </w:r>
    </w:p>
    <w:p w14:paraId="427E219B" w14:textId="77777777" w:rsidR="007176B9" w:rsidRPr="007176B9" w:rsidRDefault="007176B9" w:rsidP="007176B9">
      <w:pPr>
        <w:numPr>
          <w:ilvl w:val="1"/>
          <w:numId w:val="2"/>
        </w:numPr>
      </w:pPr>
      <w:r w:rsidRPr="007176B9">
        <w:t>About 99.5% of respondents were satisfied.</w:t>
      </w:r>
    </w:p>
    <w:p w14:paraId="7BDC12CB" w14:textId="77777777" w:rsidR="007176B9" w:rsidRPr="007176B9" w:rsidRDefault="007176B9" w:rsidP="007176B9">
      <w:pPr>
        <w:numPr>
          <w:ilvl w:val="1"/>
          <w:numId w:val="2"/>
        </w:numPr>
      </w:pPr>
      <w:r w:rsidRPr="007176B9">
        <w:t>Known diabetes was 2.7% before screening versus 15.8% found after it; known hypertension was 6.5% versus 11.5%.</w:t>
      </w:r>
    </w:p>
    <w:p w14:paraId="44C9EDA2" w14:textId="77777777" w:rsidR="007176B9" w:rsidRPr="007176B9" w:rsidRDefault="007176B9" w:rsidP="007176B9">
      <w:pPr>
        <w:numPr>
          <w:ilvl w:val="1"/>
          <w:numId w:val="2"/>
        </w:numPr>
      </w:pPr>
      <w:r w:rsidRPr="007176B9">
        <w:t>Villagers started lifestyle changes, and the system was judged feasible for community use.</w:t>
      </w:r>
    </w:p>
    <w:p w14:paraId="11AE2B4F" w14:textId="77777777" w:rsidR="007176B9" w:rsidRPr="007176B9" w:rsidRDefault="007176B9" w:rsidP="007176B9">
      <w:pPr>
        <w:numPr>
          <w:ilvl w:val="0"/>
          <w:numId w:val="2"/>
        </w:numPr>
      </w:pPr>
      <w:r w:rsidRPr="007176B9">
        <w:rPr>
          <w:b/>
          <w:bCs/>
        </w:rPr>
        <w:t>Social impact (p9, 11, 12): Yes.</w:t>
      </w:r>
      <w:r w:rsidRPr="007176B9">
        <w:t xml:space="preserve"> Health awareness rose and people started walking more. Instant on-screen </w:t>
      </w:r>
      <w:proofErr w:type="gramStart"/>
      <w:r w:rsidRPr="007176B9">
        <w:t>results built</w:t>
      </w:r>
      <w:proofErr w:type="gramEnd"/>
      <w:r w:rsidRPr="007176B9">
        <w:t xml:space="preserve"> trust in health workers. Records are kept for doctor visits. It is a low-cost model for reducing NCD burden where services are scarce.</w:t>
      </w:r>
    </w:p>
    <w:p w14:paraId="61C025CD" w14:textId="77777777" w:rsidR="007176B9" w:rsidRPr="007176B9" w:rsidRDefault="007176B9" w:rsidP="007176B9">
      <w:pPr>
        <w:rPr>
          <w:b/>
          <w:bCs/>
        </w:rPr>
      </w:pPr>
      <w:r w:rsidRPr="007176B9">
        <w:rPr>
          <w:b/>
          <w:bCs/>
        </w:rPr>
        <w:t>Paper C: Rooftop solar net metering for rural clinics (IET Renewable Power Generation, 2026)</w:t>
      </w:r>
    </w:p>
    <w:p w14:paraId="23771AD7" w14:textId="77777777" w:rsidR="007176B9" w:rsidRPr="007176B9" w:rsidRDefault="007176B9" w:rsidP="007176B9">
      <w:pPr>
        <w:numPr>
          <w:ilvl w:val="0"/>
          <w:numId w:val="3"/>
        </w:numPr>
      </w:pPr>
      <w:r w:rsidRPr="007176B9">
        <w:rPr>
          <w:b/>
          <w:bCs/>
        </w:rPr>
        <w:t>Goal (p1–2):</w:t>
      </w:r>
      <w:r w:rsidRPr="007176B9">
        <w:t xml:space="preserve"> To assess the techno-economic feasibility of rooftop solar net metering, including carbon-credit revenue, for rural healthcare facilities in Bangladesh.</w:t>
      </w:r>
    </w:p>
    <w:p w14:paraId="2B4D7D21" w14:textId="77777777" w:rsidR="007176B9" w:rsidRPr="007176B9" w:rsidRDefault="007176B9" w:rsidP="007176B9">
      <w:pPr>
        <w:numPr>
          <w:ilvl w:val="0"/>
          <w:numId w:val="3"/>
        </w:numPr>
      </w:pPr>
      <w:r w:rsidRPr="007176B9">
        <w:rPr>
          <w:b/>
          <w:bCs/>
        </w:rPr>
        <w:t>Objective (p2):</w:t>
      </w:r>
    </w:p>
    <w:p w14:paraId="56C6185A" w14:textId="77777777" w:rsidR="007176B9" w:rsidRPr="007176B9" w:rsidRDefault="007176B9" w:rsidP="007176B9">
      <w:pPr>
        <w:numPr>
          <w:ilvl w:val="1"/>
          <w:numId w:val="3"/>
        </w:numPr>
      </w:pPr>
      <w:r w:rsidRPr="007176B9">
        <w:t>Primary: assess techno-economic feasibility.</w:t>
      </w:r>
    </w:p>
    <w:p w14:paraId="08A12BD6" w14:textId="77777777" w:rsidR="007176B9" w:rsidRPr="007176B9" w:rsidRDefault="007176B9" w:rsidP="007176B9">
      <w:pPr>
        <w:numPr>
          <w:ilvl w:val="1"/>
          <w:numId w:val="3"/>
        </w:numPr>
      </w:pPr>
      <w:r w:rsidRPr="007176B9">
        <w:t>Secondary: model the financial impact of carbon-credit revenue.</w:t>
      </w:r>
    </w:p>
    <w:p w14:paraId="2A1B5CE0" w14:textId="77777777" w:rsidR="007176B9" w:rsidRPr="007176B9" w:rsidRDefault="007176B9" w:rsidP="007176B9">
      <w:pPr>
        <w:numPr>
          <w:ilvl w:val="1"/>
          <w:numId w:val="3"/>
        </w:numPr>
      </w:pPr>
      <w:r w:rsidRPr="007176B9">
        <w:t>Third: propose amendments to the 2025 Net Metering Guidelines.</w:t>
      </w:r>
    </w:p>
    <w:p w14:paraId="76C6D6B0" w14:textId="77777777" w:rsidR="007176B9" w:rsidRPr="007176B9" w:rsidRDefault="007176B9" w:rsidP="007176B9">
      <w:pPr>
        <w:numPr>
          <w:ilvl w:val="0"/>
          <w:numId w:val="3"/>
        </w:numPr>
      </w:pPr>
      <w:r w:rsidRPr="007176B9">
        <w:rPr>
          <w:b/>
          <w:bCs/>
        </w:rPr>
        <w:t>Participants (p9):</w:t>
      </w:r>
      <w:r w:rsidRPr="007176B9">
        <w:t xml:space="preserve"> No human participants. Data came from 50 real healthcare facilities, scaled to 5,424 rural facilities.</w:t>
      </w:r>
    </w:p>
    <w:p w14:paraId="45270B8F" w14:textId="77777777" w:rsidR="007176B9" w:rsidRPr="007176B9" w:rsidRDefault="007176B9" w:rsidP="007176B9">
      <w:pPr>
        <w:numPr>
          <w:ilvl w:val="0"/>
          <w:numId w:val="3"/>
        </w:numPr>
      </w:pPr>
      <w:r w:rsidRPr="007176B9">
        <w:rPr>
          <w:b/>
          <w:bCs/>
        </w:rPr>
        <w:t>Feature domains (p10):</w:t>
      </w:r>
      <w:r w:rsidRPr="007176B9">
        <w:t xml:space="preserve"> Four data items were collected: rooftop area, geographical location, monthly energy consumption and sanctioned load.</w:t>
      </w:r>
    </w:p>
    <w:p w14:paraId="05F33CE7" w14:textId="77777777" w:rsidR="007176B9" w:rsidRPr="007176B9" w:rsidRDefault="007176B9" w:rsidP="007176B9">
      <w:pPr>
        <w:numPr>
          <w:ilvl w:val="0"/>
          <w:numId w:val="3"/>
        </w:numPr>
      </w:pPr>
      <w:r w:rsidRPr="007176B9">
        <w:rPr>
          <w:b/>
          <w:bCs/>
        </w:rPr>
        <w:t>Statistical test:</w:t>
      </w:r>
      <w:r w:rsidRPr="007176B9">
        <w:t xml:space="preserve"> None. It uses cost-benefit analysis (NPV, IRR, payback period, LCOE, the </w:t>
      </w:r>
      <w:proofErr w:type="spellStart"/>
      <w:r w:rsidRPr="007176B9">
        <w:t>levelised</w:t>
      </w:r>
      <w:proofErr w:type="spellEnd"/>
      <w:r w:rsidRPr="007176B9">
        <w:t xml:space="preserve"> cost of electricity) and a sensitivity analysis across carbon-credit growth rates (CAGR).</w:t>
      </w:r>
    </w:p>
    <w:p w14:paraId="5F741620" w14:textId="77777777" w:rsidR="007176B9" w:rsidRPr="007176B9" w:rsidRDefault="007176B9" w:rsidP="007176B9">
      <w:pPr>
        <w:numPr>
          <w:ilvl w:val="0"/>
          <w:numId w:val="3"/>
        </w:numPr>
      </w:pPr>
      <w:r w:rsidRPr="007176B9">
        <w:rPr>
          <w:b/>
          <w:bCs/>
        </w:rPr>
        <w:t>Outcome (p13, 17, 18, 19):</w:t>
      </w:r>
    </w:p>
    <w:p w14:paraId="0381A9E9" w14:textId="77777777" w:rsidR="007176B9" w:rsidRPr="007176B9" w:rsidRDefault="007176B9" w:rsidP="007176B9">
      <w:pPr>
        <w:numPr>
          <w:ilvl w:val="1"/>
          <w:numId w:val="3"/>
        </w:numPr>
      </w:pPr>
      <w:r w:rsidRPr="007176B9">
        <w:t>The system is 7.86 MWp and costs US$3.59M over its lifetime.</w:t>
      </w:r>
    </w:p>
    <w:p w14:paraId="206012C8" w14:textId="77777777" w:rsidR="007176B9" w:rsidRPr="007176B9" w:rsidRDefault="007176B9" w:rsidP="007176B9">
      <w:pPr>
        <w:numPr>
          <w:ilvl w:val="1"/>
          <w:numId w:val="3"/>
        </w:numPr>
      </w:pPr>
      <w:r w:rsidRPr="007176B9">
        <w:t>It generates 171.48 GWh and avoids about 83,000 tonnes of CO₂ over 20 years.</w:t>
      </w:r>
    </w:p>
    <w:p w14:paraId="20BD52E8" w14:textId="77777777" w:rsidR="007176B9" w:rsidRPr="007176B9" w:rsidRDefault="007176B9" w:rsidP="007176B9">
      <w:pPr>
        <w:numPr>
          <w:ilvl w:val="1"/>
          <w:numId w:val="3"/>
        </w:numPr>
      </w:pPr>
      <w:r w:rsidRPr="007176B9">
        <w:t>Revenue is US$6.94M from electricity alone, rising to US$7.32–7.46M with carbon credits.</w:t>
      </w:r>
    </w:p>
    <w:p w14:paraId="1A22565D" w14:textId="77777777" w:rsidR="007176B9" w:rsidRPr="007176B9" w:rsidRDefault="007176B9" w:rsidP="007176B9">
      <w:pPr>
        <w:numPr>
          <w:ilvl w:val="1"/>
          <w:numId w:val="3"/>
        </w:numPr>
      </w:pPr>
      <w:r w:rsidRPr="007176B9">
        <w:lastRenderedPageBreak/>
        <w:t>NPV is US$3.72–3.86M, and the paper reports about 40,656 carbon credits a year.</w:t>
      </w:r>
    </w:p>
    <w:p w14:paraId="3257FD96" w14:textId="77777777" w:rsidR="007176B9" w:rsidRPr="007176B9" w:rsidRDefault="007176B9" w:rsidP="007176B9">
      <w:pPr>
        <w:numPr>
          <w:ilvl w:val="1"/>
          <w:numId w:val="3"/>
        </w:numPr>
      </w:pPr>
      <w:r w:rsidRPr="007176B9">
        <w:t>LCOE is US$0.018/kWh against the current US$0.0358.</w:t>
      </w:r>
    </w:p>
    <w:p w14:paraId="74A82820" w14:textId="77777777" w:rsidR="007176B9" w:rsidRPr="007176B9" w:rsidRDefault="007176B9" w:rsidP="007176B9">
      <w:pPr>
        <w:numPr>
          <w:ilvl w:val="1"/>
          <w:numId w:val="3"/>
        </w:numPr>
      </w:pPr>
      <w:r w:rsidRPr="007176B9">
        <w:t>The project stays viable even if carbon prices fall.</w:t>
      </w:r>
    </w:p>
    <w:p w14:paraId="72183C26" w14:textId="77777777" w:rsidR="007176B9" w:rsidRPr="007176B9" w:rsidRDefault="007176B9" w:rsidP="007176B9">
      <w:pPr>
        <w:numPr>
          <w:ilvl w:val="0"/>
          <w:numId w:val="3"/>
        </w:numPr>
      </w:pPr>
      <w:r w:rsidRPr="007176B9">
        <w:rPr>
          <w:b/>
          <w:bCs/>
        </w:rPr>
        <w:t>Social impact (p1, 2, 19): Yes.</w:t>
      </w:r>
      <w:r w:rsidRPr="007176B9">
        <w:t xml:space="preserve"> It brings reliable clean power to rural clinics, improves energy security, cuts CO₂ and fossil-fuel reliance, and creates carbon-credit income.</w:t>
      </w:r>
    </w:p>
    <w:p w14:paraId="26C866A2" w14:textId="77777777" w:rsidR="007176B9" w:rsidRPr="007176B9" w:rsidRDefault="007176B9" w:rsidP="007176B9">
      <w:pPr>
        <w:rPr>
          <w:b/>
          <w:bCs/>
        </w:rPr>
      </w:pPr>
      <w:r w:rsidRPr="007176B9">
        <w:rPr>
          <w:b/>
          <w:bCs/>
        </w:rPr>
        <w:t>Paper D: BMC Public Health, CHW digital health model (2025)</w:t>
      </w:r>
    </w:p>
    <w:p w14:paraId="71160CD2" w14:textId="77777777" w:rsidR="007176B9" w:rsidRPr="007176B9" w:rsidRDefault="007176B9" w:rsidP="007176B9">
      <w:pPr>
        <w:numPr>
          <w:ilvl w:val="0"/>
          <w:numId w:val="4"/>
        </w:numPr>
      </w:pPr>
      <w:r w:rsidRPr="007176B9">
        <w:rPr>
          <w:b/>
          <w:bCs/>
        </w:rPr>
        <w:t>Goal (p1):</w:t>
      </w:r>
      <w:r w:rsidRPr="007176B9">
        <w:t xml:space="preserve"> To evaluate how effective a digital health intervention using community health workers is, by tracking rural people’s health over 18 months.</w:t>
      </w:r>
    </w:p>
    <w:p w14:paraId="75F6C86D" w14:textId="77777777" w:rsidR="007176B9" w:rsidRPr="007176B9" w:rsidRDefault="007176B9" w:rsidP="007176B9">
      <w:pPr>
        <w:numPr>
          <w:ilvl w:val="0"/>
          <w:numId w:val="4"/>
        </w:numPr>
      </w:pPr>
      <w:r w:rsidRPr="007176B9">
        <w:rPr>
          <w:b/>
          <w:bCs/>
        </w:rPr>
        <w:t>Objective (p1):</w:t>
      </w:r>
      <w:r w:rsidRPr="007176B9">
        <w:t xml:space="preserve"> Same as the goal.</w:t>
      </w:r>
    </w:p>
    <w:p w14:paraId="1773EC6B" w14:textId="77777777" w:rsidR="007176B9" w:rsidRPr="007176B9" w:rsidRDefault="007176B9" w:rsidP="007176B9">
      <w:pPr>
        <w:numPr>
          <w:ilvl w:val="0"/>
          <w:numId w:val="4"/>
        </w:numPr>
      </w:pPr>
      <w:r w:rsidRPr="007176B9">
        <w:rPr>
          <w:b/>
          <w:bCs/>
        </w:rPr>
        <w:t>Participants (p1, 3):</w:t>
      </w:r>
      <w:r w:rsidRPr="007176B9">
        <w:t xml:space="preserve"> 32,581 people from 7,090 households in one rural union, served by 14 community health workers. Measurements: BMI 14,670, BP 15,549, glucose 1,775 and MUAC 1,009.</w:t>
      </w:r>
    </w:p>
    <w:p w14:paraId="55419139" w14:textId="77777777" w:rsidR="007176B9" w:rsidRPr="007176B9" w:rsidRDefault="007176B9" w:rsidP="007176B9">
      <w:pPr>
        <w:numPr>
          <w:ilvl w:val="0"/>
          <w:numId w:val="4"/>
        </w:numPr>
      </w:pPr>
      <w:r w:rsidRPr="007176B9">
        <w:rPr>
          <w:b/>
          <w:bCs/>
        </w:rPr>
        <w:t>Feature domains (p4):</w:t>
      </w:r>
      <w:r w:rsidRPr="007176B9">
        <w:t xml:space="preserve"> Five groups in Table 1: socio-demographic, health-related, nutrition-related, economic and occupation. The vitals analysed are BMI, BP, blood glucose and MUAC.</w:t>
      </w:r>
    </w:p>
    <w:p w14:paraId="4F6D1511" w14:textId="77777777" w:rsidR="007176B9" w:rsidRPr="007176B9" w:rsidRDefault="007176B9" w:rsidP="007176B9">
      <w:pPr>
        <w:numPr>
          <w:ilvl w:val="0"/>
          <w:numId w:val="4"/>
        </w:numPr>
      </w:pPr>
      <w:r w:rsidRPr="007176B9">
        <w:rPr>
          <w:b/>
          <w:bCs/>
        </w:rPr>
        <w:t>Statistical test (p5):</w:t>
      </w:r>
    </w:p>
    <w:p w14:paraId="26CE1374" w14:textId="77777777" w:rsidR="007176B9" w:rsidRPr="007176B9" w:rsidRDefault="007176B9" w:rsidP="007176B9">
      <w:pPr>
        <w:numPr>
          <w:ilvl w:val="1"/>
          <w:numId w:val="4"/>
        </w:numPr>
      </w:pPr>
      <w:r w:rsidRPr="007176B9">
        <w:t>Normality is checked first with the D’Agostino–Pearson test.</w:t>
      </w:r>
    </w:p>
    <w:p w14:paraId="4ACD20A8" w14:textId="77777777" w:rsidR="007176B9" w:rsidRPr="007176B9" w:rsidRDefault="007176B9" w:rsidP="007176B9">
      <w:pPr>
        <w:numPr>
          <w:ilvl w:val="1"/>
          <w:numId w:val="4"/>
        </w:numPr>
      </w:pPr>
      <w:r w:rsidRPr="007176B9">
        <w:t xml:space="preserve">Normal data use the </w:t>
      </w:r>
      <w:proofErr w:type="gramStart"/>
      <w:r w:rsidRPr="007176B9">
        <w:t>Student’s</w:t>
      </w:r>
      <w:proofErr w:type="gramEnd"/>
      <w:r w:rsidRPr="007176B9">
        <w:t xml:space="preserve"> t-test (Welch’s t-test is also mentioned).</w:t>
      </w:r>
    </w:p>
    <w:p w14:paraId="3A6AACDD" w14:textId="77777777" w:rsidR="007176B9" w:rsidRPr="007176B9" w:rsidRDefault="007176B9" w:rsidP="007176B9">
      <w:pPr>
        <w:numPr>
          <w:ilvl w:val="1"/>
          <w:numId w:val="4"/>
        </w:numPr>
      </w:pPr>
      <w:r w:rsidRPr="007176B9">
        <w:t>Non-normal data use the Wilcoxon signed-rank test, which makes no normality assumption.</w:t>
      </w:r>
    </w:p>
    <w:p w14:paraId="29768057" w14:textId="77777777" w:rsidR="007176B9" w:rsidRPr="007176B9" w:rsidRDefault="007176B9" w:rsidP="007176B9">
      <w:pPr>
        <w:numPr>
          <w:ilvl w:val="1"/>
          <w:numId w:val="4"/>
        </w:numPr>
      </w:pPr>
      <w:r w:rsidRPr="007176B9">
        <w:t>Percentages across periods use the two-proportion z-test.</w:t>
      </w:r>
    </w:p>
    <w:p w14:paraId="42264C38" w14:textId="77777777" w:rsidR="007176B9" w:rsidRPr="007176B9" w:rsidRDefault="007176B9" w:rsidP="007176B9">
      <w:pPr>
        <w:numPr>
          <w:ilvl w:val="1"/>
          <w:numId w:val="4"/>
        </w:numPr>
      </w:pPr>
      <w:r w:rsidRPr="007176B9">
        <w:t>Significance is p &lt; 0.05.</w:t>
      </w:r>
    </w:p>
    <w:p w14:paraId="5246C62D" w14:textId="77777777" w:rsidR="007176B9" w:rsidRPr="007176B9" w:rsidRDefault="007176B9" w:rsidP="007176B9">
      <w:pPr>
        <w:numPr>
          <w:ilvl w:val="1"/>
          <w:numId w:val="4"/>
        </w:numPr>
      </w:pPr>
      <w:r w:rsidRPr="007176B9">
        <w:t>Multivariate logistic regression gives odds ratios for risk factors.</w:t>
      </w:r>
    </w:p>
    <w:p w14:paraId="002D9148" w14:textId="77777777" w:rsidR="007176B9" w:rsidRPr="007176B9" w:rsidRDefault="007176B9" w:rsidP="007176B9">
      <w:pPr>
        <w:numPr>
          <w:ilvl w:val="1"/>
          <w:numId w:val="4"/>
        </w:numPr>
      </w:pPr>
      <w:r w:rsidRPr="007176B9">
        <w:t>The paper names the tests but gives only brief reasons. The “why” above is standard practice, so check it fits your question.</w:t>
      </w:r>
    </w:p>
    <w:p w14:paraId="6F2B1DF7" w14:textId="77777777" w:rsidR="007176B9" w:rsidRPr="007176B9" w:rsidRDefault="007176B9" w:rsidP="007176B9">
      <w:pPr>
        <w:numPr>
          <w:ilvl w:val="0"/>
          <w:numId w:val="4"/>
        </w:numPr>
      </w:pPr>
      <w:r w:rsidRPr="007176B9">
        <w:rPr>
          <w:b/>
          <w:bCs/>
        </w:rPr>
        <w:t>Outcome (p1, 13):</w:t>
      </w:r>
    </w:p>
    <w:p w14:paraId="64299061" w14:textId="77777777" w:rsidR="007176B9" w:rsidRPr="007176B9" w:rsidRDefault="007176B9" w:rsidP="007176B9">
      <w:pPr>
        <w:numPr>
          <w:ilvl w:val="1"/>
          <w:numId w:val="4"/>
        </w:numPr>
      </w:pPr>
      <w:r w:rsidRPr="007176B9">
        <w:t>21.76% were overweight, 8.18% had prehypertension, 16.45% had high glucose and 11% of children were malnourished.</w:t>
      </w:r>
    </w:p>
    <w:p w14:paraId="2994C703" w14:textId="77777777" w:rsidR="007176B9" w:rsidRPr="007176B9" w:rsidRDefault="007176B9" w:rsidP="007176B9">
      <w:pPr>
        <w:numPr>
          <w:ilvl w:val="1"/>
          <w:numId w:val="4"/>
        </w:numPr>
      </w:pPr>
      <w:r w:rsidRPr="007176B9">
        <w:t>Age over 40 was linked to hypertension, diabetes and cardiovascular disease.</w:t>
      </w:r>
    </w:p>
    <w:p w14:paraId="4BA37589" w14:textId="77777777" w:rsidR="007176B9" w:rsidRPr="007176B9" w:rsidRDefault="007176B9" w:rsidP="007176B9">
      <w:pPr>
        <w:numPr>
          <w:ilvl w:val="1"/>
          <w:numId w:val="4"/>
        </w:numPr>
      </w:pPr>
      <w:r w:rsidRPr="007176B9">
        <w:t>BMI, BP and MUAC improved significantly across the three periods; blood glucose did not.</w:t>
      </w:r>
    </w:p>
    <w:p w14:paraId="4AC2BCB1" w14:textId="18A7BDF1" w:rsidR="001B1214" w:rsidRDefault="007176B9" w:rsidP="007176B9">
      <w:pPr>
        <w:numPr>
          <w:ilvl w:val="0"/>
          <w:numId w:val="4"/>
        </w:numPr>
      </w:pPr>
      <w:r w:rsidRPr="007176B9">
        <w:rPr>
          <w:b/>
          <w:bCs/>
        </w:rPr>
        <w:t>Social impact (p11–12): Yes.</w:t>
      </w:r>
      <w:r w:rsidRPr="007176B9">
        <w:t xml:space="preserve"> It brings doorstep primary care to rural people, makes health workers more accountable and raises nutrition awareness. It costs about one dollar per family per month. Scaling it through public-private partnerships could support universal health coverage and the SDGs.</w:t>
      </w:r>
    </w:p>
    <w:sectPr w:rsidR="001B1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93B5E"/>
    <w:multiLevelType w:val="multilevel"/>
    <w:tmpl w:val="6DB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073B9"/>
    <w:multiLevelType w:val="multilevel"/>
    <w:tmpl w:val="C61E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275A0"/>
    <w:multiLevelType w:val="multilevel"/>
    <w:tmpl w:val="808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C29CE"/>
    <w:multiLevelType w:val="multilevel"/>
    <w:tmpl w:val="D96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888414">
    <w:abstractNumId w:val="0"/>
  </w:num>
  <w:num w:numId="2" w16cid:durableId="70472591">
    <w:abstractNumId w:val="2"/>
  </w:num>
  <w:num w:numId="3" w16cid:durableId="2039578103">
    <w:abstractNumId w:val="3"/>
  </w:num>
  <w:num w:numId="4" w16cid:durableId="1489325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57"/>
    <w:rsid w:val="001B1214"/>
    <w:rsid w:val="001C5610"/>
    <w:rsid w:val="007176B9"/>
    <w:rsid w:val="00AB5905"/>
    <w:rsid w:val="00CD0D57"/>
    <w:rsid w:val="00EC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6622"/>
  <w15:chartTrackingRefBased/>
  <w15:docId w15:val="{978A6CD9-FDE1-46F5-A473-FF698BFDF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947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10635-Ahsan-Kabir</dc:creator>
  <cp:keywords/>
  <dc:description/>
  <cp:lastModifiedBy>10635-Ahsan-Kabir</cp:lastModifiedBy>
  <cp:revision>2</cp:revision>
  <dcterms:created xsi:type="dcterms:W3CDTF">2026-10-15T12:21:00Z</dcterms:created>
  <dcterms:modified xsi:type="dcterms:W3CDTF">2026-10-15T12:21:00Z</dcterms:modified>
</cp:coreProperties>
</file>