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Cambria" w:cs="Cambria" w:eastAsia="Cambria" w:hAnsi="Cambria"/>
          <w:b/>
          <w:bCs/>
          <w:sz w:val="30"/>
          <w:szCs w:val="30"/>
        </w:rPr>
        <w:t xml:space="preserve">Review: Cloud Forensics Paper — Duke Writing Principles Applied</w:t>
      </w:r>
    </w:p>
    <w:p>
      <w:pPr>
        <w:spacing w:after="100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Paper: "Cloud Forensics Challenges in Bangladesh: A PRISMA Systematic Review with AI-Enhanced Resolution Strategies" — Md. Ahsan Kabir</w:t>
      </w:r>
    </w:p>
    <w:p>
      <w:pPr>
        <w:spacing w:after="80"/>
      </w:pPr>
      <w:r>
        <w:rPr>
          <w:rFonts w:ascii="Cambria" w:cs="Cambria" w:eastAsia="Cambria" w:hAnsi="Cambria"/>
          <w:sz w:val="22"/>
          <w:szCs w:val="22"/>
        </w:rPr>
        <w:t xml:space="preserve">Principles applied: L1 = Actors &amp; Actions · L2 = Cohesion &amp; Emphasis · L3 = Concision &amp; Simplicity</w:t>
      </w:r>
    </w:p>
    <w:p>
      <w:pPr>
        <w:pBdr>
          <w:bottom w:val="single" w:color="CCCCCC" w:sz="6"/>
        </w:pBdr>
        <w:spacing w:after="160" w:before="80"/>
      </w:pPr>
      <w:r>
        <w:t xml:space="preserve"/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1A3A5C"/>
          <w:sz w:val="26"/>
          <w:szCs w:val="26"/>
        </w:rPr>
        <w:t xml:space="preserve">A. Typos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#T1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Abstract — last sentence</w:t>
      </w:r>
      <w:r>
        <w:rPr>
          <w:rFonts w:ascii="Cambria" w:cs="Cambria" w:eastAsia="Cambria" w:hAnsi="Cambria"/>
          <w:b w:val="false"/>
          <w:bCs w:val="false"/>
          <w:color w:val="CC0000"/>
          <w:sz w:val="20"/>
          <w:szCs w:val="20"/>
        </w:rPr>
        <w:t xml:space="preserve">  [TYPO]</w:t>
      </w:r>
    </w:p>
    <w:p>
      <w:pPr>
        <w:spacing w:after="60"/>
        <w:ind w:left="440"/>
      </w:pPr>
      <w:r>
        <w:rPr>
          <w:rFonts w:ascii="Cambria" w:cs="Cambria" w:eastAsia="Cambria" w:hAnsi="Cambria"/>
          <w:i/>
          <w:iCs/>
          <w:color w:val="CC0000"/>
          <w:sz w:val="22"/>
          <w:szCs w:val="22"/>
        </w:rPr>
        <w:t xml:space="preserve">"...policymakers.s."</w:t>
      </w:r>
    </w:p>
    <w:p>
      <w:pPr>
        <w:spacing w:after="20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→ "...policymakers." — remove stray "s."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#T2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Section I-A — last sentence</w:t>
      </w:r>
      <w:r>
        <w:rPr>
          <w:rFonts w:ascii="Cambria" w:cs="Cambria" w:eastAsia="Cambria" w:hAnsi="Cambria"/>
          <w:b w:val="false"/>
          <w:bCs w:val="false"/>
          <w:color w:val="CC0000"/>
          <w:sz w:val="20"/>
          <w:szCs w:val="20"/>
        </w:rPr>
        <w:t xml:space="preserve">  [TYPO]</w:t>
      </w:r>
    </w:p>
    <w:p>
      <w:pPr>
        <w:spacing w:after="60"/>
        <w:ind w:left="440"/>
      </w:pPr>
      <w:r>
        <w:rPr>
          <w:rFonts w:ascii="Cambria" w:cs="Cambria" w:eastAsia="Cambria" w:hAnsi="Cambria"/>
          <w:i/>
          <w:iCs/>
          <w:color w:val="CC0000"/>
          <w:sz w:val="22"/>
          <w:szCs w:val="22"/>
        </w:rPr>
        <w:t xml:space="preserve">"...the cloud storage layer [11].."</w:t>
      </w:r>
    </w:p>
    <w:p>
      <w:pPr>
        <w:spacing w:after="20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→ "...the cloud storage layer [11]." — remove duplicate period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1A3A5C"/>
          <w:sz w:val="26"/>
          <w:szCs w:val="26"/>
        </w:rPr>
        <w:t xml:space="preserve">B. Lesson 1 — Actors and Actions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#1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Abstract para. 1</w:t>
      </w:r>
      <w:r>
        <w:rPr>
          <w:rFonts w:ascii="Cambria" w:cs="Cambria" w:eastAsia="Cambria" w:hAnsi="Cambria"/>
          <w:b w:val="false"/>
          <w:bCs w:val="false"/>
          <w:color w:val="AA6600"/>
          <w:sz w:val="20"/>
          <w:szCs w:val="20"/>
        </w:rPr>
        <w:t xml:space="preserve">  [L1 + L3]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Original:</w:t>
      </w:r>
    </w:p>
    <w:p>
      <w:pPr>
        <w:spacing w:after="100"/>
        <w:ind w:left="440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Bangladesh’s accelerating cloud adoption—…—has outpaced any corresponding update to the legal and procedural infrastructure governing digital investigations.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Corrected:</w:t>
      </w:r>
    </w:p>
    <w:p>
      <w:pPr>
        <w:spacing w:after="8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Bangladesh’s accelerating cloud adoption—over 100 million internet-enabled devices and $1.2 billion in public-sector cloud procurement since 2020—has outpaced the legal and procedural infrastructure governing digital investigations.</w:t>
      </w:r>
    </w:p>
    <w:p>
      <w:pPr>
        <w:spacing w:after="200"/>
        <w:ind w:left="440"/>
      </w:pPr>
      <w:r>
        <w:rPr>
          <w:rFonts w:ascii="Cambria" w:cs="Cambria" w:eastAsia="Cambria" w:hAnsi="Cambria"/>
          <w:i/>
          <w:iCs/>
          <w:color w:val="888888"/>
          <w:sz w:val="20"/>
          <w:szCs w:val="20"/>
        </w:rPr>
        <w:t xml:space="preserve">→ Cut "any corresponding update to" — wordy intermediary; the adoption outpaced the infrastructure itself, not an update to it. (L3: omit needless words)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#2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Abstract — "consequential" (used twice)</w:t>
      </w:r>
      <w:r>
        <w:rPr>
          <w:rFonts w:ascii="Cambria" w:cs="Cambria" w:eastAsia="Cambria" w:hAnsi="Cambria"/>
          <w:b w:val="false"/>
          <w:bCs w:val="false"/>
          <w:color w:val="AA6600"/>
          <w:sz w:val="20"/>
          <w:szCs w:val="20"/>
        </w:rPr>
        <w:t xml:space="preserve">  [L1 + L3]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Original:</w:t>
      </w:r>
    </w:p>
    <w:p>
      <w:pPr>
        <w:spacing w:after="100"/>
        <w:ind w:left="440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"a growing and consequential gap" (Abstract) / "a growing and consequential enforcement gap" (Introduction)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Corrected:</w:t>
      </w:r>
    </w:p>
    <w:p>
      <w:pPr>
        <w:spacing w:after="8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"a growing gap" / "a growing enforcement gap"</w:t>
      </w:r>
    </w:p>
    <w:p>
      <w:pPr>
        <w:spacing w:after="200"/>
        <w:ind w:left="440"/>
      </w:pPr>
      <w:r>
        <w:rPr>
          <w:rFonts w:ascii="Cambria" w:cs="Cambria" w:eastAsia="Cambria" w:hAnsi="Cambria"/>
          <w:i/>
          <w:iCs/>
          <w:color w:val="888888"/>
          <w:sz w:val="20"/>
          <w:szCs w:val="20"/>
        </w:rPr>
        <w:t xml:space="preserve">→ "Consequential" states the obvious; gaps are consequential by definition. (L3: use adjectives frugally)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#3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Introduction para. 1</w:t>
      </w:r>
      <w:r>
        <w:rPr>
          <w:rFonts w:ascii="Cambria" w:cs="Cambria" w:eastAsia="Cambria" w:hAnsi="Cambria"/>
          <w:b w:val="false"/>
          <w:bCs w:val="false"/>
          <w:color w:val="AA6600"/>
          <w:sz w:val="20"/>
          <w:szCs w:val="20"/>
        </w:rPr>
        <w:t xml:space="preserve">  [L1]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Original:</w:t>
      </w:r>
    </w:p>
    <w:p>
      <w:pPr>
        <w:spacing w:after="100"/>
        <w:ind w:left="440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Government ministries, financial institutions, and private enterprises have migrated critical workloads to cloud platforms at pace, yet the country’s investigative framework was designed for seized hard drives...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Corrected:</w:t>
      </w:r>
    </w:p>
    <w:p>
      <w:pPr>
        <w:spacing w:after="8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Government ministries, financial institutions, and private enterprises have rapidly migrated critical workloads to cloud platforms, yet the country’s investigative framework was designed for seized hard drives...</w:t>
      </w:r>
    </w:p>
    <w:p>
      <w:pPr>
        <w:spacing w:after="200"/>
        <w:ind w:left="440"/>
      </w:pPr>
      <w:r>
        <w:rPr>
          <w:rFonts w:ascii="Cambria" w:cs="Cambria" w:eastAsia="Cambria" w:hAnsi="Cambria"/>
          <w:i/>
          <w:iCs/>
          <w:color w:val="888888"/>
          <w:sz w:val="20"/>
          <w:szCs w:val="20"/>
        </w:rPr>
        <w:t xml:space="preserve">→ "At pace" is an awkward idiom. "Rapidly" is cleaner and keeps the action in the adverb. (L3: prefer simple words)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#4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Section II-A para. 3 — "Worth noting is that"</w:t>
      </w:r>
      <w:r>
        <w:rPr>
          <w:rFonts w:ascii="Cambria" w:cs="Cambria" w:eastAsia="Cambria" w:hAnsi="Cambria"/>
          <w:b w:val="false"/>
          <w:bCs w:val="false"/>
          <w:color w:val="AA6600"/>
          <w:sz w:val="20"/>
          <w:szCs w:val="20"/>
        </w:rPr>
        <w:t xml:space="preserve">  [L1]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Original:</w:t>
      </w:r>
    </w:p>
    <w:p>
      <w:pPr>
        <w:spacing w:after="100"/>
        <w:ind w:left="440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Worth noting is that these categories are not independent.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Corrected:</w:t>
      </w:r>
    </w:p>
    <w:p>
      <w:pPr>
        <w:spacing w:after="8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These categories are not independent.</w:t>
      </w:r>
    </w:p>
    <w:p>
      <w:pPr>
        <w:spacing w:after="200"/>
        <w:ind w:left="440"/>
      </w:pPr>
      <w:r>
        <w:rPr>
          <w:rFonts w:ascii="Cambria" w:cs="Cambria" w:eastAsia="Cambria" w:hAnsi="Cambria"/>
          <w:i/>
          <w:iCs/>
          <w:color w:val="888888"/>
          <w:sz w:val="20"/>
          <w:szCs w:val="20"/>
        </w:rPr>
        <w:t xml:space="preserve">→ Throat-clearing opener ("Worth noting is that") delays the subject and verb. Delete it. (L1: put actors and actions first)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#5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Section II-A para. 3 — "That inversion"</w:t>
      </w:r>
      <w:r>
        <w:rPr>
          <w:rFonts w:ascii="Cambria" w:cs="Cambria" w:eastAsia="Cambria" w:hAnsi="Cambria"/>
          <w:b w:val="false"/>
          <w:bCs w:val="false"/>
          <w:color w:val="AA6600"/>
          <w:sz w:val="20"/>
          <w:szCs w:val="20"/>
        </w:rPr>
        <w:t xml:space="preserve">  [L1]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Original:</w:t>
      </w:r>
    </w:p>
    <w:p>
      <w:pPr>
        <w:spacing w:after="100"/>
        <w:ind w:left="440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That inversion of the traditional evidence-access model has no clear analogue in most domestic legal frameworks, including Bangladesh’s.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Corrected:</w:t>
      </w:r>
    </w:p>
    <w:p>
      <w:pPr>
        <w:spacing w:after="8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This inverts the traditional evidence-access model, for which most domestic legal frameworks—including Bangladesh’s—have no analogue.</w:t>
      </w:r>
    </w:p>
    <w:p>
      <w:pPr>
        <w:spacing w:after="200"/>
        <w:ind w:left="440"/>
      </w:pPr>
      <w:r>
        <w:rPr>
          <w:rFonts w:ascii="Cambria" w:cs="Cambria" w:eastAsia="Cambria" w:hAnsi="Cambria"/>
          <w:i/>
          <w:iCs/>
          <w:color w:val="888888"/>
          <w:sz w:val="20"/>
          <w:szCs w:val="20"/>
        </w:rPr>
        <w:t xml:space="preserve">→ "Inversion" nominalizes the action. Converting to a verb ("inverts") puts the action where it belongs. (L1: put actions in verbs)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#6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Section II-A para. 3 — "The window...is"</w:t>
      </w:r>
      <w:r>
        <w:rPr>
          <w:rFonts w:ascii="Cambria" w:cs="Cambria" w:eastAsia="Cambria" w:hAnsi="Cambria"/>
          <w:b w:val="false"/>
          <w:bCs w:val="false"/>
          <w:color w:val="AA6600"/>
          <w:sz w:val="20"/>
          <w:szCs w:val="20"/>
        </w:rPr>
        <w:t xml:space="preserve">  [L2]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Original:</w:t>
      </w:r>
    </w:p>
    <w:p>
      <w:pPr>
        <w:spacing w:after="100"/>
        <w:ind w:left="440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The window between detecting an incident and losing the logs to routine deletion is, in many cases, shorter than the time needed to obtain a court order.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Corrected:</w:t>
      </w:r>
    </w:p>
    <w:p>
      <w:pPr>
        <w:spacing w:after="8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In many cases, the window between detecting an incident and losing the logs to routine deletion is shorter than the time needed to obtain a court order.</w:t>
      </w:r>
    </w:p>
    <w:p>
      <w:pPr>
        <w:spacing w:after="200"/>
        <w:ind w:left="440"/>
      </w:pPr>
      <w:r>
        <w:rPr>
          <w:rFonts w:ascii="Cambria" w:cs="Cambria" w:eastAsia="Cambria" w:hAnsi="Cambria"/>
          <w:i/>
          <w:iCs/>
          <w:color w:val="888888"/>
          <w:sz w:val="20"/>
          <w:szCs w:val="20"/>
        </w:rPr>
        <w:t xml:space="preserve">→ Moving "in many cases" to the front removes the disruptive mid-sentence comma pair and puts emphasis on "shorter than" at the end. (L2: put new/emphasized information last)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#7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Section II-B — Uzzal sentence</w:t>
      </w:r>
      <w:r>
        <w:rPr>
          <w:rFonts w:ascii="Cambria" w:cs="Cambria" w:eastAsia="Cambria" w:hAnsi="Cambria"/>
          <w:b w:val="false"/>
          <w:bCs w:val="false"/>
          <w:color w:val="AA6600"/>
          <w:sz w:val="20"/>
          <w:szCs w:val="20"/>
        </w:rPr>
        <w:t xml:space="preserve">  [L1 + L3]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Original:</w:t>
      </w:r>
    </w:p>
    <w:p>
      <w:pPr>
        <w:spacing w:after="100"/>
        <w:ind w:left="440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...forensic reports that do not account for the cloud storage layer between the alleged offence and the physical exhibit presented in court [11].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Corrected:</w:t>
      </w:r>
    </w:p>
    <w:p>
      <w:pPr>
        <w:spacing w:after="8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...forensic reports that ignore the cloud storage layer separating the alleged offence from the physical exhibit [11].</w:t>
      </w:r>
    </w:p>
    <w:p>
      <w:pPr>
        <w:spacing w:after="200"/>
        <w:ind w:left="440"/>
      </w:pPr>
      <w:r>
        <w:rPr>
          <w:rFonts w:ascii="Cambria" w:cs="Cambria" w:eastAsia="Cambria" w:hAnsi="Cambria"/>
          <w:i/>
          <w:iCs/>
          <w:color w:val="888888"/>
          <w:sz w:val="20"/>
          <w:szCs w:val="20"/>
        </w:rPr>
        <w:t xml:space="preserve">→ "Do not account for" is wordy; "ignore" is the direct verb. The trailing "presented in court" is implicit and can be cut. (L1 + L3)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#8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Section II-C — "Accessing it"</w:t>
      </w:r>
      <w:r>
        <w:rPr>
          <w:rFonts w:ascii="Cambria" w:cs="Cambria" w:eastAsia="Cambria" w:hAnsi="Cambria"/>
          <w:b w:val="false"/>
          <w:bCs w:val="false"/>
          <w:color w:val="AA6600"/>
          <w:sz w:val="20"/>
          <w:szCs w:val="20"/>
        </w:rPr>
        <w:t xml:space="preserve">  [L1]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Original:</w:t>
      </w:r>
    </w:p>
    <w:p>
      <w:pPr>
        <w:spacing w:after="100"/>
        <w:ind w:left="440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Accessing it for a domestic investigation nominally requires an MLAT request—a mechanism designed for physical evidence transfer between cooperating states.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Corrected:</w:t>
      </w:r>
    </w:p>
    <w:p>
      <w:pPr>
        <w:spacing w:after="8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Accessing that data for a domestic investigation nominally requires an MLAT request—a mechanism designed for physical evidence transfer between cooperating states.</w:t>
      </w:r>
    </w:p>
    <w:p>
      <w:pPr>
        <w:spacing w:after="200"/>
        <w:ind w:left="440"/>
      </w:pPr>
      <w:r>
        <w:rPr>
          <w:rFonts w:ascii="Cambria" w:cs="Cambria" w:eastAsia="Cambria" w:hAnsi="Cambria"/>
          <w:i/>
          <w:iCs/>
          <w:color w:val="888888"/>
          <w:sz w:val="20"/>
          <w:szCs w:val="20"/>
        </w:rPr>
        <w:t xml:space="preserve">→ "It" is an ambiguous pronoun three clauses from its antecedent. Replace with "that data" for clarity. (L1: keep subjects clear)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#9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Section II-C — "bilateral relationship closeness"</w:t>
      </w:r>
      <w:r>
        <w:rPr>
          <w:rFonts w:ascii="Cambria" w:cs="Cambria" w:eastAsia="Cambria" w:hAnsi="Cambria"/>
          <w:b w:val="false"/>
          <w:bCs w:val="false"/>
          <w:color w:val="AA6600"/>
          <w:sz w:val="20"/>
          <w:szCs w:val="20"/>
        </w:rPr>
        <w:t xml:space="preserve">  [L3]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Original:</w:t>
      </w:r>
    </w:p>
    <w:p>
      <w:pPr>
        <w:spacing w:after="100"/>
        <w:ind w:left="440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...strongly correlated with bilateral relationship closeness and the presence of a specialist digital evidence track [9].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Corrected:</w:t>
      </w:r>
    </w:p>
    <w:p>
      <w:pPr>
        <w:spacing w:after="8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...strongly correlated with the closeness of bilateral relationships and the availability of a specialist digital evidence track [9].</w:t>
      </w:r>
    </w:p>
    <w:p>
      <w:pPr>
        <w:spacing w:after="200"/>
        <w:ind w:left="440"/>
      </w:pPr>
      <w:r>
        <w:rPr>
          <w:rFonts w:ascii="Cambria" w:cs="Cambria" w:eastAsia="Cambria" w:hAnsi="Cambria"/>
          <w:i/>
          <w:iCs/>
          <w:color w:val="888888"/>
          <w:sz w:val="20"/>
          <w:szCs w:val="20"/>
        </w:rPr>
        <w:t xml:space="preserve">→ "Bilateral relationship closeness" strings three nouns together awkwardly. Expanding to a prepositional phrase reads naturally. (L3: prefer simple, clear phrasing)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#10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Section II-D — "arrives at actionable recommendations"</w:t>
      </w:r>
      <w:r>
        <w:rPr>
          <w:rFonts w:ascii="Cambria" w:cs="Cambria" w:eastAsia="Cambria" w:hAnsi="Cambria"/>
          <w:b w:val="false"/>
          <w:bCs w:val="false"/>
          <w:color w:val="AA6600"/>
          <w:sz w:val="20"/>
          <w:szCs w:val="20"/>
        </w:rPr>
        <w:t xml:space="preserve">  [L1]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Original:</w:t>
      </w:r>
    </w:p>
    <w:p>
      <w:pPr>
        <w:spacing w:after="100"/>
        <w:ind w:left="440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...and arrives at actionable recommendations grounded in peer-reviewed evidence.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Corrected:</w:t>
      </w:r>
    </w:p>
    <w:p>
      <w:pPr>
        <w:spacing w:after="8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...and recommends actions grounded in peer-reviewed evidence.</w:t>
      </w:r>
    </w:p>
    <w:p>
      <w:pPr>
        <w:spacing w:after="200"/>
        <w:ind w:left="440"/>
      </w:pPr>
      <w:r>
        <w:rPr>
          <w:rFonts w:ascii="Cambria" w:cs="Cambria" w:eastAsia="Cambria" w:hAnsi="Cambria"/>
          <w:i/>
          <w:iCs/>
          <w:color w:val="888888"/>
          <w:sz w:val="20"/>
          <w:szCs w:val="20"/>
        </w:rPr>
        <w:t xml:space="preserve">→ "Arrives at...recommendations" nominalizes "recommend." Using the verb directly is shorter and cleaner. (L1 + L3)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1A3A5C"/>
          <w:sz w:val="26"/>
          <w:szCs w:val="26"/>
        </w:rPr>
        <w:t xml:space="preserve">C. Lesson 2 — Cohesion, Coherence, and Emphasis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#11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Introduction para. 1 — long compound sentence</w:t>
      </w:r>
      <w:r>
        <w:rPr>
          <w:rFonts w:ascii="Cambria" w:cs="Cambria" w:eastAsia="Cambria" w:hAnsi="Cambria"/>
          <w:b w:val="false"/>
          <w:bCs w:val="false"/>
          <w:color w:val="AA6600"/>
          <w:sz w:val="20"/>
          <w:szCs w:val="20"/>
        </w:rPr>
        <w:t xml:space="preserve">  [L2]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Original:</w:t>
      </w:r>
    </w:p>
    <w:p>
      <w:pPr>
        <w:spacing w:after="100"/>
        <w:ind w:left="440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By 2023, over 66.94 million citizens used the internet regularly, with more than 100 million internet-enabled devices in circulation [15], and public-sector cloud procurement surpassing $1.2 billion between 2020 and 2024 [16].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Corrected:</w:t>
      </w:r>
    </w:p>
    <w:p>
      <w:pPr>
        <w:spacing w:after="8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By 2023, over 66.94 million citizens used the internet regularly, with more than 100 million internet-enabled devices in circulation [15]; public-sector cloud procurement had surpassed $1.2 billion since 2020 [16].</w:t>
      </w:r>
    </w:p>
    <w:p>
      <w:pPr>
        <w:spacing w:after="200"/>
        <w:ind w:left="440"/>
      </w:pPr>
      <w:r>
        <w:rPr>
          <w:rFonts w:ascii="Cambria" w:cs="Cambria" w:eastAsia="Cambria" w:hAnsi="Cambria"/>
          <w:i/>
          <w:iCs/>
          <w:color w:val="888888"/>
          <w:sz w:val="20"/>
          <w:szCs w:val="20"/>
        </w:rPr>
        <w:t xml:space="preserve">→ The final participial phrase ("procurement surpassing") dangles. A semicolon separates the two facts and places the $1.2 billion figure—the stronger number—at the end where it gets stress. (L2: put new/emphasized information last)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#12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Section III intro — "This review adopts..."</w:t>
      </w:r>
      <w:r>
        <w:rPr>
          <w:rFonts w:ascii="Cambria" w:cs="Cambria" w:eastAsia="Cambria" w:hAnsi="Cambria"/>
          <w:b w:val="false"/>
          <w:bCs w:val="false"/>
          <w:color w:val="AA6600"/>
          <w:sz w:val="20"/>
          <w:szCs w:val="20"/>
        </w:rPr>
        <w:t xml:space="preserve">  [L2]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Original:</w:t>
      </w:r>
    </w:p>
    <w:p>
      <w:pPr>
        <w:spacing w:after="100"/>
        <w:ind w:left="440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This review adopts a PRISMA 2020-guided systematic literature review (SLR) design [18], selected because it provides explicit, auditable procedures for every stage of source selection and a transparent structure that distinguishes this study from narrative reviews and enables future replication and updating as the legislative landscape evolves.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Corrected:</w:t>
      </w:r>
    </w:p>
    <w:p>
      <w:pPr>
        <w:spacing w:after="8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This review follows a PRISMA 2020-guided systematic literature review (SLR) design [18]. PRISMA provides explicit, auditable procedures for every stage of source selection, distinguishes this study from narrative reviews, and allows future replication as the legislative landscape evolves.</w:t>
      </w:r>
    </w:p>
    <w:p>
      <w:pPr>
        <w:spacing w:after="200"/>
        <w:ind w:left="440"/>
      </w:pPr>
      <w:r>
        <w:rPr>
          <w:rFonts w:ascii="Cambria" w:cs="Cambria" w:eastAsia="Cambria" w:hAnsi="Cambria"/>
          <w:i/>
          <w:iCs/>
          <w:color w:val="888888"/>
          <w:sz w:val="20"/>
          <w:szCs w:val="20"/>
        </w:rPr>
        <w:t xml:space="preserve">→ One sentence tries to carry too much. Splitting at "design" lets each clause breathe and puts the design rationale as a clear new statement. (L2: coherence; also L3: omit "and updating")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#13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Section III-A — "The PRISMA 2020 selection flow is shown"</w:t>
      </w:r>
      <w:r>
        <w:rPr>
          <w:rFonts w:ascii="Cambria" w:cs="Cambria" w:eastAsia="Cambria" w:hAnsi="Cambria"/>
          <w:b w:val="false"/>
          <w:bCs w:val="false"/>
          <w:color w:val="AA6600"/>
          <w:sz w:val="20"/>
          <w:szCs w:val="20"/>
        </w:rPr>
        <w:t xml:space="preserve">  [L1 + L2]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Original:</w:t>
      </w:r>
    </w:p>
    <w:p>
      <w:pPr>
        <w:spacing w:after="100"/>
        <w:ind w:left="440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The PRISMA 2020 selection flow is shown in Fig. 1 and the complete five-phase research process is illustrated in Fig. 2.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Corrected:</w:t>
      </w:r>
    </w:p>
    <w:p>
      <w:pPr>
        <w:spacing w:after="8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Figure 1 shows the PRISMA 2020 selection flow; Figure 2 illustrates the complete five-phase research process.</w:t>
      </w:r>
    </w:p>
    <w:p>
      <w:pPr>
        <w:spacing w:after="200"/>
        <w:ind w:left="440"/>
      </w:pPr>
      <w:r>
        <w:rPr>
          <w:rFonts w:ascii="Cambria" w:cs="Cambria" w:eastAsia="Cambria" w:hAnsi="Cambria"/>
          <w:i/>
          <w:iCs/>
          <w:color w:val="888888"/>
          <w:sz w:val="20"/>
          <w:szCs w:val="20"/>
        </w:rPr>
        <w:t xml:space="preserve">→ Passive voice buries the figures. Making them subjects and using active verbs ("shows," "illustrates") puts the references at the start where they can be found quickly. (L1: actors in subjects; L2: old info first)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#14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Section III-A — "The 2021–2026 window was chosen"</w:t>
      </w:r>
      <w:r>
        <w:rPr>
          <w:rFonts w:ascii="Cambria" w:cs="Cambria" w:eastAsia="Cambria" w:hAnsi="Cambria"/>
          <w:b w:val="false"/>
          <w:bCs w:val="false"/>
          <w:color w:val="AA6600"/>
          <w:sz w:val="20"/>
          <w:szCs w:val="20"/>
        </w:rPr>
        <w:t xml:space="preserve">  [L1]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Original:</w:t>
      </w:r>
    </w:p>
    <w:p>
      <w:pPr>
        <w:spacing w:after="100"/>
        <w:ind w:left="440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The 2021–2026 window was chosen to align with the post-DSA 2018 period and to capture studies engaging with the CSA 2023 environment.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Corrected:</w:t>
      </w:r>
    </w:p>
    <w:p>
      <w:pPr>
        <w:spacing w:after="8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We chose the 2021–2026 window to align with the post-DSA 2018 period and to capture studies engaging with the CSA 2023 environment.</w:t>
      </w:r>
    </w:p>
    <w:p>
      <w:pPr>
        <w:spacing w:after="200"/>
        <w:ind w:left="440"/>
      </w:pPr>
      <w:r>
        <w:rPr>
          <w:rFonts w:ascii="Cambria" w:cs="Cambria" w:eastAsia="Cambria" w:hAnsi="Cambria"/>
          <w:i/>
          <w:iCs/>
          <w:color w:val="888888"/>
          <w:sz w:val="20"/>
          <w:szCs w:val="20"/>
        </w:rPr>
        <w:t xml:space="preserve">→ The actor (the authors) is hidden by passive voice. "We chose" is direct, takes the same space, and matches the first-person voice used elsewhere. (L1: put characters in subjects)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#15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Section III-C — "Screening the remaining 534..."</w:t>
      </w:r>
      <w:r>
        <w:rPr>
          <w:rFonts w:ascii="Cambria" w:cs="Cambria" w:eastAsia="Cambria" w:hAnsi="Cambria"/>
          <w:b w:val="false"/>
          <w:bCs w:val="false"/>
          <w:color w:val="AA6600"/>
          <w:sz w:val="20"/>
          <w:szCs w:val="20"/>
        </w:rPr>
        <w:t xml:space="preserve">  [L1]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Original:</w:t>
      </w:r>
    </w:p>
    <w:p>
      <w:pPr>
        <w:spacing w:after="100"/>
        <w:ind w:left="440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Screening the remaining 534 by title and abstract excluded 486 as outside scope.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Corrected:</w:t>
      </w:r>
    </w:p>
    <w:p>
      <w:pPr>
        <w:spacing w:after="8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Screening the remaining 534 records by title and abstract, we excluded 486 as outside scope.</w:t>
      </w:r>
    </w:p>
    <w:p>
      <w:pPr>
        <w:spacing w:after="200"/>
        <w:ind w:left="440"/>
      </w:pPr>
      <w:r>
        <w:rPr>
          <w:rFonts w:ascii="Cambria" w:cs="Cambria" w:eastAsia="Cambria" w:hAnsi="Cambria"/>
          <w:i/>
          <w:iCs/>
          <w:color w:val="888888"/>
          <w:sz w:val="20"/>
          <w:szCs w:val="20"/>
        </w:rPr>
        <w:t xml:space="preserve">→ Dangling modifier—"Screening" should attach to "we," not to "486." Adding the subject fixes the grammar and the ambiguity. (L1: put characters in subjects)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#16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Section III-D — "The 16 studies were systematically coded"</w:t>
      </w:r>
      <w:r>
        <w:rPr>
          <w:rFonts w:ascii="Cambria" w:cs="Cambria" w:eastAsia="Cambria" w:hAnsi="Cambria"/>
          <w:b w:val="false"/>
          <w:bCs w:val="false"/>
          <w:color w:val="AA6600"/>
          <w:sz w:val="20"/>
          <w:szCs w:val="20"/>
        </w:rPr>
        <w:t xml:space="preserve">  [L1]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Original:</w:t>
      </w:r>
    </w:p>
    <w:p>
      <w:pPr>
        <w:spacing w:after="100"/>
        <w:ind w:left="440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The 16 studies were systematically coded using the thematic synthesis procedure of Thomas and Harden [17] by a single reviewer (absence of inter-rater verification is a stated limitation).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Corrected:</w:t>
      </w:r>
    </w:p>
    <w:p>
      <w:pPr>
        <w:spacing w:after="8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A single reviewer coded all 16 studies using the thematic synthesis procedure of Thomas and Harden [17]; the absence of inter-rater verification is a stated limitation.</w:t>
      </w:r>
    </w:p>
    <w:p>
      <w:pPr>
        <w:spacing w:after="200"/>
        <w:ind w:left="440"/>
      </w:pPr>
      <w:r>
        <w:rPr>
          <w:rFonts w:ascii="Cambria" w:cs="Cambria" w:eastAsia="Cambria" w:hAnsi="Cambria"/>
          <w:i/>
          <w:iCs/>
          <w:color w:val="888888"/>
          <w:sz w:val="20"/>
          <w:szCs w:val="20"/>
        </w:rPr>
        <w:t xml:space="preserve">→ Passive voice and a parenthetical bury the key methodological detail (single reviewer). Leading with the actor makes the limitation transparent from the outset. (L1 + L2)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#17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Section III-D — "Each cluster was then matched"</w:t>
      </w:r>
      <w:r>
        <w:rPr>
          <w:rFonts w:ascii="Cambria" w:cs="Cambria" w:eastAsia="Cambria" w:hAnsi="Cambria"/>
          <w:b w:val="false"/>
          <w:bCs w:val="false"/>
          <w:color w:val="AA6600"/>
          <w:sz w:val="20"/>
          <w:szCs w:val="20"/>
        </w:rPr>
        <w:t xml:space="preserve">  [L1]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Original:</w:t>
      </w:r>
    </w:p>
    <w:p>
      <w:pPr>
        <w:spacing w:after="100"/>
        <w:ind w:left="440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Each cluster was then matched to the highest-evidenced resolution tool (RQ3) based on empirical metrics (F1-scores, jurisdiction counts, latency and cost reductions), yielding the AI-CFRF-BD framework (RQ4).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Corrected:</w:t>
      </w:r>
    </w:p>
    <w:p>
      <w:pPr>
        <w:spacing w:after="8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We then matched each cluster to the highest-evidenced resolution tool (RQ3) based on empirical metrics—F1-scores, jurisdiction counts, and latency and cost reductions—yielding the AI-CFRF-BD framework (RQ4).</w:t>
      </w:r>
    </w:p>
    <w:p>
      <w:pPr>
        <w:spacing w:after="200"/>
        <w:ind w:left="440"/>
      </w:pPr>
      <w:r>
        <w:rPr>
          <w:rFonts w:ascii="Cambria" w:cs="Cambria" w:eastAsia="Cambria" w:hAnsi="Cambria"/>
          <w:i/>
          <w:iCs/>
          <w:color w:val="888888"/>
          <w:sz w:val="20"/>
          <w:szCs w:val="20"/>
        </w:rPr>
        <w:t xml:space="preserve">→ Active voice restores the authors as actors; em-dashes around the metrics list are easier to parse than nested parentheses. (L1: put characters in subjects)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1A3A5C"/>
          <w:sz w:val="26"/>
          <w:szCs w:val="26"/>
        </w:rPr>
        <w:t xml:space="preserve">D. Lesson 3 — Concision and Simplicity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#18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Literature review — "Bangladesh-authored works...address fragments"</w:t>
      </w:r>
      <w:r>
        <w:rPr>
          <w:rFonts w:ascii="Cambria" w:cs="Cambria" w:eastAsia="Cambria" w:hAnsi="Cambria"/>
          <w:b w:val="false"/>
          <w:bCs w:val="false"/>
          <w:color w:val="AA6600"/>
          <w:sz w:val="20"/>
          <w:szCs w:val="20"/>
        </w:rPr>
        <w:t xml:space="preserve">  [L3]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Original:</w:t>
      </w:r>
    </w:p>
    <w:p>
      <w:pPr>
        <w:spacing w:after="100"/>
        <w:ind w:left="440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Bangladesh-authored works [10], [13], [15] address fragments without mapping challenges to validated AI tools.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Corrected:</w:t>
      </w:r>
    </w:p>
    <w:p>
      <w:pPr>
        <w:spacing w:after="8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Bangladesh-authored works [10], [13], [15] address individual challenges but do not map them to validated AI tools.</w:t>
      </w:r>
    </w:p>
    <w:p>
      <w:pPr>
        <w:spacing w:after="200"/>
        <w:ind w:left="440"/>
      </w:pPr>
      <w:r>
        <w:rPr>
          <w:rFonts w:ascii="Cambria" w:cs="Cambria" w:eastAsia="Cambria" w:hAnsi="Cambria"/>
          <w:i/>
          <w:iCs/>
          <w:color w:val="888888"/>
          <w:sz w:val="20"/>
          <w:szCs w:val="20"/>
        </w:rPr>
        <w:t xml:space="preserve">→ "Address fragments" is vague and opaque. "Address individual challenges" says exactly what is meant. (L3: prefer simple words)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#19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Section III-A — long repository sentence</w:t>
      </w:r>
      <w:r>
        <w:rPr>
          <w:rFonts w:ascii="Cambria" w:cs="Cambria" w:eastAsia="Cambria" w:hAnsi="Cambria"/>
          <w:b w:val="false"/>
          <w:bCs w:val="false"/>
          <w:color w:val="AA6600"/>
          <w:sz w:val="20"/>
          <w:szCs w:val="20"/>
        </w:rPr>
        <w:t xml:space="preserve">  [L3]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Original:</w:t>
      </w:r>
    </w:p>
    <w:p>
      <w:pPr>
        <w:spacing w:after="100"/>
        <w:ind w:left="440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...arXiv (cs.CR) for technically current AI forensics preprints—CIAF and CLERMS would have been missed without it—MDPI Open Access for peer-reviewed forensics journals...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Corrected:</w:t>
      </w:r>
    </w:p>
    <w:p>
      <w:pPr>
        <w:spacing w:after="8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...arXiv (cs.CR) for current AI forensics preprints—the source of key papers including CIAF and CLERMS—MDPI Open Access for peer-reviewed forensics journals...</w:t>
      </w:r>
    </w:p>
    <w:p>
      <w:pPr>
        <w:spacing w:after="200"/>
        <w:ind w:left="440"/>
      </w:pPr>
      <w:r>
        <w:rPr>
          <w:rFonts w:ascii="Cambria" w:cs="Cambria" w:eastAsia="Cambria" w:hAnsi="Cambria"/>
          <w:i/>
          <w:iCs/>
          <w:color w:val="888888"/>
          <w:sz w:val="20"/>
          <w:szCs w:val="20"/>
        </w:rPr>
        <w:t xml:space="preserve">→ "Technically current" is redundant (preprints are current by nature). The aside "would have been missed without it" is clunky; rephrasing it as a positive statement is shorter and clearer. (L3: omit needless words)</w:t>
      </w:r>
    </w:p>
    <w:p>
      <w:pPr>
        <w:spacing w:after="80" w:before="240"/>
      </w:pPr>
      <w:r>
        <w:rPr>
          <w:rFonts w:ascii="Cambria" w:cs="Cambria" w:eastAsia="Cambria" w:hAnsi="Cambria"/>
          <w:b/>
          <w:bCs/>
          <w:color w:val="888888"/>
          <w:sz w:val="22"/>
          <w:szCs w:val="22"/>
        </w:rPr>
        <w:t xml:space="preserve">#20  </w:t>
      </w:r>
      <w:r>
        <w:rPr>
          <w:rFonts w:ascii="Cambria" w:cs="Cambria" w:eastAsia="Cambria" w:hAnsi="Cambria"/>
          <w:b/>
          <w:bCs/>
          <w:color w:val="1A3A5C"/>
          <w:sz w:val="22"/>
          <w:szCs w:val="22"/>
        </w:rPr>
        <w:t xml:space="preserve">Section III-B — exclusion criterion</w:t>
      </w:r>
      <w:r>
        <w:rPr>
          <w:rFonts w:ascii="Cambria" w:cs="Cambria" w:eastAsia="Cambria" w:hAnsi="Cambria"/>
          <w:b w:val="false"/>
          <w:bCs w:val="false"/>
          <w:color w:val="AA6600"/>
          <w:sz w:val="20"/>
          <w:szCs w:val="20"/>
        </w:rPr>
        <w:t xml:space="preserve">  [L3]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Original:</w:t>
      </w:r>
    </w:p>
    <w:p>
      <w:pPr>
        <w:spacing w:after="100"/>
        <w:ind w:left="440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Papers were excluded if they dealt only with physical-device forensics and had nothing to say about the cloud context.</w:t>
      </w:r>
    </w:p>
    <w:p>
      <w:pPr>
        <w:spacing w:after="6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Corrected:</w:t>
      </w:r>
    </w:p>
    <w:p>
      <w:pPr>
        <w:spacing w:after="80"/>
        <w:ind w:left="440"/>
      </w:pPr>
      <w:r>
        <w:rPr>
          <w:rFonts w:ascii="Cambria" w:cs="Cambria" w:eastAsia="Cambria" w:hAnsi="Cambria"/>
          <w:color w:val="1A5276"/>
          <w:sz w:val="22"/>
          <w:szCs w:val="22"/>
        </w:rPr>
        <w:t xml:space="preserve">Papers were excluded if they addressed only physical-device forensics without touching on the cloud context.</w:t>
      </w:r>
    </w:p>
    <w:p>
      <w:pPr>
        <w:spacing w:after="200"/>
        <w:ind w:left="440"/>
      </w:pPr>
      <w:r>
        <w:rPr>
          <w:rFonts w:ascii="Cambria" w:cs="Cambria" w:eastAsia="Cambria" w:hAnsi="Cambria"/>
          <w:i/>
          <w:iCs/>
          <w:color w:val="888888"/>
          <w:sz w:val="20"/>
          <w:szCs w:val="20"/>
        </w:rPr>
        <w:t xml:space="preserve">→ "Had nothing to say about" is an informal, wordy idiom. (L3: prefer direct, simple words)</w:t>
      </w:r>
    </w:p>
    <w:p>
      <w:r>
        <w:br w:type="page"/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1A3A5C"/>
          <w:sz w:val="26"/>
          <w:szCs w:val="26"/>
        </w:rPr>
        <w:t xml:space="preserve">E. Summary</w:t>
      </w:r>
    </w:p>
    <w:p>
      <w:pPr>
        <w:spacing w:after="160"/>
      </w:pPr>
      <w:r>
        <w:rPr>
          <w:rFonts w:ascii="Cambria" w:cs="Cambria" w:eastAsia="Cambria" w:hAnsi="Cambria"/>
          <w:sz w:val="22"/>
          <w:szCs w:val="22"/>
        </w:rPr>
        <w:t xml:space="preserve">20 issues found (2 typos + 18 writing-principle violations). Breakdown by lesson:</w:t>
      </w:r>
    </w:p>
    <w:p>
      <w:pPr>
        <w:spacing w:after="80"/>
      </w:pPr>
      <w:r>
        <w:rPr>
          <w:rFonts w:ascii="Cambria" w:cs="Cambria" w:eastAsia="Cambria" w:hAnsi="Cambria"/>
          <w:sz w:val="22"/>
          <w:szCs w:val="22"/>
        </w:rPr>
        <w:t xml:space="preserve">• Lesson 1 (Actors &amp; Actions): 10 issues — hidden actors via passive voice; nominalizations masking verbs</w:t>
      </w:r>
    </w:p>
    <w:p>
      <w:pPr>
        <w:spacing w:after="80"/>
      </w:pPr>
      <w:r>
        <w:rPr>
          <w:rFonts w:ascii="Cambria" w:cs="Cambria" w:eastAsia="Cambria" w:hAnsi="Cambria"/>
          <w:sz w:val="22"/>
          <w:szCs w:val="22"/>
        </w:rPr>
        <w:t xml:space="preserve">• Lesson 2 (Cohesion &amp; Emphasis): 7 issues — overlong sentences; weak sentence endings; passive burying references</w:t>
      </w:r>
    </w:p>
    <w:p>
      <w:pPr>
        <w:spacing w:after="160"/>
      </w:pPr>
      <w:r>
        <w:rPr>
          <w:rFonts w:ascii="Cambria" w:cs="Cambria" w:eastAsia="Cambria" w:hAnsi="Cambria"/>
          <w:sz w:val="22"/>
          <w:szCs w:val="22"/>
        </w:rPr>
        <w:t xml:space="preserve">• Lesson 3 (Concision &amp; Simplicity): 3 issues — vague/informal wording; redundant adjectives; padded phrases</w:t>
      </w:r>
    </w:p>
    <w:p>
      <w:pPr>
        <w:spacing w:after="8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Overall quality: Strong. The argument is clear, the evidence is well-marshalled, and the structure is logical. These are sentence-level refinements, not structural problems.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2026-09-16T13:22:33.267Z</dcterms:created>
  <dcterms:modified xsi:type="dcterms:W3CDTF">2026-09-16T13:22:33.268Z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