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jc w:val="center"/>
      </w:pPr>
      <w:r>
        <w:rPr>
          <w:rFonts w:ascii="Times New Roman" w:cs="Times New Roman" w:eastAsia="Times New Roman" w:hAnsi="Times New Roman"/>
          <w:b/>
          <w:bCs/>
          <w:i w:val="false"/>
          <w:iCs w:val="false"/>
          <w:sz w:val="26"/>
          <w:szCs w:val="26"/>
        </w:rPr>
        <w:t xml:space="preserve">Cloud Forensics in Bangladesh:</w:t>
      </w:r>
    </w:p>
    <w:p>
      <w:pPr>
        <w:spacing w:after="60"/>
        <w:jc w:val="center"/>
      </w:pPr>
      <w:r>
        <w:rPr>
          <w:rFonts w:ascii="Times New Roman" w:cs="Times New Roman" w:eastAsia="Times New Roman" w:hAnsi="Times New Roman"/>
          <w:b/>
          <w:bCs/>
          <w:i w:val="false"/>
          <w:iCs w:val="false"/>
          <w:sz w:val="26"/>
          <w:szCs w:val="26"/>
        </w:rPr>
        <w:t xml:space="preserve">A PRISMA-Guided Systematic Review of Challenges,</w:t>
      </w:r>
    </w:p>
    <w:p>
      <w:pPr>
        <w:spacing w:after="60"/>
        <w:jc w:val="center"/>
      </w:pPr>
      <w:r>
        <w:rPr>
          <w:rFonts w:ascii="Times New Roman" w:cs="Times New Roman" w:eastAsia="Times New Roman" w:hAnsi="Times New Roman"/>
          <w:b/>
          <w:bCs/>
          <w:i w:val="false"/>
          <w:iCs w:val="false"/>
          <w:sz w:val="26"/>
          <w:szCs w:val="26"/>
        </w:rPr>
        <w:t xml:space="preserve">Frameworks, and Legal Considerations</w:t>
      </w:r>
    </w:p>
    <w:p>
      <w:pPr>
        <w:spacing w:after="60"/>
      </w:pPr>
    </w:p>
    <w:p>
      <w:pPr>
        <w:spacing w:after="60"/>
        <w:jc w:val="center"/>
      </w:pPr>
      <w:r>
        <w:rPr>
          <w:rFonts w:ascii="Times New Roman" w:cs="Times New Roman" w:eastAsia="Times New Roman" w:hAnsi="Times New Roman"/>
          <w:b w:val="false"/>
          <w:bCs w:val="false"/>
          <w:i w:val="false"/>
          <w:iCs w:val="false"/>
          <w:sz w:val="20"/>
          <w:szCs w:val="20"/>
        </w:rPr>
        <w:t xml:space="preserve">Md. Ahsan Kabir</w:t>
      </w:r>
    </w:p>
    <w:p>
      <w:pPr>
        <w:spacing w:after="60"/>
        <w:jc w:val="center"/>
      </w:pPr>
      <w:r>
        <w:rPr>
          <w:rFonts w:ascii="Times New Roman" w:cs="Times New Roman" w:eastAsia="Times New Roman" w:hAnsi="Times New Roman"/>
          <w:b w:val="false"/>
          <w:bCs w:val="false"/>
          <w:i w:val="false"/>
          <w:iCs w:val="false"/>
          <w:sz w:val="20"/>
          <w:szCs w:val="20"/>
        </w:rPr>
        <w:t xml:space="preserve">Department of Computer Science and Engineering</w:t>
      </w:r>
    </w:p>
    <w:p>
      <w:pPr>
        <w:spacing w:after="60"/>
        <w:jc w:val="center"/>
      </w:pPr>
      <w:r>
        <w:rPr>
          <w:rFonts w:ascii="Times New Roman" w:cs="Times New Roman" w:eastAsia="Times New Roman" w:hAnsi="Times New Roman"/>
          <w:b w:val="false"/>
          <w:bCs w:val="false"/>
          <w:i w:val="false"/>
          <w:iCs w:val="false"/>
          <w:sz w:val="20"/>
          <w:szCs w:val="20"/>
        </w:rPr>
        <w:t xml:space="preserve">BJIT Limited, Dhaka, Bangladesh</w:t>
      </w:r>
    </w:p>
    <w:p>
      <w:pPr>
        <w:spacing w:after="60"/>
        <w:jc w:val="center"/>
      </w:pPr>
      <w:r>
        <w:rPr>
          <w:rFonts w:ascii="Times New Roman" w:cs="Times New Roman" w:eastAsia="Times New Roman" w:hAnsi="Times New Roman"/>
          <w:b w:val="false"/>
          <w:bCs w:val="false"/>
          <w:i/>
          <w:iCs/>
          <w:sz w:val="20"/>
          <w:szCs w:val="20"/>
        </w:rPr>
        <w:t xml:space="preserve">ahsan.kabir@bjitgroup.com</w:t>
      </w:r>
    </w:p>
    <w:p>
      <w:pPr>
        <w:spacing w:after="60"/>
      </w:pPr>
    </w:p>
    <w:p>
      <w:pPr>
        <w:pBdr>
          <w:top w:sz="6" w:space="6"/>
        </w:pBdr>
        <w:spacing w:after="80" w:line="240"/>
        <w:jc w:val="both"/>
      </w:pPr>
      <w:r>
        <w:rPr>
          <w:rFonts w:ascii="Times New Roman" w:cs="Times New Roman" w:eastAsia="Times New Roman" w:hAnsi="Times New Roman"/>
          <w:b/>
          <w:bCs/>
          <w:sz w:val="20"/>
          <w:szCs w:val="20"/>
        </w:rPr>
        <w:t xml:space="preserve">Abstract</w:t>
      </w:r>
    </w:p>
    <w:p>
      <w:pPr>
        <w:spacing w:after="80" w:line="240"/>
        <w:jc w:val="both"/>
      </w:pPr>
      <w:r>
        <w:rPr>
          <w:rFonts w:ascii="Times New Roman" w:cs="Times New Roman" w:eastAsia="Times New Roman" w:hAnsi="Times New Roman"/>
          <w:i/>
          <w:iCs/>
          <w:sz w:val="20"/>
          <w:szCs w:val="20"/>
        </w:rPr>
        <w:t xml:space="preserve">Cloud forensics has become a pressing concern for digital investigators worldwide as organizations increasingly migrate their operations to cloud-based infrastructures. In Bangladesh, where cloud adoption is accelerating under the government's Smart Bangladesh 2041 vision, the investigative landscape remains largely underprepared for cloud-based digital evidence handling. This paper presents a systematic review of the literature following the PRISMA 2020 guidelines to identify and synthesize existing research on cloud forensics challenges, proposed investigative frameworks, and the legal considerations shaping such investigations. Eighteen peer-reviewed studies published between 2015 and 2026 were selected from an initial corpus of 756 records drawn from IEEE Xplore, Scopus, Google Scholar, and ACM Digital Library. The analysis reveals three dominant challenge categories — technical, legal-jurisdictional, and organizational — and examines how frameworks such as NIST SP 800-86 and ISO/IEC 27037 map onto Bangladesh's current legislative environment, particularly the Information and Communication Technology Act (2006) and the Cyber Security Act (2023). The findings underscore a critical implementation gap and call for context-sensitive adaptations of global forensic frameworks suited to Bangladesh's institutional and legal realities.</w:t>
      </w:r>
    </w:p>
    <w:p>
      <w:pPr>
        <w:pBdr>
          <w:bottom w:sz="6" w:space="6"/>
        </w:pBdr>
        <w:spacing w:after="80"/>
        <w:jc w:val="both"/>
      </w:pPr>
      <w:r>
        <w:rPr>
          <w:rFonts w:ascii="Times New Roman" w:cs="Times New Roman" w:eastAsia="Times New Roman" w:hAnsi="Times New Roman"/>
          <w:b/>
          <w:bCs/>
          <w:sz w:val="20"/>
          <w:szCs w:val="20"/>
        </w:rPr>
        <w:t xml:space="preserve">Index Terms — cloud forensics, digital investigation, Bangladesh, PRISMA, cybercrime, ICT Act, evidence admissibility, cyber law</w:t>
      </w:r>
    </w:p>
    <w:p>
      <w:pPr>
        <w:spacing w:after="60"/>
      </w:pPr>
    </w:p>
    <w:p>
      <w:pPr>
        <w:spacing w:after="80" w:before="160"/>
        <w:jc w:val="center"/>
      </w:pPr>
      <w:r>
        <w:rPr>
          <w:rFonts w:ascii="Times New Roman" w:cs="Times New Roman" w:eastAsia="Times New Roman" w:hAnsi="Times New Roman"/>
          <w:b/>
          <w:bCs/>
          <w:sz w:val="20"/>
          <w:szCs w:val="20"/>
        </w:rPr>
        <w:t xml:space="preserve">I. INTRODUCTION</w:t>
      </w:r>
    </w:p>
    <w:p>
      <w:pPr>
        <w:spacing w:after="80" w:line="240"/>
        <w:jc w:val="both"/>
      </w:pPr>
      <w:r>
        <w:rPr>
          <w:rFonts w:ascii="Times New Roman" w:cs="Times New Roman" w:eastAsia="Times New Roman" w:hAnsi="Times New Roman"/>
          <w:b w:val="false"/>
          <w:bCs w:val="false"/>
          <w:sz w:val="20"/>
          <w:szCs w:val="20"/>
        </w:rPr>
        <w:t xml:space="preserve">The proliferation of cloud computing has fundamentally reconfigured the architecture of modern digital crime scenes. Unlike conventional forensic engagements — where investigators obtain physical custody of a storage device and apply well-established chain-of-custody procedures — cloud-based investigations must navigate geographically dispersed data centers, multi-tenant virtualization stacks, ephemeral container instances, and API-mediated access models that introduce opacity at every layer of the evidence hierarchy [1]. This set of constraints defines the emerging discipline of </w:t>
      </w:r>
      <w:r>
        <w:rPr>
          <w:rFonts w:ascii="Times New Roman" w:cs="Times New Roman" w:eastAsia="Times New Roman" w:hAnsi="Times New Roman"/>
          <w:i/>
          <w:iCs/>
          <w:sz w:val="20"/>
          <w:szCs w:val="20"/>
        </w:rPr>
        <w:t xml:space="preserve">cloud forensics</w:t>
      </w:r>
      <w:r>
        <w:rPr>
          <w:rFonts w:ascii="Times New Roman" w:cs="Times New Roman" w:eastAsia="Times New Roman" w:hAnsi="Times New Roman"/>
          <w:b w:val="false"/>
          <w:bCs w:val="false"/>
          <w:sz w:val="20"/>
          <w:szCs w:val="20"/>
        </w:rPr>
        <w:t xml:space="preserve">: the application of scientific methods to identify, preserve, analyze, and present digital evidence resident in cloud infrastructure, in a manner that is legally defensible and operationally reproducible [2].</w:t>
      </w:r>
    </w:p>
    <w:p>
      <w:pPr>
        <w:spacing w:after="60"/>
      </w:pPr>
    </w:p>
    <w:p>
      <w:pPr>
        <w:spacing w:after="80" w:line="240"/>
        <w:jc w:val="both"/>
      </w:pPr>
      <w:r>
        <w:rPr>
          <w:rFonts w:ascii="Times New Roman" w:cs="Times New Roman" w:eastAsia="Times New Roman" w:hAnsi="Times New Roman"/>
          <w:sz w:val="20"/>
          <w:szCs w:val="20"/>
        </w:rPr>
        <w:t xml:space="preserve">Bangladesh presents a particularly instructive case study in this evolving discipline. The country's digital economy has expanded rapidly: internet penetration exceeded 40 million active users by 2024, and the government's Smart Bangladesh 2041 roadmap explicitly targets cloud-first public service delivery across all major ministries [3]. Financial institutions, telecommunications operators, and government agencies have already transitioned core systems to Infrastructure-as-a-Service (IaaS) and Software-as-a-Service (SaaS) platforms hosted by AWS, Microsoft Azure, Google Cloud, and local providers such as Fiber@Home Cloud. The Bangladesh Bank cyber heist of 2016 — in which attackers exfiltrated approximately USD 81 million through SWIFT network manipulation — demonstrated in stark, high-consequence terms that cloud-mediated digital crime in Bangladesh carries systemic implications that demand a mature and coherent forensic response [4].</w:t>
      </w:r>
    </w:p>
    <w:p>
      <w:pPr>
        <w:spacing w:after="60"/>
      </w:pPr>
    </w:p>
    <w:p>
      <w:pPr>
        <w:spacing w:after="80" w:line="240"/>
        <w:jc w:val="both"/>
      </w:pPr>
      <w:r>
        <w:rPr>
          <w:rFonts w:ascii="Times New Roman" w:cs="Times New Roman" w:eastAsia="Times New Roman" w:hAnsi="Times New Roman"/>
          <w:sz w:val="20"/>
          <w:szCs w:val="20"/>
        </w:rPr>
        <w:t xml:space="preserve">Yet the country's forensic readiness for cloud-based investigations lags substantially behind its rate of digital adoption. Law enforcement agencies — specifically the Counter Terrorism and Transnational Crime (CTTC) unit and the Criminal Investigation Department (CID) — operate with limited dedicated cloud forensic tooling, undertrained technical personnel, and no formal inter-agency cloud evidence-handling protocol. The legal environment is similarly fragmented: the principal instruments — the Information and Communication Technology (ICT) Act 2006, the Digital Security Act (DSA) 2018, and the recently enacted Cyber Security Act (CSA) 2023 — were drafted without explicit cloud forensic provisions, leaving investigators without a coherent statutory framework for evidence preservation, chain-of-custody documentation, or cross-border mutual legal assistance in cloud contexts [5].</w:t>
      </w:r>
    </w:p>
    <w:p>
      <w:pPr>
        <w:spacing w:after="60"/>
      </w:pPr>
    </w:p>
    <w:p>
      <w:pPr>
        <w:spacing w:after="80" w:line="240"/>
        <w:jc w:val="both"/>
      </w:pPr>
      <w:r>
        <w:rPr>
          <w:rFonts w:ascii="Times New Roman" w:cs="Times New Roman" w:eastAsia="Times New Roman" w:hAnsi="Times New Roman"/>
          <w:sz w:val="20"/>
          <w:szCs w:val="20"/>
        </w:rPr>
        <w:t xml:space="preserve">This situation is not unique to Bangladesh. Developing nations across South and Southeast Asia encounter analogous gaps between rapid cloud adoption and the investigative capacity needed to address cloud-mediated crime. However, the relative scarcity of published, peer-reviewed research on cloud forensics from a Bangladeshi perspective means that local practitioners, policy-makers, and academics lack a consolidated body of literature directly applicable to their regulatory and infrastructural context. The present study addresses this gap by conducting a PRISMA 2020-guided systematic literature review that examines: (a) the documented technical and organizational challenges of cloud forensics; (b) the investigative frameworks proposed to address those challenges; and (c) the legal and jurisdictional considerations bearing on cloud forensic investigations, with particular attention to their applicability under Bangladesh's evolving cyber law regime.</w:t>
      </w:r>
    </w:p>
    <w:p>
      <w:pPr>
        <w:spacing w:after="60"/>
      </w:pPr>
    </w:p>
    <w:p>
      <w:pPr>
        <w:spacing w:after="80" w:line="240"/>
        <w:jc w:val="both"/>
      </w:pPr>
      <w:r>
        <w:rPr>
          <w:rFonts w:ascii="Times New Roman" w:cs="Times New Roman" w:eastAsia="Times New Roman" w:hAnsi="Times New Roman"/>
          <w:sz w:val="20"/>
          <w:szCs w:val="20"/>
        </w:rPr>
        <w:t xml:space="preserve">The remainder of this paper is organized as follows. Section II surveys directly related work and prior systematic reviews. Section III presents the full methodology, including the search strategy, eligibility criteria, quality appraisal protocol, and the PRISMA 2020 flow. Sections IV and V — to be developed in the full paper — will present thematic findings and a critical discussion, respectively.</w:t>
      </w:r>
    </w:p>
    <w:p>
      <w:pPr>
        <w:spacing w:after="60"/>
      </w:pPr>
    </w:p>
    <w:p>
      <w:pPr>
        <w:spacing w:after="80" w:before="160"/>
        <w:jc w:val="center"/>
      </w:pPr>
      <w:r>
        <w:rPr>
          <w:rFonts w:ascii="Times New Roman" w:cs="Times New Roman" w:eastAsia="Times New Roman" w:hAnsi="Times New Roman"/>
          <w:b/>
          <w:bCs/>
          <w:sz w:val="20"/>
          <w:szCs w:val="20"/>
        </w:rPr>
        <w:t xml:space="preserve">II. RELATED WORK</w:t>
      </w:r>
    </w:p>
    <w:p>
      <w:pPr>
        <w:spacing w:after="80" w:line="240"/>
        <w:jc w:val="both"/>
      </w:pPr>
      <w:r>
        <w:rPr>
          <w:rFonts w:ascii="Times New Roman" w:cs="Times New Roman" w:eastAsia="Times New Roman" w:hAnsi="Times New Roman"/>
          <w:sz w:val="20"/>
          <w:szCs w:val="20"/>
        </w:rPr>
        <w:t xml:space="preserve">Prior systematic reviews have addressed cloud forensics from several complementary angles, each illuminating a distinct dimension of the challenge space. Ruan et al. [6] produced one of the earliest consolidated analyses, distinguishing technical obstacles — including volatile evidence in virtualized environments and multi-tenancy complications — from legal challenges around jurisdiction and evidence admissibility. Their taxonomy established a three-part challenge structure (technical, legal, organizational) that has since become a standard reference scaffold in the cloud forensics literature.</w:t>
      </w:r>
    </w:p>
    <w:p>
      <w:pPr>
        <w:spacing w:after="60"/>
      </w:pPr>
    </w:p>
    <w:p>
      <w:pPr>
        <w:spacing w:after="80" w:line="240"/>
        <w:jc w:val="both"/>
      </w:pPr>
      <w:r>
        <w:rPr>
          <w:rFonts w:ascii="Times New Roman" w:cs="Times New Roman" w:eastAsia="Times New Roman" w:hAnsi="Times New Roman"/>
          <w:sz w:val="20"/>
          <w:szCs w:val="20"/>
        </w:rPr>
        <w:t xml:space="preserve">More recently, Alshabibi et al. [7] conducted a PRISMA-based systematic review of 20 selected studies and found that technical challenges account for approximately 42% of documented obstacles, followed by resource-related challenges (30%) and legal challenges (28%). Their synthesis also documented the progressive shift in proposed solutions: earlier work focused on procedural frameworks for evidence collection, while more recent research increasingly applies machine learning-assisted log analysis and blockchain-anchored evidence preservation to address the provenance and integrity problems inherent in multi-tenant cloud architectures.</w:t>
      </w:r>
    </w:p>
    <w:p>
      <w:pPr>
        <w:spacing w:after="60"/>
      </w:pPr>
    </w:p>
    <w:p>
      <w:pPr>
        <w:spacing w:after="80" w:line="240"/>
        <w:jc w:val="both"/>
      </w:pPr>
      <w:r>
        <w:rPr>
          <w:rFonts w:ascii="Times New Roman" w:cs="Times New Roman" w:eastAsia="Times New Roman" w:hAnsi="Times New Roman"/>
          <w:sz w:val="20"/>
          <w:szCs w:val="20"/>
        </w:rPr>
        <w:t xml:space="preserve">Bai and Sudha [8] reviewed 83 articles published over a decade and identified evidence collection as the primary forensic bottleneck, complicated by physical inaccessibility of cloud infrastructure, volatile memory states, and the practical dependency on cooperation from cloud service providers (CSPs). Their study catalogued over fifteen distinct forensic frameworks — including CLASS, CFLOG, and SecLaaS — and noted a pronounced peak in framework-proposal activity around 2015–2016 that has since given way to a focus on AI-augmented and blockchain-integrated approaches.</w:t>
      </w:r>
    </w:p>
    <w:p>
      <w:pPr>
        <w:spacing w:after="60"/>
      </w:pPr>
    </w:p>
    <w:p>
      <w:pPr>
        <w:spacing w:after="80" w:line="240"/>
        <w:jc w:val="both"/>
      </w:pPr>
      <w:r>
        <w:rPr>
          <w:rFonts w:ascii="Times New Roman" w:cs="Times New Roman" w:eastAsia="Times New Roman" w:hAnsi="Times New Roman"/>
          <w:sz w:val="20"/>
          <w:szCs w:val="20"/>
        </w:rPr>
        <w:t xml:space="preserve">On the legal dimension, Ekwempu [9] examined cross-border forensic investigation challenges in depth, identifying data sovereignty conflicts, jurisdictional overlaps, and the absence of unified international treaty mechanisms as central barriers to evidence acquisition from multi-national cloud infrastructure. His analysis is particularly relevant to the South Asian context, where mutual legal assistance treaties (MLATs) between Bangladesh and major cloud-hosting nations remain underdeveloped, and where cybercriminals increasingly exploit jurisdictional safe harbors to frustrate investigation.</w:t>
      </w:r>
    </w:p>
    <w:p>
      <w:pPr>
        <w:spacing w:after="60"/>
      </w:pPr>
    </w:p>
    <w:p>
      <w:pPr>
        <w:spacing w:after="80" w:line="240"/>
        <w:jc w:val="both"/>
      </w:pPr>
      <w:r>
        <w:rPr>
          <w:rFonts w:ascii="Times New Roman" w:cs="Times New Roman" w:eastAsia="Times New Roman" w:hAnsi="Times New Roman"/>
          <w:sz w:val="20"/>
          <w:szCs w:val="20"/>
        </w:rPr>
        <w:t xml:space="preserve">Research addressing the Bangladeshi context specifically is more limited and often confined to legal commentary rather than technical forensic analysis. Hossain and Mallika [10] provided an institutional analysis of Bangladesh's cybersecurity governance framework, documenting a fourfold increase in reported cybercrime case filings between 2018 and 2023 (from approximately 500 to 2,200 annually) and identifying structural tensions within the CSA 2023 that critics argue reproduces constitutionally problematic provisions from its DSA predecessor. Uzzal [11] examined digital evidence handling under the revised Evidence Act 2022 and found persistent capacity deficits in CID forensic laboratories, including inadequate chain-of-custody documentation practices for electronically stored information. Hasan [12] analysed the procedural shortcomings in Bangladesh's cybercrime prosecution pipeline, documenting particularly low conviction rates attributable, in large part, to failures in digital evidence collection and courtroom presentation.</w:t>
      </w:r>
    </w:p>
    <w:p>
      <w:pPr>
        <w:spacing w:after="60"/>
      </w:pPr>
    </w:p>
    <w:p>
      <w:pPr>
        <w:spacing w:after="80" w:line="240"/>
        <w:jc w:val="both"/>
      </w:pPr>
      <w:r>
        <w:rPr>
          <w:rFonts w:ascii="Times New Roman" w:cs="Times New Roman" w:eastAsia="Times New Roman" w:hAnsi="Times New Roman"/>
          <w:sz w:val="20"/>
          <w:szCs w:val="20"/>
        </w:rPr>
        <w:t xml:space="preserve">From a framework applicability standpoint, Ibrahim et al. [13] evaluated NIST SP 800-86 in an Indonesian cloud forensic context — a developing-nation setting that parallels Bangladesh in several institutional respects — and found an average framework coverage gap of 54.9%, with the most significant deficiencies in multi-tenancy handling (−75%) and cloud-native architectures (−77%). This quantified gap underscores a broader concern: prevailing international forensic standards were developed in, and for, environments with mature investigative infrastructure and unimpeded access to cloud provider cooperation, conditions that do not reliably obtain in Bangladesh.</w:t>
      </w:r>
    </w:p>
    <w:p>
      <w:pPr>
        <w:spacing w:after="60"/>
      </w:pPr>
    </w:p>
    <w:p>
      <w:pPr>
        <w:spacing w:after="80" w:line="240"/>
        <w:jc w:val="both"/>
      </w:pPr>
      <w:r>
        <w:rPr>
          <w:rFonts w:ascii="Times New Roman" w:cs="Times New Roman" w:eastAsia="Times New Roman" w:hAnsi="Times New Roman"/>
          <w:sz w:val="20"/>
          <w:szCs w:val="20"/>
        </w:rPr>
        <w:t xml:space="preserve">Taken together, the existing literature reveals a structural bifurcation: technically oriented reviews focus on cloud architecture challenges and propose technical mitigations, while legally oriented reviews examine jurisdictional and evidentiary questions without consistently grounding their analysis in a specific national context. A synthesis that bridges both dimensions and situates the findings within Bangladesh's specific legal and institutional environment is absent from the published record, motivating the present review.</w:t>
      </w:r>
    </w:p>
    <w:p>
      <w:pPr>
        <w:spacing w:after="60"/>
      </w:pPr>
    </w:p>
    <w:p>
      <w:pPr>
        <w:spacing w:after="80" w:before="160"/>
        <w:jc w:val="center"/>
      </w:pPr>
      <w:r>
        <w:rPr>
          <w:rFonts w:ascii="Times New Roman" w:cs="Times New Roman" w:eastAsia="Times New Roman" w:hAnsi="Times New Roman"/>
          <w:b/>
          <w:bCs/>
          <w:sz w:val="20"/>
          <w:szCs w:val="20"/>
        </w:rPr>
        <w:t xml:space="preserve">III. METHODOLOGY</w:t>
      </w:r>
    </w:p>
    <w:p>
      <w:pPr>
        <w:spacing w:after="80" w:line="240"/>
        <w:jc w:val="both"/>
      </w:pPr>
      <w:r>
        <w:rPr>
          <w:rFonts w:ascii="Times New Roman" w:cs="Times New Roman" w:eastAsia="Times New Roman" w:hAnsi="Times New Roman"/>
          <w:sz w:val="20"/>
          <w:szCs w:val="20"/>
        </w:rPr>
        <w:t xml:space="preserve">This study follows the Preferred Reporting Items for Systematic Reviews and Meta-Analyses (PRISMA) 2020 guidelines [14] to ensure reproducibility and transparency across all stages of literature identification, screening, and synthesis. The methodology is structured around three research questions, a multi-database search strategy, defined eligibility criteria, a quality appraisal protocol, and a narrative synthesis approach appropriate to the heterogeneous study designs encountered in this domain.</w:t>
      </w:r>
    </w:p>
    <w:p>
      <w:pPr>
        <w:spacing w:after="60"/>
      </w:pPr>
    </w:p>
    <w:p>
      <w:pPr>
        <w:spacing w:after="60" w:before="120"/>
        <w:jc w:val="left"/>
      </w:pPr>
      <w:r>
        <w:rPr>
          <w:rFonts w:ascii="Times New Roman" w:cs="Times New Roman" w:eastAsia="Times New Roman" w:hAnsi="Times New Roman"/>
          <w:b/>
          <w:bCs/>
          <w:i/>
          <w:iCs/>
          <w:sz w:val="20"/>
          <w:szCs w:val="20"/>
        </w:rPr>
        <w:t xml:space="preserve">A. Research Questions</w:t>
      </w:r>
    </w:p>
    <w:p>
      <w:pPr>
        <w:spacing w:after="80" w:line="240"/>
        <w:jc w:val="both"/>
      </w:pPr>
      <w:r>
        <w:rPr>
          <w:rFonts w:ascii="Times New Roman" w:cs="Times New Roman" w:eastAsia="Times New Roman" w:hAnsi="Times New Roman"/>
          <w:sz w:val="20"/>
          <w:szCs w:val="20"/>
        </w:rPr>
        <w:t xml:space="preserve">Three inter-related research questions (RQs) guide this review. They were formulated following a preliminary scoping search and refined through iterative discussion, ensuring both theoretical comprehensiveness and practical relevance to Bangladesh's investigative and regulatory environment:</w:t>
      </w:r>
    </w:p>
    <w:p>
      <w:pPr>
        <w:spacing w:after="60"/>
      </w:pPr>
    </w:p>
    <w:p>
      <w:pPr>
        <w:spacing w:after="80" w:line="240"/>
        <w:jc w:val="both"/>
      </w:pPr>
      <w:r>
        <w:rPr>
          <w:rFonts w:ascii="Times New Roman" w:cs="Times New Roman" w:eastAsia="Times New Roman" w:hAnsi="Times New Roman"/>
          <w:b/>
          <w:bCs/>
          <w:sz w:val="20"/>
          <w:szCs w:val="20"/>
        </w:rPr>
        <w:t xml:space="preserve">RQ1: </w:t>
      </w:r>
      <w:r>
        <w:rPr>
          <w:rFonts w:ascii="Times New Roman" w:cs="Times New Roman" w:eastAsia="Times New Roman" w:hAnsi="Times New Roman"/>
          <w:sz w:val="20"/>
          <w:szCs w:val="20"/>
        </w:rPr>
        <w:t xml:space="preserve">What are the primary technical, organizational, and legal challenges confronting cloud forensic investigators, and how do these challenges manifest specifically in developing-country contexts such as Bangladesh?</w:t>
      </w:r>
    </w:p>
    <w:p>
      <w:pPr>
        <w:spacing w:after="60"/>
      </w:pPr>
    </w:p>
    <w:p>
      <w:pPr>
        <w:spacing w:after="80" w:line="240"/>
        <w:jc w:val="both"/>
      </w:pPr>
      <w:r>
        <w:rPr>
          <w:rFonts w:ascii="Times New Roman" w:cs="Times New Roman" w:eastAsia="Times New Roman" w:hAnsi="Times New Roman"/>
          <w:b/>
          <w:bCs/>
          <w:sz w:val="20"/>
          <w:szCs w:val="20"/>
        </w:rPr>
        <w:t xml:space="preserve">RQ2: </w:t>
      </w:r>
      <w:r>
        <w:rPr>
          <w:rFonts w:ascii="Times New Roman" w:cs="Times New Roman" w:eastAsia="Times New Roman" w:hAnsi="Times New Roman"/>
          <w:sz w:val="20"/>
          <w:szCs w:val="20"/>
        </w:rPr>
        <w:t xml:space="preserve">Which frameworks for cloud forensic investigation have been proposed in the literature, and how adequately do they address the challenges identified in RQ1 within the constraints of Bangladesh's cloud infrastructure and institutional capacity?</w:t>
      </w:r>
    </w:p>
    <w:p>
      <w:pPr>
        <w:spacing w:after="60"/>
      </w:pPr>
    </w:p>
    <w:p>
      <w:pPr>
        <w:spacing w:after="80" w:line="240"/>
        <w:jc w:val="both"/>
      </w:pPr>
      <w:r>
        <w:rPr>
          <w:rFonts w:ascii="Times New Roman" w:cs="Times New Roman" w:eastAsia="Times New Roman" w:hAnsi="Times New Roman"/>
          <w:b/>
          <w:bCs/>
          <w:sz w:val="20"/>
          <w:szCs w:val="20"/>
        </w:rPr>
        <w:t xml:space="preserve">RQ3: </w:t>
      </w:r>
      <w:r>
        <w:rPr>
          <w:rFonts w:ascii="Times New Roman" w:cs="Times New Roman" w:eastAsia="Times New Roman" w:hAnsi="Times New Roman"/>
          <w:sz w:val="20"/>
          <w:szCs w:val="20"/>
        </w:rPr>
        <w:t xml:space="preserve">What legal and jurisdictional considerations govern cloud forensic investigations under Bangladesh's existing and emerging cyber law regime, and where do the most critical normative gaps remain?</w:t>
      </w:r>
    </w:p>
    <w:p>
      <w:pPr>
        <w:spacing w:after="60"/>
      </w:pPr>
    </w:p>
    <w:p>
      <w:pPr>
        <w:spacing w:after="60" w:before="120"/>
        <w:jc w:val="left"/>
      </w:pPr>
      <w:r>
        <w:rPr>
          <w:rFonts w:ascii="Times New Roman" w:cs="Times New Roman" w:eastAsia="Times New Roman" w:hAnsi="Times New Roman"/>
          <w:b/>
          <w:bCs/>
          <w:i/>
          <w:iCs/>
          <w:sz w:val="20"/>
          <w:szCs w:val="20"/>
        </w:rPr>
        <w:t xml:space="preserve">B. Search Strategy</w:t>
      </w:r>
    </w:p>
    <w:p>
      <w:pPr>
        <w:spacing w:after="80" w:line="240"/>
        <w:jc w:val="both"/>
      </w:pPr>
      <w:r>
        <w:rPr>
          <w:rFonts w:ascii="Times New Roman" w:cs="Times New Roman" w:eastAsia="Times New Roman" w:hAnsi="Times New Roman"/>
          <w:sz w:val="20"/>
          <w:szCs w:val="20"/>
        </w:rPr>
        <w:t xml:space="preserve">A structured Boolean search was executed across four academic databases: IEEE Xplore, Scopus, Google Scholar (via Publish or Perish 8.0), and ACM Digital Library. Database selection reflected the disciplinary breadth of the subject matter, which spans computer science, information security, digital forensics, and legal informatics. The search covered publications from January 2010 to June 2026, with a deliberate emphasis on post-2018 records to capture developments following the enactment of Bangladesh's Digital Security Act and the subsequent reorganization of its cybercrime enforcement architecture.</w:t>
      </w:r>
    </w:p>
    <w:p>
      <w:pPr>
        <w:spacing w:after="60"/>
      </w:pPr>
    </w:p>
    <w:p>
      <w:pPr>
        <w:spacing w:after="80" w:line="240"/>
        <w:jc w:val="both"/>
      </w:pPr>
      <w:r>
        <w:rPr>
          <w:rFonts w:ascii="Times New Roman" w:cs="Times New Roman" w:eastAsia="Times New Roman" w:hAnsi="Times New Roman"/>
          <w:sz w:val="20"/>
          <w:szCs w:val="20"/>
        </w:rPr>
        <w:t xml:space="preserve">The search string was constructed from three thematically derived logical clusters:</w:t>
      </w:r>
    </w:p>
    <w:p>
      <w:pPr>
        <w:spacing w:after="60"/>
      </w:pPr>
    </w:p>
    <w:p>
      <w:pPr>
        <w:spacing w:after="80" w:line="240"/>
        <w:jc w:val="both"/>
      </w:pPr>
      <w:r>
        <w:rPr>
          <w:rFonts w:ascii="Times New Roman" w:cs="Times New Roman" w:eastAsia="Times New Roman" w:hAnsi="Times New Roman"/>
          <w:b/>
          <w:bCs/>
          <w:i/>
          <w:iCs/>
          <w:sz w:val="20"/>
          <w:szCs w:val="20"/>
        </w:rPr>
        <w:t xml:space="preserve">Cluster 1 (Domain): </w:t>
      </w:r>
      <w:r>
        <w:rPr>
          <w:rFonts w:ascii="Times New Roman" w:cs="Times New Roman" w:eastAsia="Times New Roman" w:hAnsi="Times New Roman"/>
          <w:sz w:val="20"/>
          <w:szCs w:val="20"/>
        </w:rPr>
        <w:t xml:space="preserve">"cloud forensics" OR "cloud-based digital forensics" OR "forensic investigation cloud" OR "cloud digital investigation"</w:t>
      </w:r>
    </w:p>
    <w:p>
      <w:pPr>
        <w:spacing w:after="80" w:line="240"/>
        <w:jc w:val="both"/>
      </w:pPr>
      <w:r>
        <w:rPr>
          <w:rFonts w:ascii="Times New Roman" w:cs="Times New Roman" w:eastAsia="Times New Roman" w:hAnsi="Times New Roman"/>
          <w:b/>
          <w:bCs/>
          <w:i/>
          <w:iCs/>
          <w:sz w:val="20"/>
          <w:szCs w:val="20"/>
        </w:rPr>
        <w:t xml:space="preserve">Cluster 2 (Technical/Methodological): </w:t>
      </w:r>
      <w:r>
        <w:rPr>
          <w:rFonts w:ascii="Times New Roman" w:cs="Times New Roman" w:eastAsia="Times New Roman" w:hAnsi="Times New Roman"/>
          <w:sz w:val="20"/>
          <w:szCs w:val="20"/>
        </w:rPr>
        <w:t xml:space="preserve">"challenges" OR "framework" OR "methodology" OR "evidence collection" OR "chain of custody" OR "data preservation" OR "volatile evidence"</w:t>
      </w:r>
    </w:p>
    <w:p>
      <w:pPr>
        <w:spacing w:after="80" w:line="240"/>
        <w:jc w:val="both"/>
      </w:pPr>
      <w:r>
        <w:rPr>
          <w:rFonts w:ascii="Times New Roman" w:cs="Times New Roman" w:eastAsia="Times New Roman" w:hAnsi="Times New Roman"/>
          <w:b/>
          <w:bCs/>
          <w:i/>
          <w:iCs/>
          <w:sz w:val="20"/>
          <w:szCs w:val="20"/>
        </w:rPr>
        <w:t xml:space="preserve">Cluster 3 (Legal/Geographic): </w:t>
      </w:r>
      <w:r>
        <w:rPr>
          <w:rFonts w:ascii="Times New Roman" w:cs="Times New Roman" w:eastAsia="Times New Roman" w:hAnsi="Times New Roman"/>
          <w:sz w:val="20"/>
          <w:szCs w:val="20"/>
        </w:rPr>
        <w:t xml:space="preserve">"legal" OR "jurisdiction" OR "admissibility" OR "developing countries" OR "South Asia" OR "Bangladesh" OR "cyber law" OR "ICT Act"</w:t>
      </w:r>
    </w:p>
    <w:p>
      <w:pPr>
        <w:spacing w:after="60"/>
      </w:pPr>
    </w:p>
    <w:p>
      <w:pPr>
        <w:spacing w:after="80" w:line="240"/>
        <w:jc w:val="both"/>
      </w:pPr>
      <w:r>
        <w:rPr>
          <w:rFonts w:ascii="Times New Roman" w:cs="Times New Roman" w:eastAsia="Times New Roman" w:hAnsi="Times New Roman"/>
          <w:sz w:val="20"/>
          <w:szCs w:val="20"/>
        </w:rPr>
        <w:t xml:space="preserve">Boolean combinations of these clusters were applied with database-specific syntax adjustments. Grey literature — including government agency reports, BTRC circulars, and CERT-Bangladesh advisories — was excluded from the primary database search but incorporated as supplementary contextual material where directly relevant to the discussion of Bangladesh's institutional landscape.</w:t>
      </w:r>
    </w:p>
    <w:p>
      <w:pPr>
        <w:spacing w:after="60"/>
      </w:pPr>
    </w:p>
    <w:p>
      <w:pPr>
        <w:spacing w:after="60" w:before="120"/>
        <w:jc w:val="left"/>
      </w:pPr>
      <w:r>
        <w:rPr>
          <w:rFonts w:ascii="Times New Roman" w:cs="Times New Roman" w:eastAsia="Times New Roman" w:hAnsi="Times New Roman"/>
          <w:b/>
          <w:bCs/>
          <w:i/>
          <w:iCs/>
          <w:sz w:val="20"/>
          <w:szCs w:val="20"/>
        </w:rPr>
        <w:t xml:space="preserve">C. Eligibility Criteria</w:t>
      </w:r>
    </w:p>
    <w:p>
      <w:pPr>
        <w:spacing w:after="80" w:line="240"/>
        <w:jc w:val="both"/>
      </w:pPr>
      <w:r>
        <w:rPr>
          <w:rFonts w:ascii="Times New Roman" w:cs="Times New Roman" w:eastAsia="Times New Roman" w:hAnsi="Times New Roman"/>
          <w:sz w:val="20"/>
          <w:szCs w:val="20"/>
        </w:rPr>
        <w:t xml:space="preserve">Inclusion and exclusion criteria were defined a priori and applied consistently across all screening stages. Table I summarizes the operationalized criteria.</w:t>
      </w:r>
    </w:p>
    <w:p>
      <w:pPr>
        <w:spacing w:after="60"/>
      </w:pPr>
    </w:p>
    <w:p>
      <w:pPr>
        <w:spacing w:after="80"/>
        <w:jc w:val="center"/>
      </w:pPr>
      <w:r>
        <w:rPr>
          <w:rFonts w:ascii="Times New Roman" w:cs="Times New Roman" w:eastAsia="Times New Roman" w:hAnsi="Times New Roman"/>
          <w:b/>
          <w:bCs/>
          <w:sz w:val="20"/>
          <w:szCs w:val="20"/>
        </w:rPr>
        <w:t xml:space="preserve">TABLE I.  INCLUSION AND EXCLUSION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shd w:fill="D9E2F3" w:color="auto" w:val="clear"/>
          </w:tcPr>
          <w:p>
            <w:pPr>
              <w:spacing w:after="40"/>
              <w:jc w:val="left"/>
            </w:pPr>
            <w:r>
              <w:rPr>
                <w:rFonts w:ascii="Times New Roman" w:cs="Times New Roman" w:eastAsia="Times New Roman" w:hAnsi="Times New Roman"/>
                <w:b/>
                <w:bCs/>
                <w:sz w:val="16"/>
                <w:szCs w:val="16"/>
              </w:rPr>
              <w:t xml:space="preserve">Criterion</w:t>
            </w:r>
          </w:p>
        </w:tc>
        <w:tc>
          <w:tcPr>
            <w:tcW w:type="dxa" w:w="3480"/>
            <w:shd w:fill="D9E2F3" w:color="auto" w:val="clear"/>
          </w:tcPr>
          <w:p>
            <w:pPr>
              <w:spacing w:after="40"/>
              <w:jc w:val="left"/>
            </w:pPr>
            <w:r>
              <w:rPr>
                <w:rFonts w:ascii="Times New Roman" w:cs="Times New Roman" w:eastAsia="Times New Roman" w:hAnsi="Times New Roman"/>
                <w:b/>
                <w:bCs/>
                <w:sz w:val="16"/>
                <w:szCs w:val="16"/>
              </w:rPr>
              <w:t xml:space="preserve">Inclusion</w:t>
            </w:r>
          </w:p>
        </w:tc>
        <w:tc>
          <w:tcPr>
            <w:tcW w:type="dxa" w:w="3480"/>
            <w:shd w:fill="D9E2F3" w:color="auto" w:val="clear"/>
          </w:tcPr>
          <w:p>
            <w:pPr>
              <w:spacing w:after="40"/>
              <w:jc w:val="left"/>
            </w:pPr>
            <w:r>
              <w:rPr>
                <w:rFonts w:ascii="Times New Roman" w:cs="Times New Roman" w:eastAsia="Times New Roman" w:hAnsi="Times New Roman"/>
                <w:b/>
                <w:bCs/>
                <w:sz w:val="16"/>
                <w:szCs w:val="16"/>
              </w:rPr>
              <w:t xml:space="preserve">Exclusion</w:t>
            </w:r>
          </w:p>
        </w:tc>
      </w:tr>
      <w:tr>
        <w:trPr>
          <w:tblHeader w:val="false"/>
        </w:trPr>
        <w:tc>
          <w:tcPr>
            <w:tcW w:type="dxa" w:w="2400"/>
          </w:tcPr>
          <w:p>
            <w:pPr>
              <w:spacing w:after="40"/>
              <w:jc w:val="left"/>
            </w:pPr>
            <w:r>
              <w:rPr>
                <w:rFonts w:ascii="Times New Roman" w:cs="Times New Roman" w:eastAsia="Times New Roman" w:hAnsi="Times New Roman"/>
                <w:b w:val="false"/>
                <w:bCs w:val="false"/>
                <w:sz w:val="16"/>
                <w:szCs w:val="16"/>
              </w:rPr>
              <w:t xml:space="preserve">Publication type</w:t>
            </w:r>
          </w:p>
        </w:tc>
        <w:tc>
          <w:tcPr>
            <w:tcW w:type="dxa" w:w="3480"/>
          </w:tcPr>
          <w:p>
            <w:pPr>
              <w:spacing w:after="40"/>
              <w:jc w:val="left"/>
            </w:pPr>
            <w:r>
              <w:rPr>
                <w:rFonts w:ascii="Times New Roman" w:cs="Times New Roman" w:eastAsia="Times New Roman" w:hAnsi="Times New Roman"/>
                <w:b w:val="false"/>
                <w:bCs w:val="false"/>
                <w:sz w:val="16"/>
                <w:szCs w:val="16"/>
              </w:rPr>
              <w:t xml:space="preserve">Peer-reviewed journal articles, conference papers, book chapters</w:t>
            </w:r>
          </w:p>
        </w:tc>
        <w:tc>
          <w:tcPr>
            <w:tcW w:type="dxa" w:w="3480"/>
          </w:tcPr>
          <w:p>
            <w:pPr>
              <w:spacing w:after="40"/>
              <w:jc w:val="left"/>
            </w:pPr>
            <w:r>
              <w:rPr>
                <w:rFonts w:ascii="Times New Roman" w:cs="Times New Roman" w:eastAsia="Times New Roman" w:hAnsi="Times New Roman"/>
                <w:b w:val="false"/>
                <w:bCs w:val="false"/>
                <w:sz w:val="16"/>
                <w:szCs w:val="16"/>
              </w:rPr>
              <w:t xml:space="preserve">Theses, editorials, grey literature (primary search)</w:t>
            </w:r>
          </w:p>
        </w:tc>
      </w:tr>
      <w:tr>
        <w:trPr>
          <w:tblHeader w:val="false"/>
        </w:trPr>
        <w:tc>
          <w:tcPr>
            <w:tcW w:type="dxa" w:w="2400"/>
            <w:shd w:fill="F2F4F9" w:color="auto" w:val="clear"/>
          </w:tcPr>
          <w:p>
            <w:pPr>
              <w:spacing w:after="40"/>
              <w:jc w:val="left"/>
            </w:pPr>
            <w:r>
              <w:rPr>
                <w:rFonts w:ascii="Times New Roman" w:cs="Times New Roman" w:eastAsia="Times New Roman" w:hAnsi="Times New Roman"/>
                <w:b w:val="false"/>
                <w:bCs w:val="false"/>
                <w:sz w:val="16"/>
                <w:szCs w:val="16"/>
              </w:rPr>
              <w:t xml:space="preserve">Language</w:t>
            </w:r>
          </w:p>
        </w:tc>
        <w:tc>
          <w:tcPr>
            <w:tcW w:type="dxa" w:w="3480"/>
            <w:shd w:fill="F2F4F9" w:color="auto" w:val="clear"/>
          </w:tcPr>
          <w:p>
            <w:pPr>
              <w:spacing w:after="40"/>
              <w:jc w:val="left"/>
            </w:pPr>
            <w:r>
              <w:rPr>
                <w:rFonts w:ascii="Times New Roman" w:cs="Times New Roman" w:eastAsia="Times New Roman" w:hAnsi="Times New Roman"/>
                <w:b w:val="false"/>
                <w:bCs w:val="false"/>
                <w:sz w:val="16"/>
                <w:szCs w:val="16"/>
              </w:rPr>
              <w:t xml:space="preserve">English</w:t>
            </w:r>
          </w:p>
        </w:tc>
        <w:tc>
          <w:tcPr>
            <w:tcW w:type="dxa" w:w="3480"/>
            <w:shd w:fill="F2F4F9" w:color="auto" w:val="clear"/>
          </w:tcPr>
          <w:p>
            <w:pPr>
              <w:spacing w:after="40"/>
              <w:jc w:val="left"/>
            </w:pPr>
            <w:r>
              <w:rPr>
                <w:rFonts w:ascii="Times New Roman" w:cs="Times New Roman" w:eastAsia="Times New Roman" w:hAnsi="Times New Roman"/>
                <w:b w:val="false"/>
                <w:bCs w:val="false"/>
                <w:sz w:val="16"/>
                <w:szCs w:val="16"/>
              </w:rPr>
              <w:t xml:space="preserve">Non-English publications</w:t>
            </w:r>
          </w:p>
        </w:tc>
      </w:tr>
      <w:tr>
        <w:trPr>
          <w:tblHeader w:val="false"/>
        </w:trPr>
        <w:tc>
          <w:tcPr>
            <w:tcW w:type="dxa" w:w="2400"/>
          </w:tcPr>
          <w:p>
            <w:pPr>
              <w:spacing w:after="40"/>
              <w:jc w:val="left"/>
            </w:pPr>
            <w:r>
              <w:rPr>
                <w:rFonts w:ascii="Times New Roman" w:cs="Times New Roman" w:eastAsia="Times New Roman" w:hAnsi="Times New Roman"/>
                <w:b w:val="false"/>
                <w:bCs w:val="false"/>
                <w:sz w:val="16"/>
                <w:szCs w:val="16"/>
              </w:rPr>
              <w:t xml:space="preserve">Publication year</w:t>
            </w:r>
          </w:p>
        </w:tc>
        <w:tc>
          <w:tcPr>
            <w:tcW w:type="dxa" w:w="3480"/>
          </w:tcPr>
          <w:p>
            <w:pPr>
              <w:spacing w:after="40"/>
              <w:jc w:val="left"/>
            </w:pPr>
            <w:r>
              <w:rPr>
                <w:rFonts w:ascii="Times New Roman" w:cs="Times New Roman" w:eastAsia="Times New Roman" w:hAnsi="Times New Roman"/>
                <w:b w:val="false"/>
                <w:bCs w:val="false"/>
                <w:sz w:val="16"/>
                <w:szCs w:val="16"/>
              </w:rPr>
              <w:t xml:space="preserve">2010–2026</w:t>
            </w:r>
          </w:p>
        </w:tc>
        <w:tc>
          <w:tcPr>
            <w:tcW w:type="dxa" w:w="3480"/>
          </w:tcPr>
          <w:p>
            <w:pPr>
              <w:spacing w:after="40"/>
              <w:jc w:val="left"/>
            </w:pPr>
            <w:r>
              <w:rPr>
                <w:rFonts w:ascii="Times New Roman" w:cs="Times New Roman" w:eastAsia="Times New Roman" w:hAnsi="Times New Roman"/>
                <w:b w:val="false"/>
                <w:bCs w:val="false"/>
                <w:sz w:val="16"/>
                <w:szCs w:val="16"/>
              </w:rPr>
              <w:t xml:space="preserve">Publications before 2010</w:t>
            </w:r>
          </w:p>
        </w:tc>
      </w:tr>
      <w:tr>
        <w:trPr>
          <w:tblHeader w:val="false"/>
        </w:trPr>
        <w:tc>
          <w:tcPr>
            <w:tcW w:type="dxa" w:w="2400"/>
            <w:shd w:fill="F2F4F9" w:color="auto" w:val="clear"/>
          </w:tcPr>
          <w:p>
            <w:pPr>
              <w:spacing w:after="40"/>
              <w:jc w:val="left"/>
            </w:pPr>
            <w:r>
              <w:rPr>
                <w:rFonts w:ascii="Times New Roman" w:cs="Times New Roman" w:eastAsia="Times New Roman" w:hAnsi="Times New Roman"/>
                <w:b w:val="false"/>
                <w:bCs w:val="false"/>
                <w:sz w:val="16"/>
                <w:szCs w:val="16"/>
              </w:rPr>
              <w:t xml:space="preserve">Topic relevance</w:t>
            </w:r>
          </w:p>
        </w:tc>
        <w:tc>
          <w:tcPr>
            <w:tcW w:type="dxa" w:w="3480"/>
            <w:shd w:fill="F2F4F9" w:color="auto" w:val="clear"/>
          </w:tcPr>
          <w:p>
            <w:pPr>
              <w:spacing w:after="40"/>
              <w:jc w:val="left"/>
            </w:pPr>
            <w:r>
              <w:rPr>
                <w:rFonts w:ascii="Times New Roman" w:cs="Times New Roman" w:eastAsia="Times New Roman" w:hAnsi="Times New Roman"/>
                <w:b w:val="false"/>
                <w:bCs w:val="false"/>
                <w:sz w:val="16"/>
                <w:szCs w:val="16"/>
              </w:rPr>
              <w:t xml:space="preserve">Cloud forensics, digital evidence in cloud, cloud cybercrime law, CSP forensic cooperation</w:t>
            </w:r>
          </w:p>
        </w:tc>
        <w:tc>
          <w:tcPr>
            <w:tcW w:type="dxa" w:w="3480"/>
            <w:shd w:fill="F2F4F9" w:color="auto" w:val="clear"/>
          </w:tcPr>
          <w:p>
            <w:pPr>
              <w:spacing w:after="40"/>
              <w:jc w:val="left"/>
            </w:pPr>
            <w:r>
              <w:rPr>
                <w:rFonts w:ascii="Times New Roman" w:cs="Times New Roman" w:eastAsia="Times New Roman" w:hAnsi="Times New Roman"/>
                <w:b w:val="false"/>
                <w:bCs w:val="false"/>
                <w:sz w:val="16"/>
                <w:szCs w:val="16"/>
              </w:rPr>
              <w:t xml:space="preserve">Network forensics without cloud focus, general cybersecurity without forensic dimension</w:t>
            </w:r>
          </w:p>
        </w:tc>
      </w:tr>
      <w:tr>
        <w:trPr>
          <w:tblHeader w:val="false"/>
        </w:trPr>
        <w:tc>
          <w:tcPr>
            <w:tcW w:type="dxa" w:w="2400"/>
          </w:tcPr>
          <w:p>
            <w:pPr>
              <w:spacing w:after="40"/>
              <w:jc w:val="left"/>
            </w:pPr>
            <w:r>
              <w:rPr>
                <w:rFonts w:ascii="Times New Roman" w:cs="Times New Roman" w:eastAsia="Times New Roman" w:hAnsi="Times New Roman"/>
                <w:b w:val="false"/>
                <w:bCs w:val="false"/>
                <w:sz w:val="16"/>
                <w:szCs w:val="16"/>
              </w:rPr>
              <w:t xml:space="preserve">Full-text access</w:t>
            </w:r>
          </w:p>
        </w:tc>
        <w:tc>
          <w:tcPr>
            <w:tcW w:type="dxa" w:w="3480"/>
          </w:tcPr>
          <w:p>
            <w:pPr>
              <w:spacing w:after="40"/>
              <w:jc w:val="left"/>
            </w:pPr>
            <w:r>
              <w:rPr>
                <w:rFonts w:ascii="Times New Roman" w:cs="Times New Roman" w:eastAsia="Times New Roman" w:hAnsi="Times New Roman"/>
                <w:b w:val="false"/>
                <w:bCs w:val="false"/>
                <w:sz w:val="16"/>
                <w:szCs w:val="16"/>
              </w:rPr>
              <w:t xml:space="preserve">Full text retrievable via institutional subscription or open access</w:t>
            </w:r>
          </w:p>
        </w:tc>
        <w:tc>
          <w:tcPr>
            <w:tcW w:type="dxa" w:w="3480"/>
          </w:tcPr>
          <w:p>
            <w:pPr>
              <w:spacing w:after="40"/>
              <w:jc w:val="left"/>
            </w:pPr>
            <w:r>
              <w:rPr>
                <w:rFonts w:ascii="Times New Roman" w:cs="Times New Roman" w:eastAsia="Times New Roman" w:hAnsi="Times New Roman"/>
                <w:b w:val="false"/>
                <w:bCs w:val="false"/>
                <w:sz w:val="16"/>
                <w:szCs w:val="16"/>
              </w:rPr>
              <w:t xml:space="preserve">Abstract-only records; paywalled with no open version</w:t>
            </w:r>
          </w:p>
        </w:tc>
      </w:tr>
      <w:tr>
        <w:trPr>
          <w:tblHeader w:val="false"/>
        </w:trPr>
        <w:tc>
          <w:tcPr>
            <w:tcW w:type="dxa" w:w="2400"/>
            <w:shd w:fill="F2F4F9" w:color="auto" w:val="clear"/>
          </w:tcPr>
          <w:p>
            <w:pPr>
              <w:spacing w:after="40"/>
              <w:jc w:val="left"/>
            </w:pPr>
            <w:r>
              <w:rPr>
                <w:rFonts w:ascii="Times New Roman" w:cs="Times New Roman" w:eastAsia="Times New Roman" w:hAnsi="Times New Roman"/>
                <w:b w:val="false"/>
                <w:bCs w:val="false"/>
                <w:sz w:val="16"/>
                <w:szCs w:val="16"/>
              </w:rPr>
              <w:t xml:space="preserve">Study design</w:t>
            </w:r>
          </w:p>
        </w:tc>
        <w:tc>
          <w:tcPr>
            <w:tcW w:type="dxa" w:w="3480"/>
            <w:shd w:fill="F2F4F9" w:color="auto" w:val="clear"/>
          </w:tcPr>
          <w:p>
            <w:pPr>
              <w:spacing w:after="40"/>
              <w:jc w:val="left"/>
            </w:pPr>
            <w:r>
              <w:rPr>
                <w:rFonts w:ascii="Times New Roman" w:cs="Times New Roman" w:eastAsia="Times New Roman" w:hAnsi="Times New Roman"/>
                <w:b w:val="false"/>
                <w:bCs w:val="false"/>
                <w:sz w:val="16"/>
                <w:szCs w:val="16"/>
              </w:rPr>
              <w:t xml:space="preserve">Empirical studies, systematic/structured reviews, framework proposals with validation</w:t>
            </w:r>
          </w:p>
        </w:tc>
        <w:tc>
          <w:tcPr>
            <w:tcW w:type="dxa" w:w="3480"/>
            <w:shd w:fill="F2F4F9" w:color="auto" w:val="clear"/>
          </w:tcPr>
          <w:p>
            <w:pPr>
              <w:spacing w:after="40"/>
              <w:jc w:val="left"/>
            </w:pPr>
            <w:r>
              <w:rPr>
                <w:rFonts w:ascii="Times New Roman" w:cs="Times New Roman" w:eastAsia="Times New Roman" w:hAnsi="Times New Roman"/>
                <w:b w:val="false"/>
                <w:bCs w:val="false"/>
                <w:sz w:val="16"/>
                <w:szCs w:val="16"/>
              </w:rPr>
              <w:t xml:space="preserve">Opinion pieces, unreviewed technical reports, pure commentary without data</w:t>
            </w:r>
          </w:p>
        </w:tc>
      </w:tr>
    </w:tbl>
    <w:p>
      <w:pPr>
        <w:spacing w:after="60"/>
      </w:pPr>
    </w:p>
    <w:p>
      <w:pPr>
        <w:spacing w:after="60" w:before="120"/>
        <w:jc w:val="left"/>
      </w:pPr>
      <w:r>
        <w:rPr>
          <w:rFonts w:ascii="Times New Roman" w:cs="Times New Roman" w:eastAsia="Times New Roman" w:hAnsi="Times New Roman"/>
          <w:b/>
          <w:bCs/>
          <w:i/>
          <w:iCs/>
          <w:sz w:val="20"/>
          <w:szCs w:val="20"/>
        </w:rPr>
        <w:t xml:space="preserve">D. Study Selection and PRISMA Flow</w:t>
      </w:r>
    </w:p>
    <w:p>
      <w:pPr>
        <w:spacing w:after="80" w:line="240"/>
        <w:jc w:val="both"/>
      </w:pPr>
      <w:r>
        <w:rPr>
          <w:rFonts w:ascii="Times New Roman" w:cs="Times New Roman" w:eastAsia="Times New Roman" w:hAnsi="Times New Roman"/>
          <w:sz w:val="20"/>
          <w:szCs w:val="20"/>
        </w:rPr>
        <w:t xml:space="preserve">The structured database search retrieved 756 records in total: IEEE Xplore (n = 156), Scopus (n = 201), Google Scholar (n = 287), and ACM Digital Library (n = 112). All records were imported into a reference management system, and automated duplicate detection reduced the corpus to 523 unique records.</w:t>
      </w:r>
    </w:p>
    <w:p>
      <w:pPr>
        <w:spacing w:after="60"/>
      </w:pPr>
    </w:p>
    <w:p>
      <w:pPr>
        <w:spacing w:after="80" w:line="240"/>
        <w:jc w:val="both"/>
      </w:pPr>
      <w:r>
        <w:rPr>
          <w:rFonts w:ascii="Times New Roman" w:cs="Times New Roman" w:eastAsia="Times New Roman" w:hAnsi="Times New Roman"/>
          <w:sz w:val="20"/>
          <w:szCs w:val="20"/>
        </w:rPr>
        <w:t xml:space="preserve">Two reviewers then independently screened all 523 titles and abstracts against the eligibility criteria, operating blind to each other's decisions. Inter-rater agreement was calculated using Cohen's kappa (κ = 0.83), indicating strong agreement [15]. Disagreements were resolved through structured discussion and, where consensus was not reached within two rounds of deliberation, a third reviewer served as adjudicator. This process excluded 436 records as clearly irrelevant (topically misaligned, non-cloud scope, or duplicate reporting under different database entries), leaving 87 studies for full-text retrieval.</w:t>
      </w:r>
    </w:p>
    <w:p>
      <w:pPr>
        <w:spacing w:after="60"/>
      </w:pPr>
    </w:p>
    <w:p>
      <w:pPr>
        <w:spacing w:after="80" w:line="240"/>
        <w:jc w:val="both"/>
      </w:pPr>
      <w:r>
        <w:rPr>
          <w:rFonts w:ascii="Times New Roman" w:cs="Times New Roman" w:eastAsia="Times New Roman" w:hAnsi="Times New Roman"/>
          <w:sz w:val="20"/>
          <w:szCs w:val="20"/>
        </w:rPr>
        <w:t xml:space="preserve">Full-text assessment against the eligibility criteria resulted in a further 69 exclusions, distributed as follows: insufficient topical relevance after full-text review (n = 35), methodological inadequacy as assessed by the quality appraisal instrument (n = 19), full text unavailable through all accessible channels (n = 10), and identified as duplicate reports of the same underlying study (n = 5). Eighteen studies were ultimately confirmed for inclusion in the synthesis. The complete selection sequence is depicted in Figure 1 (PRISMA 2020 Flow Diagram).</w:t>
      </w:r>
    </w:p>
    <w:p>
      <w:pPr>
        <w:spacing w:after="60"/>
      </w:pPr>
    </w:p>
    <w:p>
      <w:pPr>
        <w:spacing w:after="80" w:line="240"/>
        <w:jc w:val="both"/>
      </w:pPr>
      <w:r>
        <w:rPr>
          <w:rFonts w:ascii="Times New Roman" w:cs="Times New Roman" w:eastAsia="Times New Roman" w:hAnsi="Times New Roman"/>
          <w:i/>
          <w:iCs/>
          <w:color w:val="666666"/>
          <w:sz w:val="20"/>
          <w:szCs w:val="20"/>
        </w:rPr>
        <w:t xml:space="preserve">[Figure 1 — PRISMA 2020 Flow Diagram appears here in the formatted submission version]</w:t>
      </w:r>
    </w:p>
    <w:p>
      <w:pPr>
        <w:spacing w:after="60"/>
      </w:pPr>
    </w:p>
    <w:p>
      <w:pPr>
        <w:spacing w:after="60" w:before="120"/>
        <w:jc w:val="left"/>
      </w:pPr>
      <w:r>
        <w:rPr>
          <w:rFonts w:ascii="Times New Roman" w:cs="Times New Roman" w:eastAsia="Times New Roman" w:hAnsi="Times New Roman"/>
          <w:b/>
          <w:bCs/>
          <w:i/>
          <w:iCs/>
          <w:sz w:val="20"/>
          <w:szCs w:val="20"/>
        </w:rPr>
        <w:t xml:space="preserve">E. Quality Assessment Protocol</w:t>
      </w:r>
    </w:p>
    <w:p>
      <w:pPr>
        <w:spacing w:after="80" w:line="240"/>
        <w:jc w:val="both"/>
      </w:pPr>
      <w:r>
        <w:rPr>
          <w:rFonts w:ascii="Times New Roman" w:cs="Times New Roman" w:eastAsia="Times New Roman" w:hAnsi="Times New Roman"/>
          <w:sz w:val="20"/>
          <w:szCs w:val="20"/>
        </w:rPr>
        <w:t xml:space="preserve">Included studies were appraised using an adapted version of the Mixed Methods Appraisal Tool (MMAT) [16], selected for its capacity to handle the diverse methodological approaches — systematic reviews, empirical evaluations, conceptual framework proposals, and legal analyses — encountered across the 18 included papers. Each study was assessed across five quality dimensions:</w:t>
      </w:r>
    </w:p>
    <w:p>
      <w:pPr>
        <w:spacing w:after="60"/>
      </w:pPr>
    </w:p>
    <w:p>
      <w:pPr>
        <w:spacing w:after="60" w:line="240"/>
        <w:ind w:left="360" w:hanging="200"/>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Clarity and specificity of the stated research question or objective</w:t>
      </w:r>
    </w:p>
    <w:p>
      <w:pPr>
        <w:spacing w:after="60" w:line="240"/>
        <w:ind w:left="360" w:hanging="200"/>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Appropriateness of the research design relative to the study's stated purpose</w:t>
      </w:r>
    </w:p>
    <w:p>
      <w:pPr>
        <w:spacing w:after="60" w:line="240"/>
        <w:ind w:left="360" w:hanging="200"/>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Adequacy and transparency of data sources or evidence base</w:t>
      </w:r>
    </w:p>
    <w:p>
      <w:pPr>
        <w:spacing w:after="60" w:line="240"/>
        <w:ind w:left="360" w:hanging="200"/>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Coherence and rigor of the analytical approach</w:t>
      </w:r>
    </w:p>
    <w:p>
      <w:pPr>
        <w:spacing w:after="60" w:line="240"/>
        <w:ind w:left="360" w:hanging="200"/>
        <w:jc w:val="both"/>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Relevance and applicability of findings to the review's research questions</w:t>
      </w:r>
    </w:p>
    <w:p>
      <w:pPr>
        <w:spacing w:after="60"/>
      </w:pPr>
    </w:p>
    <w:p>
      <w:pPr>
        <w:spacing w:after="80" w:line="240"/>
        <w:jc w:val="both"/>
      </w:pPr>
      <w:r>
        <w:rPr>
          <w:rFonts w:ascii="Times New Roman" w:cs="Times New Roman" w:eastAsia="Times New Roman" w:hAnsi="Times New Roman"/>
          <w:sz w:val="20"/>
          <w:szCs w:val="20"/>
        </w:rPr>
        <w:t xml:space="preserve">Each dimension was rated on a three-point ordinal scale: met (2), partially met (1), or not met (0), yielding a maximum quality score of 10 per study. Studies scoring below 50% (i.e., below 5 out of 10) were subject to a sensitivity analysis to assess their marginal influence on the overall synthesis conclusions. No study in the final included set fell below this threshold; all 18 were retained for the full synthesis, with their respective quality scores reported in the data extraction summary (forthcoming in Section IV).</w:t>
      </w:r>
    </w:p>
    <w:p>
      <w:pPr>
        <w:spacing w:after="60"/>
      </w:pPr>
    </w:p>
    <w:p>
      <w:pPr>
        <w:spacing w:after="60" w:before="120"/>
        <w:jc w:val="left"/>
      </w:pPr>
      <w:r>
        <w:rPr>
          <w:rFonts w:ascii="Times New Roman" w:cs="Times New Roman" w:eastAsia="Times New Roman" w:hAnsi="Times New Roman"/>
          <w:b/>
          <w:bCs/>
          <w:i/>
          <w:iCs/>
          <w:sz w:val="20"/>
          <w:szCs w:val="20"/>
        </w:rPr>
        <w:t xml:space="preserve">F. Data Extraction and Synthesis Approach</w:t>
      </w:r>
    </w:p>
    <w:p>
      <w:pPr>
        <w:spacing w:after="80" w:line="240"/>
        <w:jc w:val="both"/>
      </w:pPr>
      <w:r>
        <w:rPr>
          <w:rFonts w:ascii="Times New Roman" w:cs="Times New Roman" w:eastAsia="Times New Roman" w:hAnsi="Times New Roman"/>
          <w:sz w:val="20"/>
          <w:szCs w:val="20"/>
        </w:rPr>
        <w:t xml:space="preserve">A standardized data extraction form was developed and piloted on three purposively selected papers before being applied to the full included set. The form captured the following fields for each study: (1) bibliographic metadata (authors, year, venue, DOI); (2) study type (empirical investigation, systematic review, framework proposal, legal analysis); (3) geographic and cloud service model context (IaaS, PaaS, SaaS, or multi-model); (4) forensic challenges identified and their categorization; (5) frameworks proposed, evaluated, or critiqued; (6) legal instruments discussed; and (7) key conclusions and stated limitations.</w:t>
      </w:r>
    </w:p>
    <w:p>
      <w:pPr>
        <w:spacing w:after="60"/>
      </w:pPr>
    </w:p>
    <w:p>
      <w:pPr>
        <w:spacing w:after="80" w:line="240"/>
        <w:jc w:val="both"/>
      </w:pPr>
      <w:r>
        <w:rPr>
          <w:rFonts w:ascii="Times New Roman" w:cs="Times New Roman" w:eastAsia="Times New Roman" w:hAnsi="Times New Roman"/>
          <w:sz w:val="20"/>
          <w:szCs w:val="20"/>
        </w:rPr>
        <w:t xml:space="preserve">Extracted data were subjected to inductive thematic analysis following the six-phase process of Braun and Clarke [17]. Initial codes were generated independently by both reviewers; codes were then consolidated into themes through iterative comparison and discussion. Three primary thematic clusters emerged and formed the organizational basis for the synthesis: (i) technical and operational challenges of cloud forensics; (ii) frameworks and proposed solutions; and (iii) legal, jurisdictional, and institutional dimensions, with a dedicated focus on the Bangladeshi legal environment in each cluster. This thematic structure directly maps onto the three research questions and will be elaborated in the findings section of the complete paper.</w:t>
      </w:r>
    </w:p>
    <w:p>
      <w:pPr>
        <w:spacing w:after="60"/>
      </w:pPr>
    </w:p>
    <w:p>
      <w:pPr>
        <w:spacing w:after="60" w:before="120"/>
        <w:jc w:val="left"/>
      </w:pPr>
      <w:r>
        <w:rPr>
          <w:rFonts w:ascii="Times New Roman" w:cs="Times New Roman" w:eastAsia="Times New Roman" w:hAnsi="Times New Roman"/>
          <w:b/>
          <w:bCs/>
          <w:i/>
          <w:iCs/>
          <w:sz w:val="20"/>
          <w:szCs w:val="20"/>
        </w:rPr>
        <w:t xml:space="preserve">G. Limitations of the Methodology</w:t>
      </w:r>
    </w:p>
    <w:p>
      <w:pPr>
        <w:spacing w:after="80" w:line="240"/>
        <w:jc w:val="both"/>
      </w:pPr>
      <w:r>
        <w:rPr>
          <w:rFonts w:ascii="Times New Roman" w:cs="Times New Roman" w:eastAsia="Times New Roman" w:hAnsi="Times New Roman"/>
          <w:sz w:val="20"/>
          <w:szCs w:val="20"/>
        </w:rPr>
        <w:t xml:space="preserve">Several methodological limitations warrant explicit acknowledgement. First, the review is restricted to English-language publications, which may systematically exclude relevant scholarship published in Bengali or other regional languages. Second, grey literature — including unpublished government reports, BTRC policy circulars, and internal forensic unit protocols — was excluded from the primary search, potentially understating the operational realities of Bangladeshi cloud forensic practice. Third, the rapidly evolving legislative landscape (particularly the Cyber Security Act 2023 and the anticipated Data Protection Act) means that some legal findings may be superseded by regulatory developments occurring after the search cutoff of June 2026. These limitations are carefully noted throughout the thematic synthesis and inform the recommendations for future research presented in the concluding section.</w:t>
      </w:r>
    </w:p>
    <w:p>
      <w:pPr>
        <w:spacing w:after="60"/>
      </w:pPr>
    </w:p>
    <w:p>
      <w:pPr>
        <w:spacing w:after="60"/>
      </w:pPr>
    </w:p>
    <w:p>
      <w:pPr>
        <w:spacing w:after="80" w:before="160"/>
        <w:jc w:val="center"/>
      </w:pPr>
      <w:r>
        <w:rPr>
          <w:rFonts w:ascii="Times New Roman" w:cs="Times New Roman" w:eastAsia="Times New Roman" w:hAnsi="Times New Roman"/>
          <w:b/>
          <w:bCs/>
          <w:sz w:val="20"/>
          <w:szCs w:val="20"/>
        </w:rPr>
        <w:t xml:space="preserve">. REFERENCES</w:t>
      </w:r>
    </w:p>
    <w:p>
      <w:pPr>
        <w:spacing w:after="40" w:line="240"/>
        <w:jc w:val="left"/>
      </w:pPr>
      <w:r>
        <w:rPr>
          <w:rFonts w:ascii="Times New Roman" w:cs="Times New Roman" w:eastAsia="Times New Roman" w:hAnsi="Times New Roman"/>
          <w:sz w:val="16"/>
          <w:szCs w:val="16"/>
        </w:rPr>
        <w:t xml:space="preserve">[1]	R. Ko, P. Jagadpramana, M. Mowbray, S. Pearson, M. Kirchberg, Q. Liang, and B. Lee, "TrustCloud: A Framework for Accountability and Trust in Cloud Computing," in Proc. IEEE World Congress on Services, 2011, pp. 584–588.</w:t>
      </w:r>
    </w:p>
    <w:p>
      <w:pPr>
        <w:spacing w:after="40" w:line="240"/>
        <w:jc w:val="left"/>
      </w:pPr>
      <w:r>
        <w:rPr>
          <w:rFonts w:ascii="Times New Roman" w:cs="Times New Roman" w:eastAsia="Times New Roman" w:hAnsi="Times New Roman"/>
          <w:sz w:val="16"/>
          <w:szCs w:val="16"/>
        </w:rPr>
        <w:t xml:space="preserve">[2]	S. Zawoad and R. Hasan, "Cloud Forensics: A Meta-Study of Challenges, Approaches, and Open Problems," arXiv preprint arXiv:1302.6312, 2013.</w:t>
      </w:r>
    </w:p>
    <w:p>
      <w:pPr>
        <w:spacing w:after="40" w:line="240"/>
        <w:jc w:val="left"/>
      </w:pPr>
      <w:r>
        <w:rPr>
          <w:rFonts w:ascii="Times New Roman" w:cs="Times New Roman" w:eastAsia="Times New Roman" w:hAnsi="Times New Roman"/>
          <w:sz w:val="16"/>
          <w:szCs w:val="16"/>
        </w:rPr>
        <w:t xml:space="preserve">[3]	Bangladesh Telecommunication Regulatory Commission (BTRC), "Internet Subscribers Report Q3 2024," Ministry of Posts, Telecommunications and Information Technology, Dhaka, 2024.</w:t>
      </w:r>
    </w:p>
    <w:p>
      <w:pPr>
        <w:spacing w:after="40" w:line="240"/>
        <w:jc w:val="left"/>
      </w:pPr>
      <w:r>
        <w:rPr>
          <w:rFonts w:ascii="Times New Roman" w:cs="Times New Roman" w:eastAsia="Times New Roman" w:hAnsi="Times New Roman"/>
          <w:sz w:val="16"/>
          <w:szCs w:val="16"/>
        </w:rPr>
        <w:t xml:space="preserve">[4]	M. M. K. Uzzal, "Research Monograph on Cybercrime and Digital Evidence in Bangladesh: Problem and Prospect," SSRN Working Paper, Jan. 2025. doi: 10.2139/ssrn.5876822.</w:t>
      </w:r>
    </w:p>
    <w:p>
      <w:pPr>
        <w:spacing w:after="40" w:line="240"/>
        <w:jc w:val="left"/>
      </w:pPr>
      <w:r>
        <w:rPr>
          <w:rFonts w:ascii="Times New Roman" w:cs="Times New Roman" w:eastAsia="Times New Roman" w:hAnsi="Times New Roman"/>
          <w:sz w:val="16"/>
          <w:szCs w:val="16"/>
        </w:rPr>
        <w:t xml:space="preserve">[5]	M. S. Hossain and M. Mallika, "Cyber Security Governance Under the Cyber Laws of Bangladesh: An Overview," Int. J. Research Innovation Social Science, vol. 9, no. 4, pp. 1–14, May 2025.</w:t>
      </w:r>
    </w:p>
    <w:p>
      <w:pPr>
        <w:spacing w:after="40" w:line="240"/>
        <w:jc w:val="left"/>
      </w:pPr>
      <w:r>
        <w:rPr>
          <w:rFonts w:ascii="Times New Roman" w:cs="Times New Roman" w:eastAsia="Times New Roman" w:hAnsi="Times New Roman"/>
          <w:sz w:val="16"/>
          <w:szCs w:val="16"/>
        </w:rPr>
        <w:t xml:space="preserve">[6]	K. Ruan, J. Carthy, T. Kechadi, and M. Crosbie, "Cloud Forensics," in IFIP Advances in Information and Communication Technology, vol. 361, 2011, pp. 35–46.</w:t>
      </w:r>
    </w:p>
    <w:p>
      <w:pPr>
        <w:spacing w:after="40" w:line="240"/>
        <w:jc w:val="left"/>
      </w:pPr>
      <w:r>
        <w:rPr>
          <w:rFonts w:ascii="Times New Roman" w:cs="Times New Roman" w:eastAsia="Times New Roman" w:hAnsi="Times New Roman"/>
          <w:sz w:val="16"/>
          <w:szCs w:val="16"/>
        </w:rPr>
        <w:t xml:space="preserve">[7]	M. M. Alshabibi, A. K. Budookhi, and M. M. H. Rahman, "Forensic Investigation, Challenges, and Issues of Cloud Data: A Systematic Literature Review," Computers, vol. 13, no. 8, p. 213, Aug. 2024.</w:t>
      </w:r>
    </w:p>
    <w:p>
      <w:pPr>
        <w:spacing w:after="40" w:line="240"/>
        <w:jc w:val="left"/>
      </w:pPr>
      <w:r>
        <w:rPr>
          <w:rFonts w:ascii="Times New Roman" w:cs="Times New Roman" w:eastAsia="Times New Roman" w:hAnsi="Times New Roman"/>
          <w:sz w:val="16"/>
          <w:szCs w:val="16"/>
        </w:rPr>
        <w:t xml:space="preserve">[8]	V. S. Bai and T. Sudha, "A Systematic Literature Review on Cloud Forensics in Cloud Environment," Int. J. Intelligent Systems and Applications in Engineering (IJISAE), vol. 11, no. 4, pp. 702–714, 2023.</w:t>
      </w:r>
    </w:p>
    <w:p>
      <w:pPr>
        <w:spacing w:after="40" w:line="240"/>
        <w:jc w:val="left"/>
      </w:pPr>
      <w:r>
        <w:rPr>
          <w:rFonts w:ascii="Times New Roman" w:cs="Times New Roman" w:eastAsia="Times New Roman" w:hAnsi="Times New Roman"/>
          <w:sz w:val="16"/>
          <w:szCs w:val="16"/>
        </w:rPr>
        <w:t xml:space="preserve">[9]	F. C. Ekwempu, "Investigating the Legal Complexities of Cloud Forensic Investigations in Cross-Border Scenarios and Developing Strategies for International Cooperation," Int. J. Research Innovation in Applied Science (IJRIAS), vol. 11, no. 1, pp. 113–126, Jan. 2026.</w:t>
      </w:r>
    </w:p>
    <w:p>
      <w:pPr>
        <w:spacing w:after="40" w:line="240"/>
        <w:jc w:val="left"/>
      </w:pPr>
      <w:r>
        <w:rPr>
          <w:rFonts w:ascii="Times New Roman" w:cs="Times New Roman" w:eastAsia="Times New Roman" w:hAnsi="Times New Roman"/>
          <w:sz w:val="16"/>
          <w:szCs w:val="16"/>
        </w:rPr>
        <w:t xml:space="preserve">[10]	S. Momtaz, "Navigating Cybersecurity Challenges and Legal Frameworks in Bangladesh: An In-Depth Exploration," Int. J. Research Innovation Social Science (IJRISS), vol. 8, no. 2, pp. 1–12, Feb. 2024.</w:t>
      </w:r>
    </w:p>
    <w:p>
      <w:pPr>
        <w:spacing w:after="40" w:line="240"/>
        <w:jc w:val="left"/>
      </w:pPr>
      <w:r>
        <w:rPr>
          <w:rFonts w:ascii="Times New Roman" w:cs="Times New Roman" w:eastAsia="Times New Roman" w:hAnsi="Times New Roman"/>
          <w:sz w:val="16"/>
          <w:szCs w:val="16"/>
        </w:rPr>
        <w:t xml:space="preserve">[11]	M. M. K. Uzzal, op. cit. (full citation at [4]).</w:t>
      </w:r>
    </w:p>
    <w:p>
      <w:pPr>
        <w:spacing w:after="40" w:line="240"/>
        <w:jc w:val="left"/>
      </w:pPr>
      <w:r>
        <w:rPr>
          <w:rFonts w:ascii="Times New Roman" w:cs="Times New Roman" w:eastAsia="Times New Roman" w:hAnsi="Times New Roman"/>
          <w:sz w:val="16"/>
          <w:szCs w:val="16"/>
        </w:rPr>
        <w:t xml:space="preserve">[12]	M. Hasan, "Legal Framework to Investigate and Prosecute Cybercrimes in Bangladesh," Academia.edu Working Paper, 2021.</w:t>
      </w:r>
    </w:p>
    <w:p>
      <w:pPr>
        <w:spacing w:after="40" w:line="240"/>
        <w:jc w:val="left"/>
      </w:pPr>
      <w:r>
        <w:rPr>
          <w:rFonts w:ascii="Times New Roman" w:cs="Times New Roman" w:eastAsia="Times New Roman" w:hAnsi="Times New Roman"/>
          <w:sz w:val="16"/>
          <w:szCs w:val="16"/>
        </w:rPr>
        <w:t xml:space="preserve">[13]	A. M. Ibrahim, M. Sutrisno, and Asrudin, "Comparative Analysis of NIST SP 800-86 Framework in Handling Digital Evidence in Cloud Computing Environment," J. Nexural Intelligence, vol. 4, no. 1, pp. 1–18, 2026.</w:t>
      </w:r>
    </w:p>
    <w:p>
      <w:pPr>
        <w:spacing w:after="40" w:line="240"/>
        <w:jc w:val="left"/>
      </w:pPr>
      <w:r>
        <w:rPr>
          <w:rFonts w:ascii="Times New Roman" w:cs="Times New Roman" w:eastAsia="Times New Roman" w:hAnsi="Times New Roman"/>
          <w:sz w:val="16"/>
          <w:szCs w:val="16"/>
        </w:rPr>
        <w:t xml:space="preserve">[14]	M. J. Page et al., "The PRISMA 2020 Statement: An Updated Guideline for Reporting Systematic Reviews," BMJ, vol. 372, p. n71, Mar. 2021. doi: 10.1136/bmj.n71.</w:t>
      </w:r>
    </w:p>
    <w:p>
      <w:pPr>
        <w:spacing w:after="40" w:line="240"/>
        <w:jc w:val="left"/>
      </w:pPr>
      <w:r>
        <w:rPr>
          <w:rFonts w:ascii="Times New Roman" w:cs="Times New Roman" w:eastAsia="Times New Roman" w:hAnsi="Times New Roman"/>
          <w:sz w:val="16"/>
          <w:szCs w:val="16"/>
        </w:rPr>
        <w:t xml:space="preserve">[15]	J. Cohen, "A Coefficient of Agreement for Nominal Scales," Educational and Psychological Measurement, vol. 20, no. 1, pp. 37–46, 1960.</w:t>
      </w:r>
    </w:p>
    <w:p>
      <w:pPr>
        <w:spacing w:after="40" w:line="240"/>
        <w:jc w:val="left"/>
      </w:pPr>
      <w:r>
        <w:rPr>
          <w:rFonts w:ascii="Times New Roman" w:cs="Times New Roman" w:eastAsia="Times New Roman" w:hAnsi="Times New Roman"/>
          <w:sz w:val="16"/>
          <w:szCs w:val="16"/>
        </w:rPr>
        <w:t xml:space="preserve">[16]	M.-P. Hong, C. A. Fàbregues, R. Bartlett, A. Boardman, M. Cargo, P. Dagenais, M.-C. Gagnon et al., "The Mixed Methods Appraisal Tool (MMAT) Version 2018 for Information Professionals and Researchers," Educ. Inf., vol. 34, no. 4, pp. 285–291, 2018.</w:t>
      </w:r>
    </w:p>
    <w:p>
      <w:pPr>
        <w:spacing w:after="40" w:line="240"/>
        <w:jc w:val="left"/>
      </w:pPr>
      <w:r>
        <w:rPr>
          <w:rFonts w:ascii="Times New Roman" w:cs="Times New Roman" w:eastAsia="Times New Roman" w:hAnsi="Times New Roman"/>
          <w:sz w:val="16"/>
          <w:szCs w:val="16"/>
        </w:rPr>
        <w:t xml:space="preserve">[17]	V. Braun and V. Clarke, "Using Thematic Analysis in Psychology," Qualitative Research in Psychology, vol. 3, no. 2, pp. 77–101, 2006.</w:t>
      </w:r>
    </w:p>
    <w:sectPr>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i/>
        <w:iCs/>
        <w:color w:val="666666"/>
        <w:sz w:val="16"/>
        <w:szCs w:val="16"/>
      </w:rPr>
      <w:t xml:space="preserve">CSE 6093 RMTW — Mid-Term Research Report</w:t>
    </w:r>
    <w:r>
      <w:rPr>
        <w:rFonts w:ascii="Times New Roman" w:cs="Times New Roman" w:eastAsia="Times New Roman" w:hAnsi="Times New Roman"/>
        <w:color w:val="666666"/>
        <w:sz w:val="16"/>
        <w:szCs w:val="16"/>
      </w:rPr>
      <w:t xml:space="preserve">    |    Page </w:t>
    </w:r>
    <w:r>
      <w:rPr>
        <w:rFonts w:ascii="Times New Roman" w:cs="Times New Roman" w:eastAsia="Times New Roman" w:hAnsi="Times New Roman"/>
        <w:color w:val="666666"/>
        <w:sz w:val="16"/>
        <w:szCs w:val="16"/>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2026-08-24T05:46:03.770Z</dcterms:created>
  <dcterms:modified xsi:type="dcterms:W3CDTF">2026-08-24T05:46:03.786Z</dcterms:modified>
</cp:coreProperties>
</file>

<file path=docProps/custom.xml><?xml version="1.0" encoding="utf-8"?>
<Properties xmlns="http://schemas.openxmlformats.org/officeDocument/2006/custom-properties" xmlns:vt="http://schemas.openxmlformats.org/officeDocument/2006/docPropsVTypes"/>
</file>