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TABLE I. Comparative Analysis of 16 Included Studies</w:t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Cloud Forensics Challenges in Bangladesh: A PRISMA Systematic Review with AI-Enhanced Resolution Strategies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gridSpan w:val="1"/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gridSpan w:val="1"/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gridSpan w:val="5"/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1B4F7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Challenges Addressed</w:t>
            </w:r>
          </w:p>
        </w:tc>
        <w:tc>
          <w:tcPr>
            <w:gridSpan w:val="5"/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145A3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Methodology</w:t>
            </w:r>
          </w:p>
        </w:tc>
        <w:tc>
          <w:tcPr>
            <w:gridSpan w:val="5"/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4A235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AI / Tools Proposed</w:t>
            </w:r>
          </w:p>
        </w:tc>
        <w:tc>
          <w:tcPr>
            <w:gridSpan w:val="1"/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BD
Relevance</w:t>
            </w:r>
          </w:p>
        </w:tc>
      </w:tr>
      <w:tr>
        <w:trPr>
          <w:tblHeader/>
        </w:trPr>
        <w:tc>
          <w:tcPr>
            <w:tcW w:type="dxa" w:w="700"/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Ref</w:t>
            </w:r>
          </w:p>
        </w:tc>
        <w:tc>
          <w:tcPr>
            <w:tcW w:type="dxa" w:w="1600"/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Author
(Year)</w:t>
            </w:r>
          </w:p>
        </w:tc>
        <w:tc>
          <w:tcPr>
            <w:tcW w:type="dxa" w:w="2900"/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Study Focus</w:t>
            </w:r>
          </w:p>
        </w:tc>
        <w:tc>
          <w:tcPr>
            <w:tcW w:type="dxa" w:w="780"/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Volatile
Data</w:t>
            </w:r>
          </w:p>
        </w:tc>
        <w:tc>
          <w:tcPr>
            <w:tcW w:type="dxa" w:w="780"/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Multi-
Tenancy</w:t>
            </w:r>
          </w:p>
        </w:tc>
        <w:tc>
          <w:tcPr>
            <w:tcW w:type="dxa" w:w="780"/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Encryption
Barrier</w:t>
            </w:r>
          </w:p>
        </w:tc>
        <w:tc>
          <w:tcPr>
            <w:tcW w:type="dxa" w:w="780"/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Cross-
Jurisdiction</w:t>
            </w:r>
          </w:p>
        </w:tc>
        <w:tc>
          <w:tcPr>
            <w:tcW w:type="dxa" w:w="780"/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Legal /
Evid. Act</w:t>
            </w:r>
          </w:p>
        </w:tc>
        <w:tc>
          <w:tcPr>
            <w:tcW w:type="dxa" w:w="780"/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SLR /
Lit. Review</w:t>
            </w:r>
          </w:p>
        </w:tc>
        <w:tc>
          <w:tcPr>
            <w:tcW w:type="dxa" w:w="780"/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Survey /
Interview</w:t>
            </w:r>
          </w:p>
        </w:tc>
        <w:tc>
          <w:tcPr>
            <w:tcW w:type="dxa" w:w="780"/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Framework
Proposal</w:t>
            </w:r>
          </w:p>
        </w:tc>
        <w:tc>
          <w:tcPr>
            <w:tcW w:type="dxa" w:w="780"/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Experiment
/ Prototype</w:t>
            </w:r>
          </w:p>
        </w:tc>
        <w:tc>
          <w:tcPr>
            <w:tcW w:type="dxa" w:w="780"/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Case
Study</w:t>
            </w:r>
          </w:p>
        </w:tc>
        <w:tc>
          <w:tcPr>
            <w:tcW w:type="dxa" w:w="780"/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ML /
Anomaly</w:t>
            </w:r>
          </w:p>
        </w:tc>
        <w:tc>
          <w:tcPr>
            <w:tcW w:type="dxa" w:w="780"/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Blockchain
CoC</w:t>
            </w:r>
          </w:p>
        </w:tc>
        <w:tc>
          <w:tcPr>
            <w:tcW w:type="dxa" w:w="780"/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LLM /
Gen-AI</w:t>
            </w:r>
          </w:p>
        </w:tc>
        <w:tc>
          <w:tcPr>
            <w:tcW w:type="dxa" w:w="780"/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Cloud-
Native Tool</w:t>
            </w:r>
          </w:p>
        </w:tc>
        <w:tc>
          <w:tcPr>
            <w:tcW w:type="dxa" w:w="780"/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Traditional
Digital F.</w:t>
            </w:r>
          </w:p>
        </w:tc>
        <w:tc>
          <w:tcPr>
            <w:tcW w:type="dxa" w:w="800"/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Bangla-
desh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sz w:val="16"/>
                <w:szCs w:val="16"/>
              </w:rPr>
              <w:t xml:space="preserve">[1]</w:t>
            </w:r>
          </w:p>
        </w:tc>
        <w:tc>
          <w:tcPr>
            <w:tcW w:type="dxa" w:w="1600"/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sz w:val="16"/>
                <w:szCs w:val="16"/>
              </w:rPr>
              <w:t xml:space="preserve">Alshabibi et al.</w:t>
            </w:r>
            <w:r>
              <w:rPr>
                <w:sz w:val="16"/>
                <w:szCs w:val="16"/>
              </w:rPr>
              <w:t xml:space="preserve">
</w:t>
            </w:r>
            <w:r>
              <w:rPr>
                <w:color w:val="555555"/>
                <w:sz w:val="14"/>
                <w:szCs w:val="14"/>
              </w:rPr>
              <w:t xml:space="preserve">(2024)</w:t>
            </w:r>
          </w:p>
        </w:tc>
        <w:tc>
          <w:tcPr>
            <w:tcW w:type="dxa" w:w="2900"/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sz w:val="16"/>
                <w:szCs w:val="16"/>
              </w:rPr>
              <w:t xml:space="preserve">SLR of 52 studies;</w:t>
            </w:r>
            <w:r>
              <w:rPr>
                <w:sz w:val="16"/>
                <w:szCs w:val="16"/>
              </w:rPr>
              <w:t xml:space="preserve">
</w:t>
            </w:r>
            <w:r>
              <w:rPr>
                <w:color w:val="555555"/>
                <w:sz w:val="14"/>
                <w:szCs w:val="14"/>
              </w:rPr>
              <w:t xml:space="preserve">cloud forensic challenges &amp; solutions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7030A0"/>
                <w:sz w:val="18"/>
                <w:szCs w:val="18"/>
              </w:rPr>
              <w:t xml:space="preserve">◐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7030A0"/>
                <w:sz w:val="18"/>
                <w:szCs w:val="18"/>
              </w:rPr>
              <w:t xml:space="preserve">◐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7030A0"/>
                <w:sz w:val="18"/>
                <w:szCs w:val="18"/>
              </w:rPr>
              <w:t xml:space="preserve">◐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7030A0"/>
                <w:sz w:val="18"/>
                <w:szCs w:val="18"/>
              </w:rPr>
              <w:t xml:space="preserve">◐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sz w:val="16"/>
                <w:szCs w:val="16"/>
              </w:rPr>
              <w:t xml:space="preserve">[2]</w:t>
            </w:r>
          </w:p>
        </w:tc>
        <w:tc>
          <w:tcPr>
            <w:tcW w:type="dxa" w:w="1600"/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sz w:val="16"/>
                <w:szCs w:val="16"/>
              </w:rPr>
              <w:t xml:space="preserve">Alenezi</w:t>
            </w:r>
            <w:r>
              <w:rPr>
                <w:sz w:val="16"/>
                <w:szCs w:val="16"/>
              </w:rPr>
              <w:t xml:space="preserve">
</w:t>
            </w:r>
            <w:r>
              <w:rPr>
                <w:color w:val="555555"/>
                <w:sz w:val="14"/>
                <w:szCs w:val="14"/>
              </w:rPr>
              <w:t xml:space="preserve">(2023)</w:t>
            </w:r>
          </w:p>
        </w:tc>
        <w:tc>
          <w:tcPr>
            <w:tcW w:type="dxa" w:w="2900"/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sz w:val="16"/>
                <w:szCs w:val="16"/>
              </w:rPr>
              <w:t xml:space="preserve">Digital-forensic readiness;</w:t>
            </w:r>
            <w:r>
              <w:rPr>
                <w:sz w:val="16"/>
                <w:szCs w:val="16"/>
              </w:rPr>
              <w:t xml:space="preserve">
</w:t>
            </w:r>
            <w:r>
              <w:rPr>
                <w:color w:val="555555"/>
                <w:sz w:val="14"/>
                <w:szCs w:val="14"/>
              </w:rPr>
              <w:t xml:space="preserve">proactive evidence preservation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7030A0"/>
                <w:sz w:val="18"/>
                <w:szCs w:val="18"/>
              </w:rPr>
              <w:t xml:space="preserve">◐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7030A0"/>
                <w:sz w:val="18"/>
                <w:szCs w:val="18"/>
              </w:rPr>
              <w:t xml:space="preserve">◐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7030A0"/>
                <w:sz w:val="18"/>
                <w:szCs w:val="18"/>
              </w:rPr>
              <w:t xml:space="preserve">◐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sz w:val="16"/>
                <w:szCs w:val="16"/>
              </w:rPr>
              <w:t xml:space="preserve">[3]</w:t>
            </w:r>
          </w:p>
        </w:tc>
        <w:tc>
          <w:tcPr>
            <w:tcW w:type="dxa" w:w="1600"/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sz w:val="16"/>
                <w:szCs w:val="16"/>
              </w:rPr>
              <w:t xml:space="preserve">Prakash et al.</w:t>
            </w:r>
            <w:r>
              <w:rPr>
                <w:sz w:val="16"/>
                <w:szCs w:val="16"/>
              </w:rPr>
              <w:t xml:space="preserve">
</w:t>
            </w:r>
            <w:r>
              <w:rPr>
                <w:color w:val="555555"/>
                <w:sz w:val="14"/>
                <w:szCs w:val="14"/>
              </w:rPr>
              <w:t xml:space="preserve">(2021)</w:t>
            </w:r>
          </w:p>
        </w:tc>
        <w:tc>
          <w:tcPr>
            <w:tcW w:type="dxa" w:w="2900"/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sz w:val="16"/>
                <w:szCs w:val="16"/>
              </w:rPr>
              <w:t xml:space="preserve">Cloud–edge forensics;</w:t>
            </w:r>
            <w:r>
              <w:rPr>
                <w:sz w:val="16"/>
                <w:szCs w:val="16"/>
              </w:rPr>
              <w:t xml:space="preserve">
</w:t>
            </w:r>
            <w:r>
              <w:rPr>
                <w:color w:val="555555"/>
                <w:sz w:val="14"/>
                <w:szCs w:val="14"/>
              </w:rPr>
              <w:t xml:space="preserve">MDPI Electronics survey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7030A0"/>
                <w:sz w:val="18"/>
                <w:szCs w:val="18"/>
              </w:rPr>
              <w:t xml:space="preserve">◐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7030A0"/>
                <w:sz w:val="18"/>
                <w:szCs w:val="18"/>
              </w:rPr>
              <w:t xml:space="preserve">◐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7030A0"/>
                <w:sz w:val="18"/>
                <w:szCs w:val="18"/>
              </w:rPr>
              <w:t xml:space="preserve">◐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7030A0"/>
                <w:sz w:val="18"/>
                <w:szCs w:val="18"/>
              </w:rPr>
              <w:t xml:space="preserve">◐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sz w:val="16"/>
                <w:szCs w:val="16"/>
              </w:rPr>
              <w:t xml:space="preserve">[4]</w:t>
            </w:r>
          </w:p>
        </w:tc>
        <w:tc>
          <w:tcPr>
            <w:tcW w:type="dxa" w:w="1600"/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sz w:val="16"/>
                <w:szCs w:val="16"/>
              </w:rPr>
              <w:t xml:space="preserve">Anonymous</w:t>
            </w:r>
            <w:r>
              <w:rPr>
                <w:sz w:val="16"/>
                <w:szCs w:val="16"/>
              </w:rPr>
              <w:t xml:space="preserve">
</w:t>
            </w:r>
            <w:r>
              <w:rPr>
                <w:color w:val="555555"/>
                <w:sz w:val="14"/>
                <w:szCs w:val="14"/>
              </w:rPr>
              <w:t xml:space="preserve">(2025)</w:t>
            </w:r>
          </w:p>
        </w:tc>
        <w:tc>
          <w:tcPr>
            <w:tcW w:type="dxa" w:w="2900"/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sz w:val="16"/>
                <w:szCs w:val="16"/>
              </w:rPr>
              <w:t xml:space="preserve">Self-hosted cloud forensics;</w:t>
            </w:r>
            <w:r>
              <w:rPr>
                <w:sz w:val="16"/>
                <w:szCs w:val="16"/>
              </w:rPr>
              <w:t xml:space="preserve">
</w:t>
            </w:r>
            <w:r>
              <w:rPr>
                <w:color w:val="555555"/>
                <w:sz w:val="14"/>
                <w:szCs w:val="14"/>
              </w:rPr>
              <w:t xml:space="preserve">local-deployment evidence capture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7030A0"/>
                <w:sz w:val="18"/>
                <w:szCs w:val="18"/>
              </w:rPr>
              <w:t xml:space="preserve">◐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7030A0"/>
                <w:sz w:val="18"/>
                <w:szCs w:val="18"/>
              </w:rPr>
              <w:t xml:space="preserve">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sz w:val="16"/>
                <w:szCs w:val="16"/>
              </w:rPr>
              <w:t xml:space="preserve">[5]</w:t>
            </w:r>
          </w:p>
        </w:tc>
        <w:tc>
          <w:tcPr>
            <w:tcW w:type="dxa" w:w="1600"/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sz w:val="16"/>
                <w:szCs w:val="16"/>
              </w:rPr>
              <w:t xml:space="preserve">Alharthi &amp; Garcia</w:t>
            </w:r>
            <w:r>
              <w:rPr>
                <w:sz w:val="16"/>
                <w:szCs w:val="16"/>
              </w:rPr>
              <w:t xml:space="preserve">
</w:t>
            </w:r>
            <w:r>
              <w:rPr>
                <w:color w:val="555555"/>
                <w:sz w:val="14"/>
                <w:szCs w:val="14"/>
              </w:rPr>
              <w:t xml:space="preserve">(2025)</w:t>
            </w:r>
          </w:p>
        </w:tc>
        <w:tc>
          <w:tcPr>
            <w:tcW w:type="dxa" w:w="2900"/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sz w:val="16"/>
                <w:szCs w:val="16"/>
              </w:rPr>
              <w:t xml:space="preserve">CIAF: LLM-powered</w:t>
            </w:r>
            <w:r>
              <w:rPr>
                <w:sz w:val="16"/>
                <w:szCs w:val="16"/>
              </w:rPr>
              <w:t xml:space="preserve">
</w:t>
            </w:r>
            <w:r>
              <w:rPr>
                <w:color w:val="555555"/>
                <w:sz w:val="14"/>
                <w:szCs w:val="14"/>
              </w:rPr>
              <w:t xml:space="preserve">cloud investigation assistant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7030A0"/>
                <w:sz w:val="18"/>
                <w:szCs w:val="18"/>
              </w:rPr>
              <w:t xml:space="preserve">◐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7030A0"/>
                <w:sz w:val="18"/>
                <w:szCs w:val="18"/>
              </w:rPr>
              <w:t xml:space="preserve">◐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sz w:val="16"/>
                <w:szCs w:val="16"/>
              </w:rPr>
              <w:t xml:space="preserve">[6]</w:t>
            </w:r>
          </w:p>
        </w:tc>
        <w:tc>
          <w:tcPr>
            <w:tcW w:type="dxa" w:w="1600"/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sz w:val="16"/>
                <w:szCs w:val="16"/>
              </w:rPr>
              <w:t xml:space="preserve">Igonor et al.</w:t>
            </w:r>
            <w:r>
              <w:rPr>
                <w:sz w:val="16"/>
                <w:szCs w:val="16"/>
              </w:rPr>
              <w:t xml:space="preserve">
</w:t>
            </w:r>
            <w:r>
              <w:rPr>
                <w:color w:val="555555"/>
                <w:sz w:val="14"/>
                <w:szCs w:val="14"/>
              </w:rPr>
              <w:t xml:space="preserve">(2025)</w:t>
            </w:r>
          </w:p>
        </w:tc>
        <w:tc>
          <w:tcPr>
            <w:tcW w:type="dxa" w:w="2900"/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sz w:val="16"/>
                <w:szCs w:val="16"/>
              </w:rPr>
              <w:t xml:space="preserve">Blockchain-based</w:t>
            </w:r>
            <w:r>
              <w:rPr>
                <w:sz w:val="16"/>
                <w:szCs w:val="16"/>
              </w:rPr>
              <w:t xml:space="preserve">
</w:t>
            </w:r>
            <w:r>
              <w:rPr>
                <w:color w:val="555555"/>
                <w:sz w:val="14"/>
                <w:szCs w:val="14"/>
              </w:rPr>
              <w:t xml:space="preserve">chain-of-custody for cloud evidence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7030A0"/>
                <w:sz w:val="18"/>
                <w:szCs w:val="18"/>
              </w:rPr>
              <w:t xml:space="preserve">◐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7030A0"/>
                <w:sz w:val="18"/>
                <w:szCs w:val="18"/>
              </w:rPr>
              <w:t xml:space="preserve">◐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sz w:val="16"/>
                <w:szCs w:val="16"/>
              </w:rPr>
              <w:t xml:space="preserve">[7]</w:t>
            </w:r>
          </w:p>
        </w:tc>
        <w:tc>
          <w:tcPr>
            <w:tcW w:type="dxa" w:w="1600"/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sz w:val="16"/>
                <w:szCs w:val="16"/>
              </w:rPr>
              <w:t xml:space="preserve">Tageldin &amp; Venter</w:t>
            </w:r>
            <w:r>
              <w:rPr>
                <w:sz w:val="16"/>
                <w:szCs w:val="16"/>
              </w:rPr>
              <w:t xml:space="preserve">
</w:t>
            </w:r>
            <w:r>
              <w:rPr>
                <w:color w:val="555555"/>
                <w:sz w:val="14"/>
                <w:szCs w:val="14"/>
              </w:rPr>
              <w:t xml:space="preserve">(2023)</w:t>
            </w:r>
          </w:p>
        </w:tc>
        <w:tc>
          <w:tcPr>
            <w:tcW w:type="dxa" w:w="2900"/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sz w:val="16"/>
                <w:szCs w:val="16"/>
              </w:rPr>
              <w:t xml:space="preserve">ML-based anomaly detection</w:t>
            </w:r>
            <w:r>
              <w:rPr>
                <w:sz w:val="16"/>
                <w:szCs w:val="16"/>
              </w:rPr>
              <w:t xml:space="preserve">
</w:t>
            </w:r>
            <w:r>
              <w:rPr>
                <w:color w:val="555555"/>
                <w:sz w:val="14"/>
                <w:szCs w:val="14"/>
              </w:rPr>
              <w:t xml:space="preserve">for cloud forensics (state-of-art)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7030A0"/>
                <w:sz w:val="18"/>
                <w:szCs w:val="18"/>
              </w:rPr>
              <w:t xml:space="preserve">◐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7030A0"/>
                <w:sz w:val="18"/>
                <w:szCs w:val="18"/>
              </w:rPr>
              <w:t xml:space="preserve">◐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7030A0"/>
                <w:sz w:val="18"/>
                <w:szCs w:val="18"/>
              </w:rPr>
              <w:t xml:space="preserve">◐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sz w:val="16"/>
                <w:szCs w:val="16"/>
              </w:rPr>
              <w:t xml:space="preserve">[8]</w:t>
            </w:r>
          </w:p>
        </w:tc>
        <w:tc>
          <w:tcPr>
            <w:tcW w:type="dxa" w:w="1600"/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sz w:val="16"/>
                <w:szCs w:val="16"/>
              </w:rPr>
              <w:t xml:space="preserve">Karagiannis &amp;</w:t>
            </w:r>
            <w:r>
              <w:rPr>
                <w:sz w:val="16"/>
                <w:szCs w:val="16"/>
              </w:rPr>
              <w:t xml:space="preserve">
</w:t>
            </w:r>
            <w:r>
              <w:rPr>
                <w:color w:val="555555"/>
                <w:sz w:val="14"/>
                <w:szCs w:val="14"/>
              </w:rPr>
              <w:t xml:space="preserve">Vergidis (2021)</w:t>
            </w:r>
          </w:p>
        </w:tc>
        <w:tc>
          <w:tcPr>
            <w:tcW w:type="dxa" w:w="2900"/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sz w:val="16"/>
                <w:szCs w:val="16"/>
              </w:rPr>
              <w:t xml:space="preserve">Digital forensic process models;</w:t>
            </w:r>
            <w:r>
              <w:rPr>
                <w:sz w:val="16"/>
                <w:szCs w:val="16"/>
              </w:rPr>
              <w:t xml:space="preserve">
</w:t>
            </w:r>
            <w:r>
              <w:rPr>
                <w:color w:val="555555"/>
                <w:sz w:val="14"/>
                <w:szCs w:val="14"/>
              </w:rPr>
              <w:t xml:space="preserve">cross-cloud comparison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7030A0"/>
                <w:sz w:val="18"/>
                <w:szCs w:val="18"/>
              </w:rPr>
              <w:t xml:space="preserve">◐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7030A0"/>
                <w:sz w:val="18"/>
                <w:szCs w:val="18"/>
              </w:rPr>
              <w:t xml:space="preserve">◐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7030A0"/>
                <w:sz w:val="18"/>
                <w:szCs w:val="18"/>
              </w:rPr>
              <w:t xml:space="preserve">◐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7030A0"/>
                <w:sz w:val="18"/>
                <w:szCs w:val="18"/>
              </w:rPr>
              <w:t xml:space="preserve">◐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7030A0"/>
                <w:sz w:val="18"/>
                <w:szCs w:val="18"/>
              </w:rPr>
              <w:t xml:space="preserve">◐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7030A0"/>
                <w:sz w:val="18"/>
                <w:szCs w:val="18"/>
              </w:rPr>
              <w:t xml:space="preserve">◐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sz w:val="16"/>
                <w:szCs w:val="16"/>
              </w:rPr>
              <w:t xml:space="preserve">[9]</w:t>
            </w:r>
          </w:p>
        </w:tc>
        <w:tc>
          <w:tcPr>
            <w:tcW w:type="dxa" w:w="1600"/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sz w:val="16"/>
                <w:szCs w:val="16"/>
              </w:rPr>
              <w:t xml:space="preserve">Akilal &amp; Kechadi</w:t>
            </w:r>
            <w:r>
              <w:rPr>
                <w:sz w:val="16"/>
                <w:szCs w:val="16"/>
              </w:rPr>
              <w:t xml:space="preserve">
</w:t>
            </w:r>
            <w:r>
              <w:rPr>
                <w:color w:val="555555"/>
                <w:sz w:val="14"/>
                <w:szCs w:val="14"/>
              </w:rPr>
              <w:t xml:space="preserve">(2025)</w:t>
            </w:r>
          </w:p>
        </w:tc>
        <w:tc>
          <w:tcPr>
            <w:tcW w:type="dxa" w:w="2900"/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sz w:val="16"/>
                <w:szCs w:val="16"/>
              </w:rPr>
              <w:t xml:space="preserve">CLERMS: cloud log evidence</w:t>
            </w:r>
            <w:r>
              <w:rPr>
                <w:sz w:val="16"/>
                <w:szCs w:val="16"/>
              </w:rPr>
              <w:t xml:space="preserve">
</w:t>
            </w:r>
            <w:r>
              <w:rPr>
                <w:color w:val="555555"/>
                <w:sz w:val="14"/>
                <w:szCs w:val="14"/>
              </w:rPr>
              <w:t xml:space="preserve">retrieval &amp; management system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7030A0"/>
                <w:sz w:val="18"/>
                <w:szCs w:val="18"/>
              </w:rPr>
              <w:t xml:space="preserve">◐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sz w:val="16"/>
                <w:szCs w:val="16"/>
              </w:rPr>
              <w:t xml:space="preserve">[10]</w:t>
            </w:r>
          </w:p>
        </w:tc>
        <w:tc>
          <w:tcPr>
            <w:tcW w:type="dxa" w:w="1600"/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sz w:val="16"/>
                <w:szCs w:val="16"/>
              </w:rPr>
              <w:t xml:space="preserve">Ali</w:t>
            </w:r>
            <w:r>
              <w:rPr>
                <w:sz w:val="16"/>
                <w:szCs w:val="16"/>
              </w:rPr>
              <w:t xml:space="preserve">
</w:t>
            </w:r>
            <w:r>
              <w:rPr>
                <w:color w:val="555555"/>
                <w:sz w:val="14"/>
                <w:szCs w:val="14"/>
              </w:rPr>
              <w:t xml:space="preserve">(2023)</w:t>
            </w:r>
          </w:p>
        </w:tc>
        <w:tc>
          <w:tcPr>
            <w:tcW w:type="dxa" w:w="2900"/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sz w:val="16"/>
                <w:szCs w:val="16"/>
              </w:rPr>
              <w:t xml:space="preserve">Digital evidence &amp;</w:t>
            </w:r>
            <w:r>
              <w:rPr>
                <w:sz w:val="16"/>
                <w:szCs w:val="16"/>
              </w:rPr>
              <w:t xml:space="preserve">
</w:t>
            </w:r>
            <w:r>
              <w:rPr>
                <w:color w:val="555555"/>
                <w:sz w:val="14"/>
                <w:szCs w:val="14"/>
              </w:rPr>
              <w:t xml:space="preserve">cybercrime law in Bangladesh (NDC)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7030A0"/>
                <w:sz w:val="18"/>
                <w:szCs w:val="18"/>
              </w:rPr>
              <w:t xml:space="preserve">◐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7030A0"/>
                <w:sz w:val="18"/>
                <w:szCs w:val="18"/>
              </w:rPr>
              <w:t xml:space="preserve">◐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7030A0"/>
                <w:sz w:val="18"/>
                <w:szCs w:val="18"/>
              </w:rPr>
              <w:t xml:space="preserve">◐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sz w:val="16"/>
                <w:szCs w:val="16"/>
              </w:rPr>
              <w:t xml:space="preserve">[11]</w:t>
            </w:r>
          </w:p>
        </w:tc>
        <w:tc>
          <w:tcPr>
            <w:tcW w:type="dxa" w:w="1600"/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sz w:val="16"/>
                <w:szCs w:val="16"/>
              </w:rPr>
              <w:t xml:space="preserve">Uzzal</w:t>
            </w:r>
            <w:r>
              <w:rPr>
                <w:sz w:val="16"/>
                <w:szCs w:val="16"/>
              </w:rPr>
              <w:t xml:space="preserve">
</w:t>
            </w:r>
            <w:r>
              <w:rPr>
                <w:color w:val="555555"/>
                <w:sz w:val="14"/>
                <w:szCs w:val="14"/>
              </w:rPr>
              <w:t xml:space="preserve">(2025)</w:t>
            </w:r>
          </w:p>
        </w:tc>
        <w:tc>
          <w:tcPr>
            <w:tcW w:type="dxa" w:w="2900"/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sz w:val="16"/>
                <w:szCs w:val="16"/>
              </w:rPr>
              <w:t xml:space="preserve">Bangladesh ICT governance</w:t>
            </w:r>
            <w:r>
              <w:rPr>
                <w:sz w:val="16"/>
                <w:szCs w:val="16"/>
              </w:rPr>
              <w:t xml:space="preserve">
</w:t>
            </w:r>
            <w:r>
              <w:rPr>
                <w:color w:val="555555"/>
                <w:sz w:val="14"/>
                <w:szCs w:val="14"/>
              </w:rPr>
              <w:t xml:space="preserve">&amp; cyber law reform (SSRN)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7030A0"/>
                <w:sz w:val="18"/>
                <w:szCs w:val="18"/>
              </w:rPr>
              <w:t xml:space="preserve">◐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sz w:val="16"/>
                <w:szCs w:val="16"/>
              </w:rPr>
              <w:t xml:space="preserve">[12]</w:t>
            </w:r>
          </w:p>
        </w:tc>
        <w:tc>
          <w:tcPr>
            <w:tcW w:type="dxa" w:w="1600"/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sz w:val="16"/>
                <w:szCs w:val="16"/>
              </w:rPr>
              <w:t xml:space="preserve">Ahmed &amp;</w:t>
            </w:r>
            <w:r>
              <w:rPr>
                <w:sz w:val="16"/>
                <w:szCs w:val="16"/>
              </w:rPr>
              <w:t xml:space="preserve">
</w:t>
            </w:r>
            <w:r>
              <w:rPr>
                <w:color w:val="555555"/>
                <w:sz w:val="14"/>
                <w:szCs w:val="14"/>
              </w:rPr>
              <w:t xml:space="preserve">Arifuzzaman (2025)</w:t>
            </w:r>
          </w:p>
        </w:tc>
        <w:tc>
          <w:tcPr>
            <w:tcW w:type="dxa" w:w="2900"/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sz w:val="16"/>
                <w:szCs w:val="16"/>
              </w:rPr>
              <w:t xml:space="preserve">Cloud security landscape</w:t>
            </w:r>
            <w:r>
              <w:rPr>
                <w:sz w:val="16"/>
                <w:szCs w:val="16"/>
              </w:rPr>
              <w:t xml:space="preserve">
</w:t>
            </w:r>
            <w:r>
              <w:rPr>
                <w:color w:val="555555"/>
                <w:sz w:val="14"/>
                <w:szCs w:val="14"/>
              </w:rPr>
              <w:t xml:space="preserve">in Bangladeshi organisations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7030A0"/>
                <w:sz w:val="18"/>
                <w:szCs w:val="18"/>
              </w:rPr>
              <w:t xml:space="preserve">◐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7030A0"/>
                <w:sz w:val="18"/>
                <w:szCs w:val="18"/>
              </w:rPr>
              <w:t xml:space="preserve">◐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7030A0"/>
                <w:sz w:val="18"/>
                <w:szCs w:val="18"/>
              </w:rPr>
              <w:t xml:space="preserve">◐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7030A0"/>
                <w:sz w:val="18"/>
                <w:szCs w:val="18"/>
              </w:rPr>
              <w:t xml:space="preserve">◐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sz w:val="16"/>
                <w:szCs w:val="16"/>
              </w:rPr>
              <w:t xml:space="preserve">[13]</w:t>
            </w:r>
          </w:p>
        </w:tc>
        <w:tc>
          <w:tcPr>
            <w:tcW w:type="dxa" w:w="1600"/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sz w:val="16"/>
                <w:szCs w:val="16"/>
              </w:rPr>
              <w:t xml:space="preserve">Akter &amp; Rahman</w:t>
            </w:r>
            <w:r>
              <w:rPr>
                <w:sz w:val="16"/>
                <w:szCs w:val="16"/>
              </w:rPr>
              <w:t xml:space="preserve">
</w:t>
            </w:r>
            <w:r>
              <w:rPr>
                <w:color w:val="555555"/>
                <w:sz w:val="14"/>
                <w:szCs w:val="14"/>
              </w:rPr>
              <w:t xml:space="preserve">(2023)</w:t>
            </w:r>
          </w:p>
        </w:tc>
        <w:tc>
          <w:tcPr>
            <w:tcW w:type="dxa" w:w="2900"/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sz w:val="16"/>
                <w:szCs w:val="16"/>
              </w:rPr>
              <w:t xml:space="preserve">Cloud forensic issues &amp;</w:t>
            </w:r>
            <w:r>
              <w:rPr>
                <w:sz w:val="16"/>
                <w:szCs w:val="16"/>
              </w:rPr>
              <w:t xml:space="preserve">
</w:t>
            </w:r>
            <w:r>
              <w:rPr>
                <w:color w:val="555555"/>
                <w:sz w:val="14"/>
                <w:szCs w:val="14"/>
              </w:rPr>
              <w:t xml:space="preserve">solution models (UIU, arXiv)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7030A0"/>
                <w:sz w:val="18"/>
                <w:szCs w:val="18"/>
              </w:rPr>
              <w:t xml:space="preserve">◐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7030A0"/>
                <w:sz w:val="18"/>
                <w:szCs w:val="18"/>
              </w:rPr>
              <w:t xml:space="preserve">◐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sz w:val="16"/>
                <w:szCs w:val="16"/>
              </w:rPr>
              <w:t xml:space="preserve">[14]</w:t>
            </w:r>
          </w:p>
        </w:tc>
        <w:tc>
          <w:tcPr>
            <w:tcW w:type="dxa" w:w="1600"/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sz w:val="16"/>
                <w:szCs w:val="16"/>
              </w:rPr>
              <w:t xml:space="preserve">Ekwempu</w:t>
            </w:r>
            <w:r>
              <w:rPr>
                <w:sz w:val="16"/>
                <w:szCs w:val="16"/>
              </w:rPr>
              <w:t xml:space="preserve">
</w:t>
            </w:r>
            <w:r>
              <w:rPr>
                <w:color w:val="555555"/>
                <w:sz w:val="14"/>
                <w:szCs w:val="14"/>
              </w:rPr>
              <w:t xml:space="preserve">(2026)</w:t>
            </w:r>
          </w:p>
        </w:tc>
        <w:tc>
          <w:tcPr>
            <w:tcW w:type="dxa" w:w="2900"/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sz w:val="16"/>
                <w:szCs w:val="16"/>
              </w:rPr>
              <w:t xml:space="preserve">Cross-border cloud forensics;</w:t>
            </w:r>
            <w:r>
              <w:rPr>
                <w:sz w:val="16"/>
                <w:szCs w:val="16"/>
              </w:rPr>
              <w:t xml:space="preserve">
</w:t>
            </w:r>
            <w:r>
              <w:rPr>
                <w:color w:val="555555"/>
                <w:sz w:val="14"/>
                <w:szCs w:val="14"/>
              </w:rPr>
              <w:t xml:space="preserve">legal complexities (IJRIAS)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7030A0"/>
                <w:sz w:val="18"/>
                <w:szCs w:val="18"/>
              </w:rPr>
              <w:t xml:space="preserve">◐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7030A0"/>
                <w:sz w:val="18"/>
                <w:szCs w:val="18"/>
              </w:rPr>
              <w:t xml:space="preserve">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sz w:val="16"/>
                <w:szCs w:val="16"/>
              </w:rPr>
              <w:t xml:space="preserve">[15]</w:t>
            </w:r>
          </w:p>
        </w:tc>
        <w:tc>
          <w:tcPr>
            <w:tcW w:type="dxa" w:w="1600"/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sz w:val="16"/>
                <w:szCs w:val="16"/>
              </w:rPr>
              <w:t xml:space="preserve">Sharmin &amp; Rahman</w:t>
            </w:r>
            <w:r>
              <w:rPr>
                <w:sz w:val="16"/>
                <w:szCs w:val="16"/>
              </w:rPr>
              <w:t xml:space="preserve">
</w:t>
            </w:r>
            <w:r>
              <w:rPr>
                <w:color w:val="555555"/>
                <w:sz w:val="14"/>
                <w:szCs w:val="14"/>
              </w:rPr>
              <w:t xml:space="preserve">(2025)</w:t>
            </w:r>
          </w:p>
        </w:tc>
        <w:tc>
          <w:tcPr>
            <w:tcW w:type="dxa" w:w="2900"/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sz w:val="16"/>
                <w:szCs w:val="16"/>
              </w:rPr>
              <w:t xml:space="preserve">Police digital forensics</w:t>
            </w:r>
            <w:r>
              <w:rPr>
                <w:sz w:val="16"/>
                <w:szCs w:val="16"/>
              </w:rPr>
              <w:t xml:space="preserve">
</w:t>
            </w:r>
            <w:r>
              <w:rPr>
                <w:color w:val="555555"/>
                <w:sz w:val="14"/>
                <w:szCs w:val="14"/>
              </w:rPr>
              <w:t xml:space="preserve">capacity in Bangladesh (BJMIS)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7030A0"/>
                <w:sz w:val="18"/>
                <w:szCs w:val="18"/>
              </w:rPr>
              <w:t xml:space="preserve">◐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7030A0"/>
                <w:sz w:val="18"/>
                <w:szCs w:val="18"/>
              </w:rPr>
              <w:t xml:space="preserve">◐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7030A0"/>
                <w:sz w:val="18"/>
                <w:szCs w:val="18"/>
              </w:rPr>
              <w:t xml:space="preserve">◐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sz w:val="16"/>
                <w:szCs w:val="16"/>
              </w:rPr>
              <w:t xml:space="preserve">[16]</w:t>
            </w:r>
          </w:p>
        </w:tc>
        <w:tc>
          <w:tcPr>
            <w:tcW w:type="dxa" w:w="1600"/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sz w:val="16"/>
                <w:szCs w:val="16"/>
              </w:rPr>
              <w:t xml:space="preserve">Rana</w:t>
            </w:r>
            <w:r>
              <w:rPr>
                <w:sz w:val="16"/>
                <w:szCs w:val="16"/>
              </w:rPr>
              <w:t xml:space="preserve">
</w:t>
            </w:r>
            <w:r>
              <w:rPr>
                <w:color w:val="555555"/>
                <w:sz w:val="14"/>
                <w:szCs w:val="14"/>
              </w:rPr>
              <w:t xml:space="preserve">(2025)</w:t>
            </w:r>
          </w:p>
        </w:tc>
        <w:tc>
          <w:tcPr>
            <w:tcW w:type="dxa" w:w="2900"/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sz w:val="16"/>
                <w:szCs w:val="16"/>
              </w:rPr>
              <w:t xml:space="preserve">Criminal investigation in</w:t>
            </w:r>
            <w:r>
              <w:rPr>
                <w:sz w:val="16"/>
                <w:szCs w:val="16"/>
              </w:rPr>
              <w:t xml:space="preserve">
</w:t>
            </w:r>
            <w:r>
              <w:rPr>
                <w:color w:val="555555"/>
                <w:sz w:val="14"/>
                <w:szCs w:val="14"/>
              </w:rPr>
              <w:t xml:space="preserve">digital era: lessons for BD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9C0006"/>
                <w:sz w:val="18"/>
                <w:szCs w:val="18"/>
              </w:rPr>
              <w:t xml:space="preserve">✘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  <w:tc>
          <w:tcPr>
            <w:tcBorders>
              <w:top w:val="single" w:color="8496AF" w:sz="4"/>
              <w:left w:val="single" w:color="8496AF" w:sz="4"/>
              <w:bottom w:val="single" w:color="8496AF" w:sz="4"/>
              <w:right w:val="single" w:color="8496AF" w:sz="4"/>
            </w:tcBorders>
            <w:shd w:fill="D9E1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✔</w:t>
            </w:r>
          </w:p>
        </w:tc>
      </w:tr>
    </w:tbl>
    <w:p>
      <w:pPr>
        <w:spacing w:after="100" w:before="200"/>
      </w:pPr>
      <w:r>
        <w:rPr>
          <w:b/>
          <w:bCs/>
          <w:sz w:val="18"/>
          <w:szCs w:val="18"/>
        </w:rPr>
        <w:t xml:space="preserve">Legend: </w:t>
      </w:r>
      <w:r>
        <w:rPr>
          <w:color w:val="375623"/>
          <w:sz w:val="18"/>
          <w:szCs w:val="18"/>
        </w:rPr>
        <w:t xml:space="preserve">✔ Fully addressed / Directly relevant   </w:t>
      </w:r>
      <w:r>
        <w:rPr>
          <w:color w:val="7030A0"/>
          <w:sz w:val="18"/>
          <w:szCs w:val="18"/>
        </w:rPr>
        <w:t xml:space="preserve">◐ Partially addressed / Indirectly relevant   </w:t>
      </w:r>
      <w:r>
        <w:rPr>
          <w:color w:val="9C0006"/>
          <w:sz w:val="18"/>
          <w:szCs w:val="18"/>
        </w:rPr>
        <w:t xml:space="preserve">✘ Not addressed / Not relevant</w:t>
      </w:r>
      <w:r>
        <w:rPr>
          <w:i/>
          <w:iCs/>
          <w:sz w:val="18"/>
          <w:szCs w:val="18"/>
        </w:rPr>
        <w:t xml:space="preserve">   |   BD = Bangladesh relevance</w:t>
      </w:r>
    </w:p>
    <w:p>
      <w:pPr>
        <w:spacing w:after="0" w:before="80"/>
        <w:jc w:val="right"/>
      </w:pPr>
      <w:r>
        <w:rPr>
          <w:i/>
          <w:iCs/>
          <w:color w:val="888888"/>
          <w:sz w:val="14"/>
          <w:szCs w:val="14"/>
        </w:rPr>
        <w:t xml:space="preserve">Md. Ahsan Kabir | mkabir2520016@mscse.uiu.ac.bd | United International University | CSE 6093 RMTW</w:t>
      </w:r>
    </w:p>
    <w:sectPr>
      <w:pgSz w:w="11906" w:h="16838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2026-08-25T13:12:07.071Z</dcterms:created>
  <dcterms:modified xsi:type="dcterms:W3CDTF">2026-08-25T13:12:07.071Z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