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C9B7D" w14:textId="77777777" w:rsidR="00B051CC" w:rsidRDefault="00B051CC">
      <w:pPr>
        <w:spacing w:after="800"/>
      </w:pPr>
    </w:p>
    <w:p w14:paraId="4CE5E24D" w14:textId="77777777" w:rsidR="00B051CC" w:rsidRDefault="0051606A">
      <w:pPr>
        <w:spacing w:after="300"/>
        <w:jc w:val="center"/>
      </w:pPr>
      <w:r>
        <w:rPr>
          <w:b/>
          <w:bCs/>
          <w:color w:val="555555"/>
          <w:sz w:val="28"/>
          <w:szCs w:val="28"/>
        </w:rPr>
        <w:t>RESEARCH PROJECT PROPOSAL</w:t>
      </w:r>
    </w:p>
    <w:p w14:paraId="2A278049" w14:textId="61E7BE95" w:rsidR="00B051CC" w:rsidRDefault="005A3BEF">
      <w:pPr>
        <w:spacing w:after="500"/>
        <w:jc w:val="center"/>
      </w:pPr>
      <w:r>
        <w:rPr>
          <w:b/>
          <w:bCs/>
          <w:sz w:val="40"/>
          <w:szCs w:val="40"/>
        </w:rPr>
        <w:t>Toward a Cloud Forensic Readiness Framework for Bangladesh's Mobile Financial Services Sector: Bridging Evidence Acquisition and Cross-Border Jurisdictional Gaps</w:t>
      </w:r>
    </w:p>
    <w:p w14:paraId="487141F7" w14:textId="77777777" w:rsidR="00B051CC" w:rsidRDefault="0051606A">
      <w:pPr>
        <w:spacing w:after="150"/>
        <w:jc w:val="center"/>
      </w:pPr>
      <w:r>
        <w:rPr>
          <w:sz w:val="24"/>
          <w:szCs w:val="24"/>
        </w:rPr>
        <w:t>Submitted for: CSE 6093 — Research Methodologies and Technical Writing</w:t>
      </w:r>
    </w:p>
    <w:p w14:paraId="3BFC8B94" w14:textId="77777777" w:rsidR="00B051CC" w:rsidRDefault="0051606A">
      <w:pPr>
        <w:spacing w:after="100"/>
        <w:jc w:val="center"/>
      </w:pPr>
      <w:r>
        <w:rPr>
          <w:b/>
          <w:bCs/>
          <w:sz w:val="24"/>
          <w:szCs w:val="24"/>
        </w:rPr>
        <w:t>MD. Ahsan Kabir  (ID: 0122520016)</w:t>
      </w:r>
    </w:p>
    <w:p w14:paraId="6283875A" w14:textId="77777777" w:rsidR="00B051CC" w:rsidRDefault="0051606A">
      <w:pPr>
        <w:spacing w:after="100"/>
        <w:jc w:val="center"/>
      </w:pPr>
      <w:r>
        <w:rPr>
          <w:color w:val="555555"/>
          <w:sz w:val="22"/>
          <w:szCs w:val="22"/>
        </w:rPr>
        <w:t>MSCSE, Department of CSE, United International University, Bangladesh</w:t>
      </w:r>
    </w:p>
    <w:p w14:paraId="6AEC78AF" w14:textId="77777777" w:rsidR="00B051CC" w:rsidRDefault="0051606A">
      <w:pPr>
        <w:spacing w:after="800"/>
        <w:jc w:val="center"/>
      </w:pPr>
      <w:r>
        <w:rPr>
          <w:color w:val="555555"/>
          <w:sz w:val="22"/>
          <w:szCs w:val="22"/>
        </w:rPr>
        <w:t>mkabir2520016@mscse.uiu.ac.bd</w:t>
      </w:r>
    </w:p>
    <w:p w14:paraId="0CDECE7C" w14:textId="77777777" w:rsidR="00B051CC" w:rsidRDefault="0051606A">
      <w:pPr>
        <w:pageBreakBefore/>
      </w:pPr>
      <w:r>
        <w:lastRenderedPageBreak/>
        <w:br/>
      </w:r>
    </w:p>
    <w:p w14:paraId="5AA416BB" w14:textId="77777777" w:rsidR="00B051CC" w:rsidRDefault="0051606A">
      <w:pPr>
        <w:pStyle w:val="Heading1"/>
        <w:spacing w:before="360" w:after="140"/>
      </w:pPr>
      <w:r>
        <w:t>Abstract</w:t>
      </w:r>
    </w:p>
    <w:p w14:paraId="715A5A15" w14:textId="77777777" w:rsidR="0083131F" w:rsidRDefault="0083131F">
      <w:pPr>
        <w:pStyle w:val="Heading1"/>
        <w:spacing w:before="360" w:after="140"/>
        <w:rPr>
          <w:color w:val="auto"/>
          <w:sz w:val="22"/>
          <w:szCs w:val="22"/>
        </w:rPr>
      </w:pPr>
      <w:r>
        <w:rPr>
          <w:color w:val="auto"/>
          <w:sz w:val="22"/>
          <w:szCs w:val="22"/>
        </w:rPr>
        <w:t>Cloud computing increasingly underpins Bangladesh's Mobile Financial Services (MFS) sector -- bKash, Nagad, and Rocket together process tens of millions of transactions daily -- yet the country's digital evidence law, forensic institutions, and international legal cooperation mechanisms have not kept pace with this shift. This proposal argues that Bangladesh's MFS sector faces a specific and under-examined cloud forensic readiness gap: MFS providers operate under the Bangladesh Mobile Financial Services Regulations, 2022 (Circular No. 04/2022, Payment Systems Department), which governs licensing, agent conduct, and operational compliance but appears silent on how regulators or investigators can forensically access cloud-hosted transaction data during an incident -- a silence that parallels, and may or may not be resolved by, the separate Bangladesh Bank cloud computing guideline (BRPD Circular 05/2023) that governs banks, since MFS providers are themselves licensed as subsidiaries of banks or financial institutions. Bangladesh itself remains outside the Budapest Convention, the 2025 UN Convention against Cybercrime, and any confirmed CLOUD Act or US Mutual Legal Assistance Treaty arrangement. Unlike the single, large-value 2016 Bangladesh Bank cyber heist that anchors most Bangladeshi cybersecurity scholarship, MFS-related threats -- illustrated by the SikkahBot malware campaign identified by Cyble Research and Intelligence Labs in 2025, which intercepts SMS and abuses Android's Accessibility Service to autofill bKash and Nagad credentials -- are high-volume, distributed, and agent-mediated, raising distinct evidentiary and attribution challenges. Building on a completed PRISMA-guided systematic review of the global cloud forensics literature, this project proposes to (1) analyze Bangladesh's regulatory, infrastructural, and jurisdictional constraints on cloud evidence acquisition in the MFS sector specifically, including the unresolved relationship between the MFS-specific and bank-specific cloud guidelines, (2) validate these constraints against practitioner input from forensic investigators and MFS provider ICT/fraud-risk officers, and (3) design a cloud forensic readiness framework tailored to what is legally and technically achievable within Bangladesh's current constraints. The expected contribution is both academic -- the first Bangladesh-specific cloud forensic readiness framework for MFS identified in the literature -- and practical, offering Bangladesh Bank's Payment Systems Department, CID's Digital Forensics &amp; Cyber Police Centre, and MFS providers a concrete, implementable reference point.</w:t>
      </w:r>
    </w:p>
    <w:p w14:paraId="42986D75" w14:textId="273D2FAA" w:rsidR="00B051CC" w:rsidRDefault="0051606A">
      <w:pPr>
        <w:pStyle w:val="Heading1"/>
        <w:spacing w:before="360" w:after="140"/>
      </w:pPr>
      <w:r>
        <w:t>1. Introduction and Background</w:t>
      </w:r>
    </w:p>
    <w:p w14:paraId="1D638BE1" w14:textId="77777777" w:rsidR="0083131F" w:rsidRDefault="0083131F">
      <w:pPr>
        <w:pStyle w:val="Heading1"/>
        <w:spacing w:before="360" w:after="140"/>
        <w:rPr>
          <w:color w:val="auto"/>
          <w:sz w:val="22"/>
          <w:szCs w:val="22"/>
        </w:rPr>
      </w:pPr>
      <w:r>
        <w:rPr>
          <w:color w:val="auto"/>
          <w:sz w:val="22"/>
          <w:szCs w:val="22"/>
        </w:rPr>
        <w:t>Cloud computing offers scalability and cost efficiency, but it also disperses digital evidence across virtualized, provider-controlled infrastructure that investigators cannot physically access. A completed PRISMA-guided systematic review of 48 international sources (Kabir, 2026, unpublished survey) established that this problem manifests globally across four dimensions: evidence acquisition, evidence trustworthiness, legal and jurisdictional compliance, and standardization. That review, however, remained deliberately general -- it surveyed the global state of the field without grounding the problem in any specific country, sector, or institution.</w:t>
      </w:r>
    </w:p>
    <w:p w14:paraId="25351AF9" w14:textId="77777777" w:rsidR="0083131F" w:rsidRDefault="0083131F">
      <w:pPr>
        <w:pStyle w:val="Heading1"/>
        <w:spacing w:before="360" w:after="140"/>
        <w:rPr>
          <w:color w:val="auto"/>
          <w:sz w:val="22"/>
          <w:szCs w:val="22"/>
        </w:rPr>
      </w:pPr>
      <w:r>
        <w:rPr>
          <w:color w:val="auto"/>
          <w:sz w:val="22"/>
          <w:szCs w:val="22"/>
        </w:rPr>
        <w:t xml:space="preserve">Bangladesh's Mobile Financial Services sector presents a case where these four global challenges converge with unusual force and specificity. bKash, Nagad, and Rocket collectively serve tens of millions of registered accounts and process the large majority of the country's day-to-day digital payments, almost entirely through smartphone apps and USSD codes routed through agent networks rather than through branch infrastructure. Bangladesh has no in-country hyperscale cloud region -- AWS, Microsoft Azure, and Google Cloud all serve Bangladeshi customers from offshore regions -- so MFS backend and transaction-log infrastructure, like banking infrastructure, is presumed to rely at least partly on cloud or cross-border-hosted systems. MFS providers are regulated under the Bangladesh Mobile Financial Services Regulations, 2022, which govern licensing, agent oversight, and operational compliance, but published summaries of this regulation do not address how a regulator or forensic investigator would obtain evidence from cloud-hosted MFS data during an investigation. Because MFS providers are themselves licensed as subsidiaries of banks or non-bank financial institutions, it is also </w:t>
      </w:r>
      <w:r>
        <w:rPr>
          <w:color w:val="auto"/>
          <w:sz w:val="22"/>
          <w:szCs w:val="22"/>
        </w:rPr>
        <w:lastRenderedPageBreak/>
        <w:t>unclear whether Bangladesh Bank's separate 2023 cloud computing guideline for banks (BRPD Circular 05) extends to their MFS subsidiaries' cloud practices, or whether a regulatory gap exists between the two frameworks. Meanwhile, Bangladesh's own capacity to admit and process digital evidence is recent (the Evidence (Amendment) Act 2022) and its international cooperation position is thin: Bangladesh is not a party to the Budapest Convention, did not sign the 2025 UN Convention against Cybercrime, and has no confirmed CLOUD Act agreement or bilateral US MLAT, despite the fact that the major cloud providers serving Bangladeshi institutions are US-jurisdiction companies.</w:t>
      </w:r>
    </w:p>
    <w:p w14:paraId="56891BD9" w14:textId="77777777" w:rsidR="0083131F" w:rsidRDefault="0083131F">
      <w:pPr>
        <w:pStyle w:val="Heading1"/>
        <w:spacing w:before="360" w:after="140"/>
        <w:rPr>
          <w:color w:val="auto"/>
          <w:sz w:val="22"/>
          <w:szCs w:val="22"/>
        </w:rPr>
      </w:pPr>
      <w:r>
        <w:rPr>
          <w:color w:val="auto"/>
          <w:sz w:val="22"/>
          <w:szCs w:val="22"/>
        </w:rPr>
        <w:t>This gap is not hypothetical. Where Bangladesh's banking-sector cybersecurity scholarship is anchored by the single, large-value 2016 Bangladesh Bank cyber heist (re-analyzed recently by Islam, 2026), Bangladesh's MFS sector faces a structurally different threat pattern: high-volume, distributed, agent- and consumer-mediated fraud. The SikkahBot malware campaign, identified by Cyble Research and Intelligence Labs in 2025 and active since mid-2024, illustrates this directly -- it impersonates the Bangladesh Education Board to distribute fraudulent scholarship apps to students, then abuses Android's Accessibility Service and SMS permissions to intercept bKash- and Nagad-related messages and autofill stolen credentials into unauthorized USSD transactions. Unlike a single institutional SWIFT transfer, evidence of this kind of fraud is scattered across millions of individual agent and consumer devices, USSD gateway logs, and MFS providers' own cloud-hosted transaction records -- and no Bangladesh-specific cloud forensic readiness framework has been proposed in the academic literature to address how such distributed, cloud-hosted MFS evidence should be acquired, preserved, and made admissible.</w:t>
      </w:r>
    </w:p>
    <w:p w14:paraId="01D9B325" w14:textId="1FD20150" w:rsidR="00B051CC" w:rsidRDefault="0051606A">
      <w:pPr>
        <w:pStyle w:val="Heading1"/>
        <w:spacing w:before="360" w:after="140"/>
      </w:pPr>
      <w:r>
        <w:t>2. Problem Statement</w:t>
      </w:r>
    </w:p>
    <w:p w14:paraId="067F6FDE" w14:textId="77777777" w:rsidR="0083131F" w:rsidRDefault="0083131F">
      <w:pPr>
        <w:pStyle w:val="Heading1"/>
        <w:spacing w:before="360" w:after="140"/>
        <w:rPr>
          <w:color w:val="auto"/>
          <w:sz w:val="22"/>
          <w:szCs w:val="22"/>
        </w:rPr>
      </w:pPr>
      <w:r>
        <w:rPr>
          <w:color w:val="auto"/>
          <w:sz w:val="22"/>
          <w:szCs w:val="22"/>
        </w:rPr>
        <w:t>Bangladesh's MFS sector is operating at massive transaction scale under the Bangladesh Mobile Financial Services Regulations 2022, a framework that governs licensing, agent conduct, and operational compliance but -- like the separate bank-focused BRPD Circular 05/2023 -- does not appear to specify forensic or regulatory audit access to cloud-hosted transaction data during an incident. This regulatory silence, and its unresolved relationship to the bank-focused cloud guideline given MFS providers' status as bank/FI subsidiaries, exists alongside three compounding constraints carried over from Bangladesh's broader cloud forensic landscape: (a) Bangladesh has no in-country hyperscale cloud infrastructure, meaning cloud-hosted MFS data likely resides outside the country by default; (b) Bangladesh's domestic forensic capacity is documented as constrained, with a growing case backlog in CID's digital forensic labs (Barkat et al., 2020) and police officers reporting a need for substantially more training (Sharmin &amp; Rahman, 2025); and (c) Bangladesh's international legal cooperation position leaves it dependent on ad hoc, non-treaty-based requests to foreign cloud providers, which transparency reporting shows succeed only 64-68% of the time even when attempted (Meta, 2024). A fourth, MFS-specific compounding factor is the sheer distribution of evidence: MFS fraud, as documented in campaigns like SikkahBot, is mediated through millions of individual agent and consumer devices and USSD transactions rather than a small number of institutional endpoints, multiplying the number of potential evidence sources an investigation must reconcile with cloud-hosted provider records. No existing framework in the literature -- Bangladeshi or international -- addresses cloud forensic readiness under this specific combination of regulatory, infrastructural, jurisdictional, and evidentiary-scale constraints.</w:t>
      </w:r>
    </w:p>
    <w:p w14:paraId="5D27FBED" w14:textId="15F22B9A" w:rsidR="00B051CC" w:rsidRDefault="0051606A">
      <w:pPr>
        <w:pStyle w:val="Heading1"/>
        <w:spacing w:before="360" w:after="140"/>
      </w:pPr>
      <w:r>
        <w:t>3. Research Gap</w:t>
      </w:r>
    </w:p>
    <w:p w14:paraId="4BB5D1E5" w14:textId="77777777" w:rsidR="0083131F" w:rsidRDefault="0083131F">
      <w:pPr>
        <w:pStyle w:val="Heading1"/>
        <w:spacing w:before="360" w:after="140"/>
        <w:rPr>
          <w:color w:val="auto"/>
          <w:sz w:val="22"/>
          <w:szCs w:val="22"/>
        </w:rPr>
      </w:pPr>
      <w:r>
        <w:rPr>
          <w:color w:val="auto"/>
          <w:sz w:val="22"/>
          <w:szCs w:val="22"/>
        </w:rPr>
        <w:t>No peer-reviewed literature was found proposing a cloud forensic readiness framework specific to Bangladesh's MFS sector, or to a comparable developing-country mobile-money sector operating without in-country hyperscale cloud infrastructure.</w:t>
      </w:r>
    </w:p>
    <w:p w14:paraId="1C420534" w14:textId="77777777" w:rsidR="0083131F" w:rsidRDefault="0083131F">
      <w:pPr>
        <w:pStyle w:val="Heading1"/>
        <w:spacing w:before="360" w:after="140"/>
        <w:rPr>
          <w:color w:val="auto"/>
          <w:sz w:val="22"/>
          <w:szCs w:val="22"/>
        </w:rPr>
      </w:pPr>
      <w:r>
        <w:rPr>
          <w:color w:val="auto"/>
          <w:sz w:val="22"/>
          <w:szCs w:val="22"/>
        </w:rPr>
        <w:t>The Bangladesh Mobile Financial Services Regulations 2022 has not been analyzed in the academic literature for its forensic-access implications -- existing commentary addresses it only from a licensing and operational-compliance perspective.</w:t>
      </w:r>
    </w:p>
    <w:p w14:paraId="68F61B4F" w14:textId="77777777" w:rsidR="0083131F" w:rsidRDefault="0083131F">
      <w:pPr>
        <w:pStyle w:val="Heading1"/>
        <w:spacing w:before="360" w:after="140"/>
        <w:rPr>
          <w:color w:val="auto"/>
          <w:sz w:val="22"/>
          <w:szCs w:val="22"/>
        </w:rPr>
      </w:pPr>
      <w:r>
        <w:rPr>
          <w:color w:val="auto"/>
          <w:sz w:val="22"/>
          <w:szCs w:val="22"/>
        </w:rPr>
        <w:lastRenderedPageBreak/>
        <w:t>The relationship between the MFS-specific regulation and Bangladesh Bank's separate bank-focused cloud computing guideline (BRPD Circular 05/2023) -- given that MFS providers are licensed as bank/FI subsidiaries -- has not been examined for regulatory overlap or gaps regarding cloud forensic access.</w:t>
      </w:r>
    </w:p>
    <w:p w14:paraId="623D6AEF" w14:textId="77777777" w:rsidR="0083131F" w:rsidRDefault="0083131F">
      <w:pPr>
        <w:pStyle w:val="Heading1"/>
        <w:spacing w:before="360" w:after="140"/>
        <w:rPr>
          <w:color w:val="auto"/>
          <w:sz w:val="22"/>
          <w:szCs w:val="22"/>
        </w:rPr>
      </w:pPr>
      <w:r>
        <w:rPr>
          <w:color w:val="auto"/>
          <w:sz w:val="22"/>
          <w:szCs w:val="22"/>
        </w:rPr>
        <w:t>Existing Bangladesh-specific digital forensics scholarship (Haque &amp; Hossain, 2017; Sharmin &amp; Rahman, 2025) addresses general digital forensics and predates or omits cloud-specific and MFS-specific evidence acquisition challenges.</w:t>
      </w:r>
    </w:p>
    <w:p w14:paraId="06324759" w14:textId="77777777" w:rsidR="0083131F" w:rsidRDefault="0083131F">
      <w:pPr>
        <w:pStyle w:val="Heading1"/>
        <w:spacing w:before="360" w:after="140"/>
        <w:rPr>
          <w:color w:val="auto"/>
          <w:sz w:val="22"/>
          <w:szCs w:val="22"/>
        </w:rPr>
      </w:pPr>
      <w:r>
        <w:rPr>
          <w:color w:val="auto"/>
          <w:sz w:val="22"/>
          <w:szCs w:val="22"/>
        </w:rPr>
        <w:t>Documented MFS-targeting malware campaigns such as SikkahBot (Cyble Research and Intelligence Labs, 2025) have been analyzed as security/threat-intelligence findings but not through a forensic-readiness or cloud-evidence-acquisition lens in academic literature.</w:t>
      </w:r>
    </w:p>
    <w:p w14:paraId="47740882" w14:textId="77777777" w:rsidR="0083131F" w:rsidRDefault="0083131F">
      <w:pPr>
        <w:pStyle w:val="Heading1"/>
        <w:spacing w:before="360" w:after="140"/>
        <w:rPr>
          <w:color w:val="auto"/>
          <w:sz w:val="22"/>
          <w:szCs w:val="22"/>
        </w:rPr>
      </w:pPr>
      <w:r>
        <w:rPr>
          <w:color w:val="auto"/>
          <w:sz w:val="22"/>
          <w:szCs w:val="22"/>
        </w:rPr>
        <w:t>The interaction between the new Personal Data Protection Ordinance 2025 (which appears to mandate local data mirroring) and the MFS Regulations 2022 has not yet been examined for its combined effect on forensic evidence acquisition.</w:t>
      </w:r>
    </w:p>
    <w:p w14:paraId="60E2B11B" w14:textId="51E7DF72" w:rsidR="00B051CC" w:rsidRDefault="0051606A">
      <w:pPr>
        <w:pStyle w:val="Heading1"/>
        <w:spacing w:before="360" w:after="140"/>
      </w:pPr>
      <w:r>
        <w:t>4. Research Questions and Objectives</w:t>
      </w:r>
    </w:p>
    <w:p w14:paraId="7CE7986F" w14:textId="77777777" w:rsidR="0083131F" w:rsidRDefault="0083131F">
      <w:pPr>
        <w:pStyle w:val="Heading1"/>
        <w:spacing w:before="360" w:after="140"/>
        <w:rPr>
          <w:sz w:val="26"/>
          <w:szCs w:val="26"/>
        </w:rPr>
      </w:pPr>
      <w:r>
        <w:rPr>
          <w:sz w:val="26"/>
          <w:szCs w:val="26"/>
        </w:rPr>
        <w:t>Research Questions</w:t>
      </w:r>
    </w:p>
    <w:p w14:paraId="516F7643" w14:textId="77777777" w:rsidR="0083131F" w:rsidRDefault="0083131F">
      <w:pPr>
        <w:pStyle w:val="Heading1"/>
        <w:spacing w:before="360" w:after="140"/>
        <w:rPr>
          <w:sz w:val="26"/>
          <w:szCs w:val="26"/>
        </w:rPr>
      </w:pPr>
      <w:r>
        <w:rPr>
          <w:sz w:val="26"/>
          <w:szCs w:val="26"/>
        </w:rPr>
        <w:t>1. RQ1: What specific evidence-acquisition challenges does Bangladesh's MFS sector face when conducting cloud forensic investigations, given its distributed agent-mediated transaction model, the requirements of the Bangladesh Mobile Financial Services Regulations 2022, and the sector's unresolved relationship to the bank-focused BRPD Circular 05 cloud guideline?</w:t>
      </w:r>
    </w:p>
    <w:p w14:paraId="5E83B284" w14:textId="77777777" w:rsidR="0083131F" w:rsidRDefault="0083131F">
      <w:pPr>
        <w:pStyle w:val="Heading1"/>
        <w:spacing w:before="360" w:after="140"/>
        <w:rPr>
          <w:sz w:val="26"/>
          <w:szCs w:val="26"/>
        </w:rPr>
      </w:pPr>
      <w:r>
        <w:rPr>
          <w:sz w:val="26"/>
          <w:szCs w:val="26"/>
        </w:rPr>
        <w:t>2. RQ2: How do Bangladesh's jurisdictional position -- non-membership in the Budapest Convention, absence from the 2025 UN Convention against Cybercrime, and lack of a confirmed CLOUD Act or US MLAT arrangement -- affect the practical admissibility of cloud-hosted MFS evidence under the Evidence (Amendment) Act 2022's Section 65B certificate requirement, particularly given MFS's high transaction volume and velocity relative to institutional banking transfers?</w:t>
      </w:r>
    </w:p>
    <w:p w14:paraId="01E78C9C" w14:textId="77777777" w:rsidR="0083131F" w:rsidRDefault="0083131F">
      <w:pPr>
        <w:pStyle w:val="Heading1"/>
        <w:spacing w:before="360" w:after="140"/>
        <w:rPr>
          <w:sz w:val="26"/>
          <w:szCs w:val="26"/>
        </w:rPr>
      </w:pPr>
      <w:r>
        <w:rPr>
          <w:sz w:val="26"/>
          <w:szCs w:val="26"/>
        </w:rPr>
        <w:t>3. RQ3: What cloud forensic readiness framework can be designed that is achievable within Bangladesh's current regulatory, infrastructural, and institutional constraints for the MFS sector specifically, rather than assuming access mechanisms the country does not currently have?</w:t>
      </w:r>
    </w:p>
    <w:p w14:paraId="39683B4C" w14:textId="77777777" w:rsidR="0083131F" w:rsidRDefault="0083131F">
      <w:pPr>
        <w:pStyle w:val="Heading1"/>
        <w:spacing w:before="360" w:after="140"/>
        <w:rPr>
          <w:sz w:val="26"/>
          <w:szCs w:val="26"/>
        </w:rPr>
      </w:pPr>
      <w:r>
        <w:rPr>
          <w:sz w:val="26"/>
          <w:szCs w:val="26"/>
        </w:rPr>
        <w:t>Objectives</w:t>
      </w:r>
    </w:p>
    <w:p w14:paraId="00BEF650" w14:textId="77777777" w:rsidR="0083131F" w:rsidRDefault="0083131F">
      <w:pPr>
        <w:pStyle w:val="Heading1"/>
        <w:spacing w:before="360" w:after="140"/>
        <w:rPr>
          <w:sz w:val="26"/>
          <w:szCs w:val="26"/>
        </w:rPr>
      </w:pPr>
      <w:r>
        <w:rPr>
          <w:sz w:val="26"/>
          <w:szCs w:val="26"/>
        </w:rPr>
        <w:t>To systematically map the regulatory, infrastructural, and jurisdictional constraints specific to cloud forensic evidence acquisition in Bangladesh's MFS sector, including the regulatory relationship between the MFS Regulations 2022 and BRPD Circular 05.</w:t>
      </w:r>
    </w:p>
    <w:p w14:paraId="498AD34A" w14:textId="77777777" w:rsidR="0083131F" w:rsidRDefault="0083131F">
      <w:pPr>
        <w:pStyle w:val="Heading1"/>
        <w:spacing w:before="360" w:after="140"/>
        <w:rPr>
          <w:sz w:val="26"/>
          <w:szCs w:val="26"/>
        </w:rPr>
      </w:pPr>
      <w:r>
        <w:rPr>
          <w:sz w:val="26"/>
          <w:szCs w:val="26"/>
        </w:rPr>
        <w:t>To empirically validate these constraints through structured input from forensic practitioners (CID Digital Forensics &amp; Cyber Police Centre, BGD e-GOV CIRT) and MFS provider ICT/fraud-risk and compliance officers.</w:t>
      </w:r>
    </w:p>
    <w:p w14:paraId="7BE9E3E8" w14:textId="77777777" w:rsidR="0083131F" w:rsidRDefault="0083131F">
      <w:pPr>
        <w:pStyle w:val="Heading1"/>
        <w:spacing w:before="360" w:after="140"/>
        <w:rPr>
          <w:sz w:val="26"/>
          <w:szCs w:val="26"/>
        </w:rPr>
      </w:pPr>
      <w:r>
        <w:rPr>
          <w:sz w:val="26"/>
          <w:szCs w:val="26"/>
        </w:rPr>
        <w:lastRenderedPageBreak/>
        <w:t>To design and propose a cloud forensic readiness framework tailored to Bangladesh's MFS sector, addressing evidence acquisition, chain-of-custody, and legal admissibility within existing constraints.</w:t>
      </w:r>
    </w:p>
    <w:p w14:paraId="68B75FC0" w14:textId="77777777" w:rsidR="0083131F" w:rsidRDefault="0083131F">
      <w:pPr>
        <w:pStyle w:val="Heading1"/>
        <w:spacing w:before="360" w:after="140"/>
        <w:rPr>
          <w:sz w:val="26"/>
          <w:szCs w:val="26"/>
        </w:rPr>
      </w:pPr>
      <w:r>
        <w:rPr>
          <w:sz w:val="26"/>
          <w:szCs w:val="26"/>
        </w:rPr>
        <w:t>To evaluate the proposed framework against the SikkahBot malware campaign as a retrospective validation case representative of distributed, cloud-relevant MFS fraud.</w:t>
      </w:r>
    </w:p>
    <w:p w14:paraId="2A98675F" w14:textId="56D9484C" w:rsidR="00B051CC" w:rsidRDefault="0051606A">
      <w:pPr>
        <w:pStyle w:val="Heading1"/>
        <w:spacing w:before="360" w:after="140"/>
      </w:pPr>
      <w:r>
        <w:t>5. Literature Review (Summary)</w:t>
      </w:r>
    </w:p>
    <w:p w14:paraId="1FFF768B" w14:textId="77777777" w:rsidR="0083131F" w:rsidRDefault="0083131F">
      <w:pPr>
        <w:pStyle w:val="Heading1"/>
        <w:spacing w:before="360" w:after="140"/>
        <w:rPr>
          <w:color w:val="auto"/>
          <w:sz w:val="22"/>
          <w:szCs w:val="22"/>
        </w:rPr>
      </w:pPr>
      <w:r>
        <w:rPr>
          <w:color w:val="auto"/>
          <w:sz w:val="22"/>
          <w:szCs w:val="22"/>
        </w:rPr>
        <w:t>This proposal builds on two literature bases, detailed fully in the accompanying Literature Summary Report. The first is the international cloud forensics literature already synthesized in a completed PRISMA-guided systematic review (48 sources), which established a four-dimensional taxonomy of evidence acquisition, evidence trustworthiness, legal/jurisdictional compliance, and standardization, and identified explainable AI, blockchain-based evidence integrity, and forensic-readiness-by-design as active research directions. That review provides the technical and conceptual vocabulary this proposal applies to Bangladesh's MFS sector specifically.</w:t>
      </w:r>
    </w:p>
    <w:p w14:paraId="1261719B" w14:textId="77777777" w:rsidR="0083131F" w:rsidRDefault="0083131F">
      <w:pPr>
        <w:pStyle w:val="Heading1"/>
        <w:spacing w:before="360" w:after="140"/>
        <w:rPr>
          <w:color w:val="auto"/>
          <w:sz w:val="22"/>
          <w:szCs w:val="22"/>
        </w:rPr>
      </w:pPr>
      <w:r>
        <w:rPr>
          <w:color w:val="auto"/>
          <w:sz w:val="22"/>
          <w:szCs w:val="22"/>
        </w:rPr>
        <w:t>The second, newly assembled literature base is Bangladesh-specific, spanning: primary legislation and regulation (the Evidence (Amendment) Act 2022, the Cyber Security Act 2023, the Personal Data Protection Ordinance 2025, the Bangladesh Mobile Financial Services Regulations 2022, and Bangladesh Bank's bank-focused cloud computing and ICT security guidelines); institutional and capacity assessments (Barkat et al., 2020; Sharmin &amp; Rahman, 2025; Uzzal, 2025); documented MFS-targeting threat campaigns (Cyble Research and Intelligence Labs, 2025, on SikkahBot); a comparative reference point in the re-analyzed 2016 Bangladesh Bank heist (Islam, 2026), included to contrast single-large-value institutional fraud against MFS's distributed, high-volume threat pattern rather than as this proposal's primary incident anchor; and documentation of Bangladesh's jurisdictional position on international cybercrime cooperation (Council of Europe Octopus project; UNODC, 2024; Meta transparency reporting, 2024). Notably, no source in either literature base proposes a cloud forensic readiness framework specific to Bangladesh's MFS sector or to a comparable developing-country mobile-money context, which is the gap this proposal addresses.</w:t>
      </w:r>
    </w:p>
    <w:p w14:paraId="53E03AD6" w14:textId="3331A3B0" w:rsidR="00B051CC" w:rsidRDefault="0051606A">
      <w:pPr>
        <w:pStyle w:val="Heading1"/>
        <w:spacing w:before="360" w:after="140"/>
      </w:pPr>
      <w:r>
        <w:t>6. Proposed Methodology</w:t>
      </w:r>
    </w:p>
    <w:p w14:paraId="791890EA" w14:textId="77777777" w:rsidR="0083131F" w:rsidRDefault="0083131F">
      <w:pPr>
        <w:pStyle w:val="Heading1"/>
        <w:spacing w:before="360" w:after="140"/>
        <w:rPr>
          <w:sz w:val="26"/>
          <w:szCs w:val="26"/>
        </w:rPr>
      </w:pPr>
      <w:r>
        <w:rPr>
          <w:sz w:val="26"/>
          <w:szCs w:val="26"/>
        </w:rPr>
        <w:t>Phase 1 -- Regulatory and Documentary Analysis (Weeks 1-3)</w:t>
      </w:r>
    </w:p>
    <w:p w14:paraId="6D349516" w14:textId="77777777" w:rsidR="0083131F" w:rsidRDefault="0083131F">
      <w:pPr>
        <w:pStyle w:val="Heading1"/>
        <w:spacing w:before="360" w:after="140"/>
        <w:rPr>
          <w:sz w:val="26"/>
          <w:szCs w:val="26"/>
        </w:rPr>
      </w:pPr>
      <w:r>
        <w:rPr>
          <w:sz w:val="26"/>
          <w:szCs w:val="26"/>
        </w:rPr>
        <w:t>Direct analysis of primary legal and regulatory texts -- the Bangladesh Mobile Financial Services Regulations 2022, Bangladesh Bank's BRPD Circular 05/2023 and ICT Security Guideline v4.0 (to determine whether and how they extend to MFS provider subsidiaries), the Evidence (Amendment) Act 2022, the Cyber Security Act 2023, and the Personal Data Protection Ordinance 2025 -- to confirm and document the specific provisions (or silences) relevant to cloud forensic evidence acquisition in the MFS context. This directly tests the hypothesis, raised in the literature review, that neither the MFS-specific nor the bank-focused cloud guideline addresses forensic or regulatory audit access, and clarifies which (if either) governs MFS providers' cloud practices.</w:t>
      </w:r>
    </w:p>
    <w:p w14:paraId="124D9A0F" w14:textId="77777777" w:rsidR="0083131F" w:rsidRDefault="0083131F">
      <w:pPr>
        <w:pStyle w:val="Heading1"/>
        <w:spacing w:before="360" w:after="140"/>
        <w:rPr>
          <w:sz w:val="26"/>
          <w:szCs w:val="26"/>
        </w:rPr>
      </w:pPr>
      <w:r>
        <w:rPr>
          <w:sz w:val="26"/>
          <w:szCs w:val="26"/>
        </w:rPr>
        <w:t>Phase 2 -- Practitioner Validation (Weeks 4-6)</w:t>
      </w:r>
    </w:p>
    <w:p w14:paraId="3A6B4B37" w14:textId="77777777" w:rsidR="0083131F" w:rsidRDefault="0083131F">
      <w:pPr>
        <w:pStyle w:val="Heading1"/>
        <w:spacing w:before="360" w:after="140"/>
        <w:rPr>
          <w:sz w:val="26"/>
          <w:szCs w:val="26"/>
        </w:rPr>
      </w:pPr>
      <w:r>
        <w:rPr>
          <w:sz w:val="26"/>
          <w:szCs w:val="26"/>
        </w:rPr>
        <w:lastRenderedPageBreak/>
        <w:t>Semi-structured interviews or a structured questionnaire administered to a small purposive sample of forensic practitioners (CID Digital Forensics &amp; Cyber Police Centre, BGD e-GOV CIRT) and MFS provider ICT security, fraud-risk, or compliance officers, to validate the constraints identified in Phase 1 against practical experience and to surface constraints not visible in documentary analysis alone. This follows the methodological precedent of Sharmin &amp; Rahman (2025), who surveyed Bangladesh Police officers on digital forensics capacity.</w:t>
      </w:r>
    </w:p>
    <w:p w14:paraId="1D63A1E3" w14:textId="77777777" w:rsidR="0083131F" w:rsidRDefault="0083131F">
      <w:pPr>
        <w:pStyle w:val="Heading1"/>
        <w:spacing w:before="360" w:after="140"/>
        <w:rPr>
          <w:sz w:val="26"/>
          <w:szCs w:val="26"/>
        </w:rPr>
      </w:pPr>
      <w:r>
        <w:rPr>
          <w:sz w:val="26"/>
          <w:szCs w:val="26"/>
        </w:rPr>
        <w:t>Phase 3 -- Framework Design (Weeks 7-9)</w:t>
      </w:r>
    </w:p>
    <w:p w14:paraId="134DD606" w14:textId="77777777" w:rsidR="0083131F" w:rsidRDefault="0083131F">
      <w:pPr>
        <w:pStyle w:val="Heading1"/>
        <w:spacing w:before="360" w:after="140"/>
        <w:rPr>
          <w:sz w:val="26"/>
          <w:szCs w:val="26"/>
        </w:rPr>
      </w:pPr>
      <w:r>
        <w:rPr>
          <w:sz w:val="26"/>
          <w:szCs w:val="26"/>
        </w:rPr>
        <w:t>Using a design-science research approach, synthesize the findings from Phases 1-2 with the four-dimensional taxonomy from the completed international literature review to design a cloud forensic readiness framework specific to Bangladesh's MFS sector. The framework will explicitly address what evidence acquisition mechanisms are legally and practically available under current constraints, rather than assuming mechanisms (such as CLOUD Act cooperation) that Bangladesh does not currently have access to, and will account for MFS's distributed, agent-mediated evidence landscape.</w:t>
      </w:r>
    </w:p>
    <w:p w14:paraId="2563BEFF" w14:textId="77777777" w:rsidR="0083131F" w:rsidRDefault="0083131F">
      <w:pPr>
        <w:pStyle w:val="Heading1"/>
        <w:spacing w:before="360" w:after="140"/>
        <w:rPr>
          <w:sz w:val="26"/>
          <w:szCs w:val="26"/>
        </w:rPr>
      </w:pPr>
      <w:r>
        <w:rPr>
          <w:sz w:val="26"/>
          <w:szCs w:val="26"/>
        </w:rPr>
        <w:t>Phase 4 -- Retrospective Validation (Weeks 10-11)</w:t>
      </w:r>
    </w:p>
    <w:p w14:paraId="1652839E" w14:textId="77777777" w:rsidR="0083131F" w:rsidRDefault="0083131F">
      <w:pPr>
        <w:pStyle w:val="Heading1"/>
        <w:spacing w:before="360" w:after="140"/>
        <w:rPr>
          <w:sz w:val="26"/>
          <w:szCs w:val="26"/>
        </w:rPr>
      </w:pPr>
      <w:r>
        <w:rPr>
          <w:sz w:val="26"/>
          <w:szCs w:val="26"/>
        </w:rPr>
        <w:t>Apply the proposed framework retrospectively to the SikkahBot malware campaign as a case study, using the technical details documented by Cyble Research and Intelligence Labs (2025) to assess whether the framework would have improved evidence acquisition, chain-of-custody, or attribution outcomes for the distributed transactions and devices involved.</w:t>
      </w:r>
    </w:p>
    <w:p w14:paraId="0CFCB45A" w14:textId="77777777" w:rsidR="0083131F" w:rsidRDefault="0083131F">
      <w:pPr>
        <w:pStyle w:val="Heading1"/>
        <w:spacing w:before="360" w:after="140"/>
        <w:rPr>
          <w:sz w:val="26"/>
          <w:szCs w:val="26"/>
        </w:rPr>
      </w:pPr>
      <w:r>
        <w:rPr>
          <w:sz w:val="26"/>
          <w:szCs w:val="26"/>
        </w:rPr>
        <w:t>Phase 5 -- Write-Up (Week 12)</w:t>
      </w:r>
    </w:p>
    <w:p w14:paraId="23FE4F24" w14:textId="77777777" w:rsidR="0083131F" w:rsidRDefault="0083131F">
      <w:pPr>
        <w:pStyle w:val="Heading1"/>
        <w:spacing w:before="360" w:after="140"/>
        <w:rPr>
          <w:sz w:val="26"/>
          <w:szCs w:val="26"/>
        </w:rPr>
      </w:pPr>
      <w:r>
        <w:rPr>
          <w:sz w:val="26"/>
          <w:szCs w:val="26"/>
        </w:rPr>
        <w:t>Compilation of the complete research article, incorporating the regulatory analysis, practitioner validation findings, proposed framework, and retrospective case study evaluation.</w:t>
      </w:r>
    </w:p>
    <w:p w14:paraId="229A5252" w14:textId="65A2720D" w:rsidR="00B051CC" w:rsidRDefault="0051606A">
      <w:pPr>
        <w:pStyle w:val="Heading1"/>
        <w:spacing w:before="360" w:after="140"/>
      </w:pPr>
      <w:r>
        <w:t>7. Expected Contribution and Significance</w:t>
      </w:r>
    </w:p>
    <w:p w14:paraId="173B8EFF" w14:textId="77777777" w:rsidR="0083131F" w:rsidRDefault="0083131F">
      <w:pPr>
        <w:pStyle w:val="Heading1"/>
        <w:spacing w:before="360" w:after="140"/>
        <w:rPr>
          <w:color w:val="auto"/>
          <w:sz w:val="22"/>
          <w:szCs w:val="22"/>
        </w:rPr>
      </w:pPr>
      <w:r>
        <w:rPr>
          <w:color w:val="auto"/>
          <w:sz w:val="22"/>
          <w:szCs w:val="22"/>
        </w:rPr>
        <w:t>Academic: the first cloud forensic readiness framework identified in the literature that is specific to Bangladesh's MFS sector, and one of few addressing a developing-country mobile-money sector operating without in-country hyperscale cloud infrastructure.</w:t>
      </w:r>
    </w:p>
    <w:p w14:paraId="0AADDF2D" w14:textId="77777777" w:rsidR="0083131F" w:rsidRDefault="0083131F">
      <w:pPr>
        <w:pStyle w:val="Heading1"/>
        <w:spacing w:before="360" w:after="140"/>
        <w:rPr>
          <w:color w:val="auto"/>
          <w:sz w:val="22"/>
          <w:szCs w:val="22"/>
        </w:rPr>
      </w:pPr>
      <w:r>
        <w:rPr>
          <w:color w:val="auto"/>
          <w:sz w:val="22"/>
          <w:szCs w:val="22"/>
        </w:rPr>
        <w:t>Regulatory: a concrete, evidence-based assessment of whether the MFS Regulations 2022 and/or the bank-focused BRPD Circular 05 address forensic access, directly usable by Bangladesh Bank's Payment Systems Department in any future revision of either guideline.</w:t>
      </w:r>
    </w:p>
    <w:p w14:paraId="76714594" w14:textId="77777777" w:rsidR="0083131F" w:rsidRDefault="0083131F">
      <w:pPr>
        <w:pStyle w:val="Heading1"/>
        <w:spacing w:before="360" w:after="140"/>
        <w:rPr>
          <w:color w:val="auto"/>
          <w:sz w:val="22"/>
          <w:szCs w:val="22"/>
        </w:rPr>
      </w:pPr>
      <w:r>
        <w:rPr>
          <w:color w:val="auto"/>
          <w:sz w:val="22"/>
          <w:szCs w:val="22"/>
        </w:rPr>
        <w:t>Institutional: a practical reference framework for CID's Digital Forensics &amp; Cyber Police Centre and BGD e-GOV CIRT when handling cloud-related MFS fraud incidents.</w:t>
      </w:r>
    </w:p>
    <w:p w14:paraId="123E5BF9" w14:textId="77777777" w:rsidR="0083131F" w:rsidRDefault="0083131F">
      <w:pPr>
        <w:pStyle w:val="Heading1"/>
        <w:spacing w:before="360" w:after="140"/>
        <w:rPr>
          <w:color w:val="auto"/>
          <w:sz w:val="22"/>
          <w:szCs w:val="22"/>
        </w:rPr>
      </w:pPr>
      <w:r>
        <w:rPr>
          <w:color w:val="auto"/>
          <w:sz w:val="22"/>
          <w:szCs w:val="22"/>
        </w:rPr>
        <w:lastRenderedPageBreak/>
        <w:t>National relevance: directly responsive to Bangladesh's stated policy priorities under Digital Bangladesh/Smart Bangladesh initiatives around financial inclusion and cybersecurity capacity, and to the documented, ongoing gap in Bangladesh's international legal cooperation on cybercrime.</w:t>
      </w:r>
    </w:p>
    <w:p w14:paraId="36F22141" w14:textId="480C12E9" w:rsidR="00B051CC" w:rsidRDefault="0051606A">
      <w:pPr>
        <w:pStyle w:val="Heading1"/>
        <w:spacing w:before="360" w:after="140"/>
      </w:pPr>
      <w:r>
        <w:t>8. Scope and Limitations</w:t>
      </w:r>
    </w:p>
    <w:p w14:paraId="37FCDE70" w14:textId="77777777" w:rsidR="0083131F" w:rsidRDefault="0083131F">
      <w:pPr>
        <w:pStyle w:val="Heading1"/>
        <w:spacing w:before="360" w:after="140"/>
        <w:rPr>
          <w:color w:val="auto"/>
          <w:sz w:val="22"/>
          <w:szCs w:val="22"/>
        </w:rPr>
      </w:pPr>
      <w:r>
        <w:rPr>
          <w:color w:val="auto"/>
          <w:sz w:val="22"/>
          <w:szCs w:val="22"/>
        </w:rPr>
        <w:t>This proposal is scoped to Bangladesh's Mobile Financial Services sector specifically, rather than cloud forensics in Bangladesh generally or the banking sector's institutional cyber-heist scenario, in order to maintain a tractable and well-evidenced focus on MFS's distinctive distributed-transaction threat pattern. Traditional bank-to-bank cloud forensics (illustrated by the 2016 Bangladesh Bank heist) is acknowledged as a related but distinct problem and is out of scope, referenced only for comparison. Government e-services and other sectors that also use cloud infrastructure are similarly out of scope. Practitioner validation (Phase 2) will rely on a purposive, not statistically representative, sample, consistent with the exploratory nature of this early-stage framework design; the findings should be understood as framework-informing rather than population-generalizable. Primary regulatory texts (the MFS Regulations 2022 and BRPD Circular 05 in full, and the Personal Data Protection Ordinance 2025 gazette text) will be obtained and read directly during Phase 1 rather than relied upon secondhand, and any discrepancy between secondary reporting and the primary text will be corrected and documented transparently.</w:t>
      </w:r>
    </w:p>
    <w:p w14:paraId="533B8C0B" w14:textId="2D2322DA" w:rsidR="00B051CC" w:rsidRDefault="0051606A">
      <w:pPr>
        <w:pStyle w:val="Heading1"/>
        <w:spacing w:before="360" w:after="140"/>
      </w:pPr>
      <w:r>
        <w:t>9. Work Plan and Timeline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000"/>
      </w:tblGrid>
      <w:tr w:rsidR="00B051CC" w14:paraId="25975951" w14:textId="77777777">
        <w:tc>
          <w:tcPr>
            <w:tcW w:w="2000" w:type="dxa"/>
            <w:shd w:val="clear" w:color="auto" w:fill="111C42"/>
            <w:vAlign w:val="center"/>
          </w:tcPr>
          <w:p w14:paraId="2E786402" w14:textId="77777777" w:rsidR="00B051CC" w:rsidRDefault="0051606A">
            <w:r>
              <w:rPr>
                <w:b/>
                <w:bCs/>
                <w:color w:val="FFFFFF"/>
              </w:rPr>
              <w:t>Phase</w:t>
            </w:r>
          </w:p>
        </w:tc>
        <w:tc>
          <w:tcPr>
            <w:tcW w:w="5000" w:type="dxa"/>
            <w:shd w:val="clear" w:color="auto" w:fill="111C42"/>
            <w:vAlign w:val="center"/>
          </w:tcPr>
          <w:p w14:paraId="5BA15B52" w14:textId="77777777" w:rsidR="00B051CC" w:rsidRDefault="0051606A">
            <w:r>
              <w:rPr>
                <w:b/>
                <w:bCs/>
                <w:color w:val="FFFFFF"/>
              </w:rPr>
              <w:t>Activity</w:t>
            </w:r>
          </w:p>
        </w:tc>
        <w:tc>
          <w:tcPr>
            <w:tcW w:w="2000" w:type="dxa"/>
            <w:shd w:val="clear" w:color="auto" w:fill="111C42"/>
            <w:vAlign w:val="center"/>
          </w:tcPr>
          <w:p w14:paraId="58393446" w14:textId="77777777" w:rsidR="00B051CC" w:rsidRDefault="0051606A">
            <w:r>
              <w:rPr>
                <w:b/>
                <w:bCs/>
                <w:color w:val="FFFFFF"/>
              </w:rPr>
              <w:t>Weeks</w:t>
            </w:r>
          </w:p>
        </w:tc>
      </w:tr>
      <w:tr w:rsidR="00B051CC" w14:paraId="0EB5D000" w14:textId="77777777">
        <w:tc>
          <w:tcPr>
            <w:tcW w:w="2000" w:type="dxa"/>
            <w:vAlign w:val="center"/>
          </w:tcPr>
          <w:p w14:paraId="3A4A43E1" w14:textId="77777777" w:rsidR="00B051CC" w:rsidRDefault="0051606A">
            <w:r>
              <w:rPr>
                <w:color w:val="000000"/>
              </w:rPr>
              <w:t>Completed</w:t>
            </w:r>
          </w:p>
        </w:tc>
        <w:tc>
          <w:tcPr>
            <w:tcW w:w="5000" w:type="dxa"/>
            <w:vAlign w:val="center"/>
          </w:tcPr>
          <w:p w14:paraId="4E1AE534" w14:textId="77777777" w:rsidR="00B051CC" w:rsidRDefault="0051606A">
            <w:r>
              <w:rPr>
                <w:color w:val="000000"/>
              </w:rPr>
              <w:t>PRISMA-guided systematic review of global cloud forensics literature (48 sources); four-dimensional taxonomy; comparative analysis</w:t>
            </w:r>
          </w:p>
        </w:tc>
        <w:tc>
          <w:tcPr>
            <w:tcW w:w="2000" w:type="dxa"/>
            <w:vAlign w:val="center"/>
          </w:tcPr>
          <w:p w14:paraId="78D7ED41" w14:textId="77777777" w:rsidR="00B051CC" w:rsidRDefault="0051606A">
            <w:r>
              <w:rPr>
                <w:color w:val="000000"/>
              </w:rPr>
              <w:t>Prior to this proposal</w:t>
            </w:r>
          </w:p>
        </w:tc>
      </w:tr>
      <w:tr w:rsidR="00B051CC" w14:paraId="4BAFF77D" w14:textId="77777777">
        <w:tc>
          <w:tcPr>
            <w:tcW w:w="2000" w:type="dxa"/>
            <w:vAlign w:val="center"/>
          </w:tcPr>
          <w:p w14:paraId="6FF94D5D" w14:textId="77777777" w:rsidR="00B051CC" w:rsidRDefault="0051606A">
            <w:r>
              <w:rPr>
                <w:color w:val="000000"/>
              </w:rPr>
              <w:t>1</w:t>
            </w:r>
          </w:p>
        </w:tc>
        <w:tc>
          <w:tcPr>
            <w:tcW w:w="5000" w:type="dxa"/>
            <w:vAlign w:val="center"/>
          </w:tcPr>
          <w:p w14:paraId="4A19DFEC" w14:textId="77777777" w:rsidR="00B051CC" w:rsidRDefault="0051606A">
            <w:r>
              <w:rPr>
                <w:color w:val="000000"/>
              </w:rPr>
              <w:t>Regulatory and documentary analysis of Bangladeshi legal/regulatory texts</w:t>
            </w:r>
          </w:p>
        </w:tc>
        <w:tc>
          <w:tcPr>
            <w:tcW w:w="2000" w:type="dxa"/>
            <w:vAlign w:val="center"/>
          </w:tcPr>
          <w:p w14:paraId="5DB03361" w14:textId="77777777" w:rsidR="00B051CC" w:rsidRDefault="0051606A">
            <w:r>
              <w:rPr>
                <w:color w:val="000000"/>
              </w:rPr>
              <w:t>1-3</w:t>
            </w:r>
          </w:p>
        </w:tc>
      </w:tr>
      <w:tr w:rsidR="00B051CC" w14:paraId="01170C15" w14:textId="77777777">
        <w:tc>
          <w:tcPr>
            <w:tcW w:w="2000" w:type="dxa"/>
            <w:vAlign w:val="center"/>
          </w:tcPr>
          <w:p w14:paraId="38B65BCA" w14:textId="77777777" w:rsidR="00B051CC" w:rsidRDefault="0051606A">
            <w:r>
              <w:rPr>
                <w:color w:val="000000"/>
              </w:rPr>
              <w:t>2</w:t>
            </w:r>
          </w:p>
        </w:tc>
        <w:tc>
          <w:tcPr>
            <w:tcW w:w="5000" w:type="dxa"/>
            <w:vAlign w:val="center"/>
          </w:tcPr>
          <w:p w14:paraId="46EC2501" w14:textId="0DBF2287" w:rsidR="00B051CC" w:rsidRDefault="005A3BEF">
            <w:r>
              <w:rPr>
                <w:color w:val="000000"/>
              </w:rPr>
              <w:t>Practitioner validation (CID, BGD e-GOV CIRT, MFS provider ICT security officers)</w:t>
            </w:r>
          </w:p>
        </w:tc>
        <w:tc>
          <w:tcPr>
            <w:tcW w:w="2000" w:type="dxa"/>
            <w:vAlign w:val="center"/>
          </w:tcPr>
          <w:p w14:paraId="6C548249" w14:textId="77777777" w:rsidR="00B051CC" w:rsidRDefault="0051606A">
            <w:r>
              <w:rPr>
                <w:color w:val="000000"/>
              </w:rPr>
              <w:t>4-6</w:t>
            </w:r>
          </w:p>
        </w:tc>
      </w:tr>
      <w:tr w:rsidR="00B051CC" w14:paraId="5369D54D" w14:textId="77777777">
        <w:tc>
          <w:tcPr>
            <w:tcW w:w="2000" w:type="dxa"/>
            <w:vAlign w:val="center"/>
          </w:tcPr>
          <w:p w14:paraId="6C3721EC" w14:textId="77777777" w:rsidR="00B051CC" w:rsidRDefault="0051606A">
            <w:r>
              <w:rPr>
                <w:color w:val="000000"/>
              </w:rPr>
              <w:t>3</w:t>
            </w:r>
          </w:p>
        </w:tc>
        <w:tc>
          <w:tcPr>
            <w:tcW w:w="5000" w:type="dxa"/>
            <w:vAlign w:val="center"/>
          </w:tcPr>
          <w:p w14:paraId="1A1D3F97" w14:textId="77777777" w:rsidR="00B051CC" w:rsidRDefault="0051606A">
            <w:r>
              <w:rPr>
                <w:color w:val="000000"/>
              </w:rPr>
              <w:t>Framework design (design-science synthesis)</w:t>
            </w:r>
          </w:p>
        </w:tc>
        <w:tc>
          <w:tcPr>
            <w:tcW w:w="2000" w:type="dxa"/>
            <w:vAlign w:val="center"/>
          </w:tcPr>
          <w:p w14:paraId="6F1D559A" w14:textId="77777777" w:rsidR="00B051CC" w:rsidRDefault="0051606A">
            <w:r>
              <w:rPr>
                <w:color w:val="000000"/>
              </w:rPr>
              <w:t>7-9</w:t>
            </w:r>
          </w:p>
        </w:tc>
      </w:tr>
      <w:tr w:rsidR="00B051CC" w14:paraId="28CAD14E" w14:textId="77777777">
        <w:tc>
          <w:tcPr>
            <w:tcW w:w="2000" w:type="dxa"/>
            <w:vAlign w:val="center"/>
          </w:tcPr>
          <w:p w14:paraId="1E28DB98" w14:textId="77777777" w:rsidR="00B051CC" w:rsidRDefault="0051606A">
            <w:r>
              <w:rPr>
                <w:color w:val="000000"/>
              </w:rPr>
              <w:t>4</w:t>
            </w:r>
          </w:p>
        </w:tc>
        <w:tc>
          <w:tcPr>
            <w:tcW w:w="5000" w:type="dxa"/>
            <w:vAlign w:val="center"/>
          </w:tcPr>
          <w:p w14:paraId="207D09EC" w14:textId="6C792DDE" w:rsidR="00B051CC" w:rsidRDefault="005A3BEF">
            <w:r>
              <w:rPr>
                <w:color w:val="000000"/>
              </w:rPr>
              <w:t>Retrospective validation against the SikkahBot malware campaign</w:t>
            </w:r>
          </w:p>
        </w:tc>
        <w:tc>
          <w:tcPr>
            <w:tcW w:w="2000" w:type="dxa"/>
            <w:vAlign w:val="center"/>
          </w:tcPr>
          <w:p w14:paraId="77F262F2" w14:textId="77777777" w:rsidR="00B051CC" w:rsidRDefault="0051606A">
            <w:r>
              <w:rPr>
                <w:color w:val="000000"/>
              </w:rPr>
              <w:t>10-11</w:t>
            </w:r>
          </w:p>
        </w:tc>
      </w:tr>
      <w:tr w:rsidR="00B051CC" w14:paraId="42A1DB18" w14:textId="77777777">
        <w:tc>
          <w:tcPr>
            <w:tcW w:w="2000" w:type="dxa"/>
            <w:vAlign w:val="center"/>
          </w:tcPr>
          <w:p w14:paraId="07CC6CB0" w14:textId="77777777" w:rsidR="00B051CC" w:rsidRDefault="0051606A">
            <w:r>
              <w:rPr>
                <w:color w:val="000000"/>
              </w:rPr>
              <w:t>5</w:t>
            </w:r>
          </w:p>
        </w:tc>
        <w:tc>
          <w:tcPr>
            <w:tcW w:w="5000" w:type="dxa"/>
            <w:vAlign w:val="center"/>
          </w:tcPr>
          <w:p w14:paraId="48725D20" w14:textId="77777777" w:rsidR="00B051CC" w:rsidRDefault="0051606A">
            <w:r>
              <w:rPr>
                <w:color w:val="000000"/>
              </w:rPr>
              <w:t>Full research article write-up</w:t>
            </w:r>
          </w:p>
        </w:tc>
        <w:tc>
          <w:tcPr>
            <w:tcW w:w="2000" w:type="dxa"/>
            <w:vAlign w:val="center"/>
          </w:tcPr>
          <w:p w14:paraId="666B6F83" w14:textId="77777777" w:rsidR="00B051CC" w:rsidRDefault="0051606A">
            <w:r>
              <w:rPr>
                <w:color w:val="000000"/>
              </w:rPr>
              <w:t>12</w:t>
            </w:r>
          </w:p>
        </w:tc>
      </w:tr>
    </w:tbl>
    <w:p w14:paraId="565EEDC7" w14:textId="77777777" w:rsidR="00B051CC" w:rsidRDefault="00B051CC">
      <w:pPr>
        <w:spacing w:after="300"/>
      </w:pPr>
    </w:p>
    <w:p w14:paraId="12D4BEC4" w14:textId="77777777" w:rsidR="00B051CC" w:rsidRDefault="0051606A">
      <w:pPr>
        <w:pageBreakBefore/>
      </w:pPr>
      <w:r>
        <w:lastRenderedPageBreak/>
        <w:br/>
      </w:r>
    </w:p>
    <w:p w14:paraId="06A72605" w14:textId="77777777" w:rsidR="00B051CC" w:rsidRDefault="0051606A">
      <w:pPr>
        <w:pStyle w:val="Heading1"/>
        <w:spacing w:before="360" w:after="140"/>
      </w:pPr>
      <w:r>
        <w:t>References</w:t>
      </w:r>
    </w:p>
    <w:p w14:paraId="556A45DD" w14:textId="77777777" w:rsidR="00B051CC" w:rsidRDefault="0051606A">
      <w:pPr>
        <w:spacing w:after="140" w:line="280" w:lineRule="auto"/>
        <w:ind w:left="360" w:hanging="360"/>
      </w:pPr>
      <w:r>
        <w:t>Barkat, A., Kashem, M. B., Mahiyuddin, G., Nurunnahar, Banarjee, S., Ahamed, F. M., Ali, M. M., Chakma, C., &amp; Shahanshah, T. M. (2020). A study on forensic services in criminal investigation in Bangladesh: Impacts, challenges and capacity building issues. Human Development Research Centre, prepared for Bangladesh Police CID.</w:t>
      </w:r>
    </w:p>
    <w:p w14:paraId="1E8D00D1" w14:textId="77777777" w:rsidR="0083131F" w:rsidRDefault="0083131F">
      <w:pPr>
        <w:spacing w:after="140" w:line="280" w:lineRule="auto"/>
        <w:ind w:left="360" w:hanging="360"/>
      </w:pPr>
      <w:r>
        <w:t>Bangladesh Bank. (2022). Bangladesh Mobile Financial Services (MFS) Regulations, 2022 (Circular No. 04/2022). Payment Systems Department.</w:t>
      </w:r>
    </w:p>
    <w:p w14:paraId="69070407" w14:textId="7AEE2EF9" w:rsidR="00B051CC" w:rsidRDefault="0051606A">
      <w:pPr>
        <w:spacing w:after="140" w:line="280" w:lineRule="auto"/>
        <w:ind w:left="360" w:hanging="360"/>
      </w:pPr>
      <w:r>
        <w:t>Bangladesh Bank. (2023). Guidelines on cloud computing (BRPD Circular No. 05). Banking Regulation and Policy Department.</w:t>
      </w:r>
    </w:p>
    <w:p w14:paraId="4D326B17" w14:textId="77777777" w:rsidR="00B051CC" w:rsidRDefault="0051606A">
      <w:pPr>
        <w:spacing w:after="140" w:line="280" w:lineRule="auto"/>
        <w:ind w:left="360" w:hanging="360"/>
      </w:pPr>
      <w:r>
        <w:t>Bangladesh Bank. (2023). Guideline on ICT security (Version 4.0).</w:t>
      </w:r>
    </w:p>
    <w:p w14:paraId="22433670" w14:textId="77777777" w:rsidR="00B051CC" w:rsidRDefault="0051606A">
      <w:pPr>
        <w:spacing w:after="140" w:line="280" w:lineRule="auto"/>
        <w:ind w:left="360" w:hanging="360"/>
      </w:pPr>
      <w:r>
        <w:t>Council of Europe. (n.d.). Bangladesh — Octopus Cybercrime Community country profile.</w:t>
      </w:r>
    </w:p>
    <w:p w14:paraId="1C1F28F7" w14:textId="77777777" w:rsidR="0083131F" w:rsidRDefault="0083131F">
      <w:pPr>
        <w:spacing w:after="140" w:line="280" w:lineRule="auto"/>
        <w:ind w:left="360" w:hanging="360"/>
      </w:pPr>
      <w:r>
        <w:t>Cyble Research and Intelligence Labs. (2025). SikkahBot malware campaign defrauds students in Bangladesh. Cyble Threat Intelligence.</w:t>
      </w:r>
    </w:p>
    <w:p w14:paraId="078C1B71" w14:textId="22651D3B" w:rsidR="00B051CC" w:rsidRDefault="0051606A">
      <w:pPr>
        <w:spacing w:after="140" w:line="280" w:lineRule="auto"/>
        <w:ind w:left="360" w:hanging="360"/>
      </w:pPr>
      <w:r>
        <w:t>Government of Bangladesh. (2022). Evidence (Amendment) Act, 2022 (Act No. XX of 2022).</w:t>
      </w:r>
    </w:p>
    <w:p w14:paraId="25056CBC" w14:textId="77777777" w:rsidR="00B051CC" w:rsidRDefault="0051606A">
      <w:pPr>
        <w:spacing w:after="140" w:line="280" w:lineRule="auto"/>
        <w:ind w:left="360" w:hanging="360"/>
      </w:pPr>
      <w:r>
        <w:t>Government of Bangladesh. (2023). Cyber Security Act, 2023.</w:t>
      </w:r>
    </w:p>
    <w:p w14:paraId="5C2921FE" w14:textId="77777777" w:rsidR="00B051CC" w:rsidRDefault="0051606A">
      <w:pPr>
        <w:spacing w:after="140" w:line="280" w:lineRule="auto"/>
        <w:ind w:left="360" w:hanging="360"/>
      </w:pPr>
      <w:r>
        <w:t>Government of Bangladesh. (2025). Personal Data Protection Ordinance, 2025.</w:t>
      </w:r>
    </w:p>
    <w:p w14:paraId="3109E1DE" w14:textId="77777777" w:rsidR="00B051CC" w:rsidRDefault="0051606A">
      <w:pPr>
        <w:spacing w:after="140" w:line="280" w:lineRule="auto"/>
        <w:ind w:left="360" w:hanging="360"/>
      </w:pPr>
      <w:r>
        <w:t>Haque, M. M., &amp; Hossain, S. A. (2017). National digital forensics framework for Bangladesh. In Proceedings of the 2017 3rd International Conference on Electrical Information and Communication Technology (EICT). IEEE.</w:t>
      </w:r>
    </w:p>
    <w:p w14:paraId="632ADE42" w14:textId="77777777" w:rsidR="00B051CC" w:rsidRDefault="0051606A">
      <w:pPr>
        <w:spacing w:after="140" w:line="280" w:lineRule="auto"/>
        <w:ind w:left="360" w:hanging="360"/>
      </w:pPr>
      <w:r>
        <w:t>Islam, M. S. (2026). Institutional fragility and cross-border cyber risk in financial systems: Insights from the 2016 Bangladesh Bank heist. Computers, 15(7), 432. https://doi.org/10.3390/computers15070432</w:t>
      </w:r>
    </w:p>
    <w:p w14:paraId="7E9D774B" w14:textId="77777777" w:rsidR="00B051CC" w:rsidRDefault="0051606A">
      <w:pPr>
        <w:spacing w:after="140" w:line="280" w:lineRule="auto"/>
        <w:ind w:left="360" w:hanging="360"/>
      </w:pPr>
      <w:r>
        <w:t>Karagiannis, C., &amp; Vergidis, K. (2021). Digital evidence and cloud forensics: Contemporary legal challenges and the power of disposal. Information, 12(5), 181.</w:t>
      </w:r>
    </w:p>
    <w:p w14:paraId="3005AB38" w14:textId="77777777" w:rsidR="00B051CC" w:rsidRDefault="0051606A">
      <w:pPr>
        <w:spacing w:after="140" w:line="280" w:lineRule="auto"/>
        <w:ind w:left="360" w:hanging="360"/>
      </w:pPr>
      <w:r>
        <w:t>Rahman, M. M., &amp; Kaiser, M. S. (2025). Technological advancement and the rise of cybercrime in Bangladesh: Trends, challenges, and policy responses. In The Palgrave Handbook of Global Social Problems. Springer Nature.</w:t>
      </w:r>
    </w:p>
    <w:p w14:paraId="648652FE" w14:textId="77777777" w:rsidR="00B051CC" w:rsidRDefault="0051606A">
      <w:pPr>
        <w:spacing w:after="140" w:line="280" w:lineRule="auto"/>
        <w:ind w:left="360" w:hanging="360"/>
      </w:pPr>
      <w:r>
        <w:t>Sharmin, K., &amp; Rahman, M. I. (2025). Digital forensics empowerment of Bangladesh Police: A comprehensive analysis of its role in preventing crimes and enhancing investigative capabilities. Bangladesh Journal of MIS, 11(1). https://doi.org/10.61606/BJMIS.V11N1A1</w:t>
      </w:r>
    </w:p>
    <w:p w14:paraId="102AB756" w14:textId="77777777" w:rsidR="00B051CC" w:rsidRDefault="0051606A">
      <w:pPr>
        <w:spacing w:after="140" w:line="280" w:lineRule="auto"/>
        <w:ind w:left="360" w:hanging="360"/>
      </w:pPr>
      <w:r>
        <w:t>UNODC South Asia. (2024, March). UNODC and Justice &amp; Care raise awareness on mutual legal assistance in criminal matters.</w:t>
      </w:r>
    </w:p>
    <w:p w14:paraId="51C828A5" w14:textId="77777777" w:rsidR="00B051CC" w:rsidRDefault="0051606A">
      <w:pPr>
        <w:spacing w:after="140" w:line="280" w:lineRule="auto"/>
        <w:ind w:left="360" w:hanging="360"/>
      </w:pPr>
      <w:r>
        <w:t>Uzzal, M. M. K. (2025). Research monograph on cybercrime and digital evidence in Bangladesh: Problem and prospect [Working paper]. SSRN. https://doi.org/10.2139/ssrn.5876822</w:t>
      </w:r>
    </w:p>
    <w:p w14:paraId="06CC29F2" w14:textId="77777777" w:rsidR="00B051CC" w:rsidRDefault="0051606A">
      <w:pPr>
        <w:spacing w:after="140" w:line="280" w:lineRule="auto"/>
        <w:ind w:left="360" w:hanging="360"/>
      </w:pPr>
      <w:r>
        <w:t>Note: A complete list of the 48 references from the antecedent global cloud forensics systematic review is provided in the accompanying survey paper and is not repeated here.</w:t>
      </w:r>
    </w:p>
    <w:sectPr w:rsidR="00B051C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F207C"/>
    <w:multiLevelType w:val="hybridMultilevel"/>
    <w:tmpl w:val="5BCE6CC0"/>
    <w:lvl w:ilvl="0" w:tplc="669A7C48">
      <w:start w:val="1"/>
      <w:numFmt w:val="bullet"/>
      <w:lvlText w:val="●"/>
      <w:lvlJc w:val="left"/>
      <w:pPr>
        <w:ind w:left="720" w:hanging="360"/>
      </w:pPr>
    </w:lvl>
    <w:lvl w:ilvl="1" w:tplc="32F41358">
      <w:start w:val="1"/>
      <w:numFmt w:val="bullet"/>
      <w:lvlText w:val="○"/>
      <w:lvlJc w:val="left"/>
      <w:pPr>
        <w:ind w:left="1440" w:hanging="360"/>
      </w:pPr>
    </w:lvl>
    <w:lvl w:ilvl="2" w:tplc="983827E8">
      <w:start w:val="1"/>
      <w:numFmt w:val="bullet"/>
      <w:lvlText w:val="■"/>
      <w:lvlJc w:val="left"/>
      <w:pPr>
        <w:ind w:left="2160" w:hanging="360"/>
      </w:pPr>
    </w:lvl>
    <w:lvl w:ilvl="3" w:tplc="791A7F26">
      <w:start w:val="1"/>
      <w:numFmt w:val="bullet"/>
      <w:lvlText w:val="●"/>
      <w:lvlJc w:val="left"/>
      <w:pPr>
        <w:ind w:left="2880" w:hanging="360"/>
      </w:pPr>
    </w:lvl>
    <w:lvl w:ilvl="4" w:tplc="4CCECAFE">
      <w:start w:val="1"/>
      <w:numFmt w:val="bullet"/>
      <w:lvlText w:val="○"/>
      <w:lvlJc w:val="left"/>
      <w:pPr>
        <w:ind w:left="3600" w:hanging="360"/>
      </w:pPr>
    </w:lvl>
    <w:lvl w:ilvl="5" w:tplc="1BEC9816">
      <w:start w:val="1"/>
      <w:numFmt w:val="bullet"/>
      <w:lvlText w:val="■"/>
      <w:lvlJc w:val="left"/>
      <w:pPr>
        <w:ind w:left="4320" w:hanging="360"/>
      </w:pPr>
    </w:lvl>
    <w:lvl w:ilvl="6" w:tplc="028862B6">
      <w:start w:val="1"/>
      <w:numFmt w:val="bullet"/>
      <w:lvlText w:val="●"/>
      <w:lvlJc w:val="left"/>
      <w:pPr>
        <w:ind w:left="5040" w:hanging="360"/>
      </w:pPr>
    </w:lvl>
    <w:lvl w:ilvl="7" w:tplc="40345FCE">
      <w:start w:val="1"/>
      <w:numFmt w:val="bullet"/>
      <w:lvlText w:val="●"/>
      <w:lvlJc w:val="left"/>
      <w:pPr>
        <w:ind w:left="5760" w:hanging="360"/>
      </w:pPr>
    </w:lvl>
    <w:lvl w:ilvl="8" w:tplc="E2068774">
      <w:start w:val="1"/>
      <w:numFmt w:val="bullet"/>
      <w:lvlText w:val="●"/>
      <w:lvlJc w:val="left"/>
      <w:pPr>
        <w:ind w:left="6480" w:hanging="360"/>
      </w:pPr>
    </w:lvl>
  </w:abstractNum>
  <w:num w:numId="1" w16cid:durableId="1496995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1CC"/>
    <w:rsid w:val="005A3BEF"/>
    <w:rsid w:val="0069069B"/>
    <w:rsid w:val="0083131F"/>
    <w:rsid w:val="00B051CC"/>
    <w:rsid w:val="00C536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375B8"/>
  <w15:docId w15:val="{CB9E7C71-02F0-4EDB-B7BC-9D9F8D644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3334</Words>
  <Characters>19005</Characters>
  <Application>Microsoft Office Word</Application>
  <DocSecurity>0</DocSecurity>
  <Lines>158</Lines>
  <Paragraphs>44</Paragraphs>
  <ScaleCrop>false</ScaleCrop>
  <Company/>
  <LinksUpToDate>false</LinksUpToDate>
  <CharactersWithSpaces>22295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10635-Ahsan-Kabir</cp:lastModifiedBy>
  <cp:revision>3</cp:revision>
  <dcterms:created xsi:type="dcterms:W3CDTF">2026-07-31T06:25:00Z</dcterms:created>
  <dcterms:modified xsi:type="dcterms:W3CDTF">2026-08-11T08:57:00Z</dcterms:modified>
</cp:coreProperties>
</file>