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C9B7D" w14:textId="77777777" w:rsidR="00B051CC" w:rsidRDefault="00B051CC">
      <w:pPr>
        <w:spacing w:after="800"/>
      </w:pPr>
    </w:p>
    <w:p w14:paraId="4CE5E24D" w14:textId="77777777" w:rsidR="00B051CC" w:rsidRDefault="00B51FC3">
      <w:pPr>
        <w:spacing w:after="300"/>
        <w:jc w:val="center"/>
      </w:pPr>
      <w:r>
        <w:rPr>
          <w:b/>
          <w:bCs/>
          <w:color w:val="555555"/>
          <w:sz w:val="28"/>
          <w:szCs w:val="28"/>
        </w:rPr>
        <w:t>RESEARCH PROJECT PROPOSAL</w:t>
      </w:r>
    </w:p>
    <w:p w14:paraId="2A278049" w14:textId="2E70FBDE" w:rsidR="00B051CC" w:rsidRDefault="00AC597A">
      <w:pPr>
        <w:spacing w:after="500"/>
        <w:jc w:val="center"/>
      </w:pPr>
      <w:r>
        <w:rPr>
          <w:b/>
          <w:bCs/>
          <w:sz w:val="40"/>
          <w:szCs w:val="40"/>
        </w:rPr>
        <w:t>Cloud Forensic Readiness for Bangladesh's Mobile Financial Services: A Case Study of the SikkahBot Campaign Against bKash and Nagad Users</w:t>
      </w:r>
    </w:p>
    <w:p w14:paraId="487141F7" w14:textId="77777777" w:rsidR="00B051CC" w:rsidRDefault="00B51FC3">
      <w:pPr>
        <w:spacing w:after="150"/>
        <w:jc w:val="center"/>
      </w:pPr>
      <w:r>
        <w:rPr>
          <w:sz w:val="24"/>
          <w:szCs w:val="24"/>
        </w:rPr>
        <w:t>Submitted for: CSE 6093 — Research Methodologies and Technical Writing</w:t>
      </w:r>
    </w:p>
    <w:p w14:paraId="3BFC8B94" w14:textId="77777777" w:rsidR="00B051CC" w:rsidRDefault="00B51FC3">
      <w:pPr>
        <w:spacing w:after="100"/>
        <w:jc w:val="center"/>
      </w:pPr>
      <w:r>
        <w:rPr>
          <w:b/>
          <w:bCs/>
          <w:sz w:val="24"/>
          <w:szCs w:val="24"/>
        </w:rPr>
        <w:t>MD. Ahsan Kabir  (ID: 0122520016)</w:t>
      </w:r>
    </w:p>
    <w:p w14:paraId="6283875A" w14:textId="77777777" w:rsidR="00B051CC" w:rsidRDefault="00B51FC3">
      <w:pPr>
        <w:spacing w:after="100"/>
        <w:jc w:val="center"/>
      </w:pPr>
      <w:r>
        <w:rPr>
          <w:color w:val="555555"/>
          <w:sz w:val="22"/>
          <w:szCs w:val="22"/>
        </w:rPr>
        <w:t>MSCSE, Department of CSE, United International University, Bangladesh</w:t>
      </w:r>
    </w:p>
    <w:p w14:paraId="6AEC78AF" w14:textId="77777777" w:rsidR="00B051CC" w:rsidRDefault="00B51FC3">
      <w:pPr>
        <w:spacing w:after="800"/>
        <w:jc w:val="center"/>
      </w:pPr>
      <w:r>
        <w:rPr>
          <w:color w:val="555555"/>
          <w:sz w:val="22"/>
          <w:szCs w:val="22"/>
        </w:rPr>
        <w:t>mkabir2520016@mscse.uiu.ac.bd</w:t>
      </w:r>
    </w:p>
    <w:p w14:paraId="0CDECE7C" w14:textId="77777777" w:rsidR="00B051CC" w:rsidRDefault="00B51FC3">
      <w:pPr>
        <w:pageBreakBefore/>
      </w:pPr>
      <w:r>
        <w:lastRenderedPageBreak/>
        <w:br/>
      </w:r>
    </w:p>
    <w:p w14:paraId="5AA416BB" w14:textId="77777777" w:rsidR="00B051CC" w:rsidRDefault="00B51FC3">
      <w:pPr>
        <w:pStyle w:val="Heading1"/>
        <w:spacing w:before="360" w:after="140"/>
      </w:pPr>
      <w:r>
        <w:t>Abstract</w:t>
      </w:r>
    </w:p>
    <w:p w14:paraId="08E46EA0" w14:textId="77777777" w:rsidR="00AC597A" w:rsidRDefault="00AC597A">
      <w:pPr>
        <w:pStyle w:val="Heading1"/>
        <w:spacing w:before="360" w:after="140"/>
        <w:rPr>
          <w:color w:val="auto"/>
          <w:sz w:val="22"/>
          <w:szCs w:val="22"/>
        </w:rPr>
      </w:pPr>
      <w:r>
        <w:rPr>
          <w:color w:val="auto"/>
          <w:sz w:val="22"/>
          <w:szCs w:val="22"/>
        </w:rPr>
        <w:t>Cloud computing increasingly underpins Bangladesh's Mobile Financial Services (MFS) sector, yet the country's digital evidence law, forensic institutions, and international legal cooperation mechanisms have not kept pace with this shift. Rather than claim a sector-wide readiness framework -- a scope not achievable with genuine rigor within a one-month project -- this proposal uses a single, well-documented incident as its unit of analysis: the SikkahBot malware campaign, identified by Cyble Research and Intelligence Labs in 2025, which impersonates the Bangladesh Education Board to distribute fraudulent scholarship apps, then abuses Android's Accessibility Service and SMS permissions to steal bKash and Nagad credentials and execute unauthorized USSD transactions. bKash and Nagad operate as licensed MFS subsidiaries under the Bangladesh Mobile Financial Services Regulations, 2022, a framework that -- like the separate bank-focused BRPD Circular 05/2023 cloud computing guideline -- appears silent on forensic or regulatory audit access to cloud-hosted transaction data during an incident. Bangladesh itself remains outside the Budapest Convention, the 2025 UN Convention against Cybercrime, and any confirmed CLOUD Act or MLAT arrangement with the United States, where the major cloud providers involved are jurisdictionally based. This project proposes to (1) reconstruct the SikkahBot campaign's evidence trail -- device-level artifacts, SMS/USSD logs, cloud-hosted transaction records -- and map it against Bangladesh's legal and regulatory framework for digital evidence, (2) identify the specific acquisition and admissibility barriers this case reveals, sanity-checked through brief informal consultation with available practitioners, and (3) propose targeted, evidence-grounded forensic-readiness recommendations for bKash specifically and MFS providers more generally. The expected contribution is a concrete, citable case analysis -- the first of its kind for a Bangladeshi MFS malware campaign -- that grounds future, broader framework work in a documented real incident rather than a hypothetical one.</w:t>
      </w:r>
    </w:p>
    <w:p w14:paraId="42986D75" w14:textId="401F3942" w:rsidR="00B051CC" w:rsidRDefault="00B51FC3">
      <w:pPr>
        <w:pStyle w:val="Heading1"/>
        <w:spacing w:before="360" w:after="140"/>
      </w:pPr>
      <w:r>
        <w:t>1. Introduction and Background</w:t>
      </w:r>
    </w:p>
    <w:p w14:paraId="347905AA" w14:textId="77777777" w:rsidR="00AC597A" w:rsidRDefault="00AC597A">
      <w:pPr>
        <w:pStyle w:val="Heading1"/>
        <w:spacing w:before="360" w:after="140"/>
        <w:rPr>
          <w:color w:val="auto"/>
          <w:sz w:val="22"/>
          <w:szCs w:val="22"/>
        </w:rPr>
      </w:pPr>
      <w:r>
        <w:rPr>
          <w:color w:val="auto"/>
          <w:sz w:val="22"/>
          <w:szCs w:val="22"/>
        </w:rPr>
        <w:t>Cloud computing offers scalability and cost efficiency, but it also disperses digital evidence across virtualized, provider-controlled infrastructure that investigators cannot physically access. A completed PRISMA-guided systematic review of 48 international sources (Kabir, 2026, unpublished survey) established that this problem manifests globally across four dimensions: evidence acquisition, evidence trustworthiness, legal and jurisdictional compliance, and standardization. That review, however, remained deliberately general -- it surveyed the global state of the field without grounding the problem in any specific country, sector, or incident.</w:t>
      </w:r>
    </w:p>
    <w:p w14:paraId="0AD4731C" w14:textId="77777777" w:rsidR="00AC597A" w:rsidRDefault="00AC597A">
      <w:pPr>
        <w:pStyle w:val="Heading1"/>
        <w:spacing w:before="360" w:after="140"/>
        <w:rPr>
          <w:color w:val="auto"/>
          <w:sz w:val="22"/>
          <w:szCs w:val="22"/>
        </w:rPr>
      </w:pPr>
      <w:r>
        <w:rPr>
          <w:color w:val="auto"/>
          <w:sz w:val="22"/>
          <w:szCs w:val="22"/>
        </w:rPr>
        <w:t>This project grounds that general problem in a single, concrete, and current incident: the SikkahBot malware campaign, identified by Cyble Research and Intelligence Labs in 2025 and active since mid-2024, which impersonates the Bangladesh Education Board to distribute fraudulent scholarship apps to students, then abuses Android's Accessibility Service and SMS permissions to intercept bKash- and Nagad-related messages and autofill stolen credentials into unauthorized USSD transactions. bKash and Nagad are both licensed as MFS subsidiaries of banks or financial institutions under the Bangladesh Mobile Financial Services Regulations, 2022, which govern licensing and operational compliance but do not appear to address forensic or regulatory audit access to cloud-hosted transaction data. Because MFS providers are bank/FI subsidiaries, it is also unclear whether Bangladesh Bank's separate bank-focused cloud computing guideline (BRPD Circular 05/2023) extends to them. Bangladesh has no in-country hyperscale cloud region, so the cloud-hosted backend and transaction-log infrastructure behind bKash and Nagad's apps is presumed to rely at least partly on cross-border-hosted systems, while Bangladesh's own capacity to admit digital evidence is recent (the Evidence (Amendment) Act 2022) and its international cooperation position is thin -- not a party to the Budapest Convention, absent from the 2025 UN Convention against Cybercrime, and without a confirmed CLOUD Act or US MLAT arrangement.</w:t>
      </w:r>
    </w:p>
    <w:p w14:paraId="44779976" w14:textId="77777777" w:rsidR="00AC597A" w:rsidRDefault="00AC597A">
      <w:pPr>
        <w:pStyle w:val="Heading1"/>
        <w:spacing w:before="360" w:after="140"/>
        <w:rPr>
          <w:color w:val="auto"/>
          <w:sz w:val="22"/>
          <w:szCs w:val="22"/>
        </w:rPr>
      </w:pPr>
      <w:r>
        <w:rPr>
          <w:color w:val="auto"/>
          <w:sz w:val="22"/>
          <w:szCs w:val="22"/>
        </w:rPr>
        <w:t>A single-case design is used deliberately, rather than a sector-wide framework, because it is achievable with genuine rigor within a one-month project: it allows the evidence trail of one documented, technically detailed campaign to be reconst</w:t>
      </w:r>
      <w:r>
        <w:rPr>
          <w:color w:val="auto"/>
          <w:sz w:val="22"/>
          <w:szCs w:val="22"/>
        </w:rPr>
        <w:lastRenderedPageBreak/>
        <w:t>ructed and mapped against Bangladesh's actual legal and regulatory text, rather than producing a broad framework built on assumptions about many unexamined incidents. No academic analysis of SikkahBot -- or any comparable Bangladeshi MFS malware campaign -- through a forensic-readiness lens currently exists.</w:t>
      </w:r>
    </w:p>
    <w:p w14:paraId="01D9B325" w14:textId="29051EB4" w:rsidR="00B051CC" w:rsidRDefault="00B51FC3">
      <w:pPr>
        <w:pStyle w:val="Heading1"/>
        <w:spacing w:before="360" w:after="140"/>
      </w:pPr>
      <w:r>
        <w:t>2. Problem Statement</w:t>
      </w:r>
    </w:p>
    <w:p w14:paraId="28752CDA" w14:textId="77777777" w:rsidR="00AC597A" w:rsidRDefault="00AC597A">
      <w:pPr>
        <w:pStyle w:val="Heading1"/>
        <w:spacing w:before="360" w:after="140"/>
        <w:rPr>
          <w:color w:val="auto"/>
          <w:sz w:val="22"/>
          <w:szCs w:val="22"/>
        </w:rPr>
      </w:pPr>
      <w:r>
        <w:rPr>
          <w:color w:val="auto"/>
          <w:sz w:val="22"/>
          <w:szCs w:val="22"/>
        </w:rPr>
        <w:t>The SikkahBot campaign generates a concrete but currently unexamined forensic evidence trail: device-level artifacts on victims' Android phones (malicious app installs, Accessibility Service permission grants, intercepted SMS), USSD gateway transaction logs, and bKash/Nagad's own cloud-hosted transaction and account records. Bangladesh's legal and regulatory framework for handling this trail is fragmented and, in key places, silent: the MFS Regulations 2022 govern licensing and agent conduct but not forensic access to cloud-hosted data; the separate bank-focused BRPD Circular 05/2023 may or may not extend to bKash and Nagad as bank/FI subsidiaries; and the Evidence (Amendment) Act 2022's Section 65B certificate mechanism assumes a single, identifiable custodian who can attest to a record's origin -- a condition that is unclear when the record in question is a cloud-hosted transaction log potentially held outside Bangladeshi jurisdiction. Compounding this, Bangladesh's domestic forensic capacity is documented as constrained (Barkat et al., 2020; Sharmin &amp; Rahman, 2025), and its international cooperation position leaves it dependent on ad hoc, non-treaty-based requests to foreign cloud providers that succeed only 64-68% of the time even when attempted (Meta, 2024). No existing analysis has mapped these specific constraints against a real, documented MFS malware incident like SikkahBot.</w:t>
      </w:r>
    </w:p>
    <w:p w14:paraId="5D27FBED" w14:textId="074CCD85" w:rsidR="00B051CC" w:rsidRDefault="00B51FC3">
      <w:pPr>
        <w:pStyle w:val="Heading1"/>
        <w:spacing w:before="360" w:after="140"/>
      </w:pPr>
      <w:r>
        <w:t>3. Research Gap</w:t>
      </w:r>
    </w:p>
    <w:p w14:paraId="534D24E9" w14:textId="77777777" w:rsidR="00AC597A" w:rsidRDefault="00AC597A">
      <w:pPr>
        <w:pStyle w:val="Heading1"/>
        <w:spacing w:before="360" w:after="140"/>
        <w:rPr>
          <w:color w:val="auto"/>
          <w:sz w:val="22"/>
          <w:szCs w:val="22"/>
        </w:rPr>
      </w:pPr>
      <w:r>
        <w:rPr>
          <w:color w:val="auto"/>
          <w:sz w:val="22"/>
          <w:szCs w:val="22"/>
        </w:rPr>
        <w:t>No academic or forensic case analysis of the SikkahBot campaign -- or any comparable Bangladeshi MFS-targeting malware campaign -- exists through a cloud/digital forensic-readiness lens.</w:t>
      </w:r>
    </w:p>
    <w:p w14:paraId="3AB1D364" w14:textId="77777777" w:rsidR="00AC597A" w:rsidRDefault="00AC597A">
      <w:pPr>
        <w:pStyle w:val="Heading1"/>
        <w:spacing w:before="360" w:after="140"/>
        <w:rPr>
          <w:color w:val="auto"/>
          <w:sz w:val="22"/>
          <w:szCs w:val="22"/>
        </w:rPr>
      </w:pPr>
      <w:r>
        <w:rPr>
          <w:color w:val="auto"/>
          <w:sz w:val="22"/>
          <w:szCs w:val="22"/>
        </w:rPr>
        <w:t>The Bangladesh Mobile Financial Services Regulations 2022 and Bangladesh Bank's bank-focused BRPD Circular 05/2023 have not been examined together for their combined (or conflicting) treatment of forensic access to bKash/Nagad's cloud-hosted data.</w:t>
      </w:r>
    </w:p>
    <w:p w14:paraId="03533B5F" w14:textId="77777777" w:rsidR="00AC597A" w:rsidRDefault="00AC597A">
      <w:pPr>
        <w:pStyle w:val="Heading1"/>
        <w:spacing w:before="360" w:after="140"/>
        <w:rPr>
          <w:color w:val="auto"/>
          <w:sz w:val="22"/>
          <w:szCs w:val="22"/>
        </w:rPr>
      </w:pPr>
      <w:r>
        <w:rPr>
          <w:color w:val="auto"/>
          <w:sz w:val="22"/>
          <w:szCs w:val="22"/>
        </w:rPr>
        <w:t>Existing Bangladesh-specific digital forensics scholarship (Haque &amp; Hossain, 2017; Sharmin &amp; Rahman, 2025) addresses general digital forensics and predates or omits cloud- and MFS-malware-specific evidence questions.</w:t>
      </w:r>
    </w:p>
    <w:p w14:paraId="2773F828" w14:textId="77777777" w:rsidR="00AC597A" w:rsidRDefault="00AC597A">
      <w:pPr>
        <w:pStyle w:val="Heading1"/>
        <w:spacing w:before="360" w:after="140"/>
        <w:rPr>
          <w:color w:val="auto"/>
          <w:sz w:val="22"/>
          <w:szCs w:val="22"/>
        </w:rPr>
      </w:pPr>
      <w:r>
        <w:rPr>
          <w:color w:val="auto"/>
          <w:sz w:val="22"/>
          <w:szCs w:val="22"/>
        </w:rPr>
        <w:t>The 2016 Bangladesh Bank heist has been analyzed as an institutional-fragility case (Islam, 2026), but no comparable case analysis exists for the structurally different, distributed-fraud threat pattern that SikkahBot represents.</w:t>
      </w:r>
    </w:p>
    <w:p w14:paraId="60E2B11B" w14:textId="09F8C396" w:rsidR="00B051CC" w:rsidRDefault="00B51FC3">
      <w:pPr>
        <w:pStyle w:val="Heading1"/>
        <w:spacing w:before="360" w:after="140"/>
      </w:pPr>
      <w:r>
        <w:t>4. Research Questions and Objectives</w:t>
      </w:r>
    </w:p>
    <w:p w14:paraId="5B96D04A" w14:textId="77777777" w:rsidR="00AC597A" w:rsidRDefault="00AC597A">
      <w:pPr>
        <w:pStyle w:val="Heading1"/>
        <w:spacing w:before="360" w:after="140"/>
        <w:rPr>
          <w:sz w:val="26"/>
          <w:szCs w:val="26"/>
        </w:rPr>
      </w:pPr>
      <w:r>
        <w:rPr>
          <w:sz w:val="26"/>
          <w:szCs w:val="26"/>
        </w:rPr>
        <w:t>Research Questions</w:t>
      </w:r>
    </w:p>
    <w:p w14:paraId="13ABFD9A" w14:textId="77777777" w:rsidR="00AC597A" w:rsidRDefault="00AC597A">
      <w:pPr>
        <w:pStyle w:val="Heading1"/>
        <w:spacing w:before="360" w:after="140"/>
        <w:rPr>
          <w:sz w:val="26"/>
          <w:szCs w:val="26"/>
        </w:rPr>
      </w:pPr>
      <w:r>
        <w:rPr>
          <w:sz w:val="26"/>
          <w:szCs w:val="26"/>
        </w:rPr>
        <w:t>1. RQ1: What specific digital and cloud-forensic evidence does the SikkahBot campaign generate, and what acquisition challenges does Bangladesh's regulatory and infrastructural context (MFS Regulations 2022, BRPD Circular 05, absence of in-country hyperscale cloud) place on collecting it?</w:t>
      </w:r>
    </w:p>
    <w:p w14:paraId="74877BC4" w14:textId="77777777" w:rsidR="00AC597A" w:rsidRDefault="00AC597A">
      <w:pPr>
        <w:pStyle w:val="Heading1"/>
        <w:spacing w:before="360" w:after="140"/>
        <w:rPr>
          <w:sz w:val="26"/>
          <w:szCs w:val="26"/>
        </w:rPr>
      </w:pPr>
      <w:r>
        <w:rPr>
          <w:sz w:val="26"/>
          <w:szCs w:val="26"/>
        </w:rPr>
        <w:t>2. RQ2: How does Bangladesh's jurisdictional position affect the practical admissibility of this evidence under the Evidence (Amendment) Act 2022's Section 65B certificate requirement?</w:t>
      </w:r>
    </w:p>
    <w:p w14:paraId="3E87FFBF" w14:textId="77777777" w:rsidR="00AC597A" w:rsidRDefault="00AC597A">
      <w:pPr>
        <w:pStyle w:val="Heading1"/>
        <w:spacing w:before="360" w:after="140"/>
        <w:rPr>
          <w:sz w:val="26"/>
          <w:szCs w:val="26"/>
        </w:rPr>
      </w:pPr>
      <w:r>
        <w:rPr>
          <w:sz w:val="26"/>
          <w:szCs w:val="26"/>
        </w:rPr>
        <w:t>3. RQ3: What forensic-readiness recommendations can be drawn from this case for bKash specifically, and cautiously extended to MFS providers more generally?</w:t>
      </w:r>
    </w:p>
    <w:p w14:paraId="60214605" w14:textId="77777777" w:rsidR="00AC597A" w:rsidRDefault="00AC597A">
      <w:pPr>
        <w:pStyle w:val="Heading1"/>
        <w:spacing w:before="360" w:after="140"/>
        <w:rPr>
          <w:sz w:val="26"/>
          <w:szCs w:val="26"/>
        </w:rPr>
      </w:pPr>
      <w:r>
        <w:rPr>
          <w:sz w:val="26"/>
          <w:szCs w:val="26"/>
        </w:rPr>
        <w:t>Objectives</w:t>
      </w:r>
    </w:p>
    <w:p w14:paraId="20BCBA01" w14:textId="77777777" w:rsidR="00AC597A" w:rsidRDefault="00AC597A">
      <w:pPr>
        <w:pStyle w:val="Heading1"/>
        <w:spacing w:before="360" w:after="140"/>
        <w:rPr>
          <w:sz w:val="26"/>
          <w:szCs w:val="26"/>
        </w:rPr>
      </w:pPr>
      <w:r>
        <w:rPr>
          <w:sz w:val="26"/>
          <w:szCs w:val="26"/>
        </w:rPr>
        <w:t>To reconstruct the SikkahBot campaign's evidence trail from publicly documented technical reporting (Cyble Research and Intelligence Labs, 2025) and map it against Bangladesh's legal and regulatory framework.</w:t>
      </w:r>
    </w:p>
    <w:p w14:paraId="298D6640" w14:textId="77777777" w:rsidR="00AC597A" w:rsidRDefault="00AC597A">
      <w:pPr>
        <w:pStyle w:val="Heading1"/>
        <w:spacing w:before="360" w:after="140"/>
        <w:rPr>
          <w:sz w:val="26"/>
          <w:szCs w:val="26"/>
        </w:rPr>
      </w:pPr>
      <w:r>
        <w:rPr>
          <w:sz w:val="26"/>
          <w:szCs w:val="26"/>
        </w:rPr>
        <w:t>To identify the specific evidence-acquisition and admissibility barriers this mapping reveals.</w:t>
      </w:r>
    </w:p>
    <w:p w14:paraId="705AF20B" w14:textId="77777777" w:rsidR="00AC597A" w:rsidRDefault="00AC597A">
      <w:pPr>
        <w:pStyle w:val="Heading1"/>
        <w:spacing w:before="360" w:after="140"/>
        <w:rPr>
          <w:sz w:val="26"/>
          <w:szCs w:val="26"/>
        </w:rPr>
      </w:pPr>
      <w:r>
        <w:rPr>
          <w:sz w:val="26"/>
          <w:szCs w:val="26"/>
        </w:rPr>
        <w:t>To sanity-check these barriers through brief, informal consultation with available forensic or MFS ICT practitioners, explicitly scoped as consultation rather than a formal validated study given the one-month timeframe.</w:t>
      </w:r>
    </w:p>
    <w:p w14:paraId="1D93FFDF" w14:textId="77777777" w:rsidR="00AC597A" w:rsidRDefault="00AC597A">
      <w:pPr>
        <w:pStyle w:val="Heading1"/>
        <w:spacing w:before="360" w:after="140"/>
        <w:rPr>
          <w:sz w:val="26"/>
          <w:szCs w:val="26"/>
        </w:rPr>
      </w:pPr>
      <w:r>
        <w:rPr>
          <w:sz w:val="26"/>
          <w:szCs w:val="26"/>
        </w:rPr>
        <w:t>To propose targeted, case-grounded forensic-readiness recommendations for bKash, with cautious extension to MFS providers generally.</w:t>
      </w:r>
    </w:p>
    <w:p w14:paraId="2A98675F" w14:textId="01CFD7BC" w:rsidR="00B051CC" w:rsidRDefault="00B51FC3">
      <w:pPr>
        <w:pStyle w:val="Heading1"/>
        <w:spacing w:before="360" w:after="140"/>
      </w:pPr>
      <w:r>
        <w:t>5. Literature Review (Summary)</w:t>
      </w:r>
    </w:p>
    <w:p w14:paraId="1CF3E5E0" w14:textId="77777777" w:rsidR="00AC597A" w:rsidRDefault="00AC597A">
      <w:pPr>
        <w:pStyle w:val="Heading1"/>
        <w:spacing w:before="360" w:after="140"/>
        <w:rPr>
          <w:color w:val="auto"/>
          <w:sz w:val="22"/>
          <w:szCs w:val="22"/>
        </w:rPr>
      </w:pPr>
      <w:r>
        <w:rPr>
          <w:color w:val="auto"/>
          <w:sz w:val="22"/>
          <w:szCs w:val="22"/>
        </w:rPr>
        <w:t xml:space="preserve">This proposal builds on two literature bases, detailed fully in the accompanying Literature Summary Report. The first is the international cloud forensics literature already synthesized in a completed PRISMA-guided systematic review (48 sources), which established a four-dimensional taxonomy of </w:t>
      </w:r>
      <w:r>
        <w:rPr>
          <w:color w:val="auto"/>
          <w:sz w:val="22"/>
          <w:szCs w:val="22"/>
        </w:rPr>
        <w:lastRenderedPageBreak/>
        <w:t>evidence acquisition, evidence trustworthiness, legal/jurisdictional compliance, and standardization. That review provides the technical and conceptual vocabulary this proposal applies to a single documented incident.</w:t>
      </w:r>
    </w:p>
    <w:p w14:paraId="77761576" w14:textId="77777777" w:rsidR="00AC597A" w:rsidRDefault="00AC597A">
      <w:pPr>
        <w:pStyle w:val="Heading1"/>
        <w:spacing w:before="360" w:after="140"/>
        <w:rPr>
          <w:color w:val="auto"/>
          <w:sz w:val="22"/>
          <w:szCs w:val="22"/>
        </w:rPr>
      </w:pPr>
      <w:r>
        <w:rPr>
          <w:color w:val="auto"/>
          <w:sz w:val="22"/>
          <w:szCs w:val="22"/>
        </w:rPr>
        <w:t>The second, newly assembled literature base is Bangladesh-specific, spanning: primary legislation and regulation (the Evidence (Amendment) Act 2022, the Cyber Security Act 2023, the Personal Data Protection Ordinance 2025, the Bangladesh Mobile Financial Services Regulations 2022, and Bangladesh Bank's bank-focused cloud computing and ICT security guidelines); institutional and capacity assessments (Barkat et al., 2020; Sharmin &amp; Rahman, 2025; Uzzal, 2025); the SikkahBot campaign itself (Cyble Research and Intelligence Labs, 2025); a comparative reference point in the 2016 Bangladesh Bank heist (Islam, 2026); and documentation of Bangladesh's jurisdictional position on international cybercrime cooperation (Council of Europe Octopus project; UNODC, 2024; Meta transparency reporting, 2024). Notably, no source in either literature base analyzes SikkahBot or a comparable case through a forensic-readiness lens, which is the gap this proposal addresses.</w:t>
      </w:r>
    </w:p>
    <w:p w14:paraId="53E03AD6" w14:textId="1F18049F" w:rsidR="00B051CC" w:rsidRDefault="00B51FC3">
      <w:pPr>
        <w:pStyle w:val="Heading1"/>
        <w:spacing w:before="360" w:after="140"/>
      </w:pPr>
      <w:r>
        <w:t>6. Proposed Methodology</w:t>
      </w:r>
    </w:p>
    <w:p w14:paraId="23BA9E81" w14:textId="77777777" w:rsidR="00AC597A" w:rsidRDefault="00AC597A">
      <w:pPr>
        <w:pStyle w:val="Heading1"/>
        <w:spacing w:before="360" w:after="140"/>
        <w:rPr>
          <w:sz w:val="26"/>
          <w:szCs w:val="26"/>
        </w:rPr>
      </w:pPr>
      <w:r>
        <w:rPr>
          <w:sz w:val="26"/>
          <w:szCs w:val="26"/>
        </w:rPr>
        <w:t>Phase 1 -- Regulatory and Case Documentation Analysis (Week 1)</w:t>
      </w:r>
    </w:p>
    <w:p w14:paraId="1B89D744" w14:textId="77777777" w:rsidR="00AC597A" w:rsidRDefault="00AC597A">
      <w:pPr>
        <w:pStyle w:val="Heading1"/>
        <w:spacing w:before="360" w:after="140"/>
        <w:rPr>
          <w:sz w:val="26"/>
          <w:szCs w:val="26"/>
        </w:rPr>
      </w:pPr>
      <w:r>
        <w:rPr>
          <w:sz w:val="26"/>
          <w:szCs w:val="26"/>
        </w:rPr>
        <w:t>Direct analysis of primary legal and regulatory texts (Bangladesh Mobile Financial Services Regulations 2022, BRPD Circular 05/2023, Evidence (Amendment) Act 2022, Cyber Security Act 2023, Personal Data Protection Ordinance 2025) alongside the full technical documentation of the SikkahBot campaign (Cyble Research and Intelligence Labs, 2025, and corroborating industry reporting) to establish exactly what evidence the campaign generates and what each regulatory text does or does not say about accessing it.</w:t>
      </w:r>
    </w:p>
    <w:p w14:paraId="25706B08" w14:textId="77777777" w:rsidR="00AC597A" w:rsidRDefault="00AC597A">
      <w:pPr>
        <w:pStyle w:val="Heading1"/>
        <w:spacing w:before="360" w:after="140"/>
        <w:rPr>
          <w:sz w:val="26"/>
          <w:szCs w:val="26"/>
        </w:rPr>
      </w:pPr>
      <w:r>
        <w:rPr>
          <w:sz w:val="26"/>
          <w:szCs w:val="26"/>
        </w:rPr>
        <w:t>Phase 2 -- Evidence-Trail Mapping (Week 2)</w:t>
      </w:r>
    </w:p>
    <w:p w14:paraId="1AD08737" w14:textId="77777777" w:rsidR="00AC597A" w:rsidRDefault="00AC597A">
      <w:pPr>
        <w:pStyle w:val="Heading1"/>
        <w:spacing w:before="360" w:after="140"/>
        <w:rPr>
          <w:sz w:val="26"/>
          <w:szCs w:val="26"/>
        </w:rPr>
      </w:pPr>
      <w:r>
        <w:rPr>
          <w:sz w:val="26"/>
          <w:szCs w:val="26"/>
        </w:rPr>
        <w:t>Systematically map each category of evidence identified in Phase 1 (device-level artifacts, USSD/SMS gateway logs, cloud-hosted transaction records) against the specific acquisition and admissibility barrier it faces under Bangladesh's legal framework, producing a structured gap analysis.</w:t>
      </w:r>
    </w:p>
    <w:p w14:paraId="4801A4E2" w14:textId="77777777" w:rsidR="00AC597A" w:rsidRDefault="00AC597A">
      <w:pPr>
        <w:pStyle w:val="Heading1"/>
        <w:spacing w:before="360" w:after="140"/>
        <w:rPr>
          <w:sz w:val="26"/>
          <w:szCs w:val="26"/>
        </w:rPr>
      </w:pPr>
      <w:r>
        <w:rPr>
          <w:sz w:val="26"/>
          <w:szCs w:val="26"/>
        </w:rPr>
        <w:t>Phase 3 -- Practitioner Consultation and Framework Synthesis (Week 3)</w:t>
      </w:r>
    </w:p>
    <w:p w14:paraId="26A34D62" w14:textId="77777777" w:rsidR="00AC597A" w:rsidRDefault="00AC597A">
      <w:pPr>
        <w:pStyle w:val="Heading1"/>
        <w:spacing w:before="360" w:after="140"/>
        <w:rPr>
          <w:sz w:val="26"/>
          <w:szCs w:val="26"/>
        </w:rPr>
      </w:pPr>
      <w:r>
        <w:rPr>
          <w:sz w:val="26"/>
          <w:szCs w:val="26"/>
        </w:rPr>
        <w:t>Brief, informal consultation (structured questions, not a full interview study) with 2-4 available contacts -- forensic practitioners or MFS ICT/compliance contacts -- to sanity-check the Phase 2 gap analysis against practical experience, followed by synthesis into a small set of concrete, case-grounded readiness recommendations.</w:t>
      </w:r>
    </w:p>
    <w:p w14:paraId="5DFCEE71" w14:textId="77777777" w:rsidR="00AC597A" w:rsidRDefault="00AC597A">
      <w:pPr>
        <w:pStyle w:val="Heading1"/>
        <w:spacing w:before="360" w:after="140"/>
        <w:rPr>
          <w:sz w:val="26"/>
          <w:szCs w:val="26"/>
        </w:rPr>
      </w:pPr>
      <w:r>
        <w:rPr>
          <w:sz w:val="26"/>
          <w:szCs w:val="26"/>
        </w:rPr>
        <w:t>Phase 4 -- Retrospective Assessment and Write-Up (Week 4)</w:t>
      </w:r>
    </w:p>
    <w:p w14:paraId="0B9D5DD4" w14:textId="77777777" w:rsidR="00AC597A" w:rsidRDefault="00AC597A">
      <w:pPr>
        <w:pStyle w:val="Heading1"/>
        <w:spacing w:before="360" w:after="140"/>
        <w:rPr>
          <w:sz w:val="26"/>
          <w:szCs w:val="26"/>
        </w:rPr>
      </w:pPr>
      <w:r>
        <w:rPr>
          <w:sz w:val="26"/>
          <w:szCs w:val="26"/>
        </w:rPr>
        <w:t xml:space="preserve">Assess, based on the completed gap analysis and consultation, whether the proposed recommendations </w:t>
      </w:r>
      <w:r>
        <w:rPr>
          <w:sz w:val="26"/>
          <w:szCs w:val="26"/>
        </w:rPr>
        <w:lastRenderedPageBreak/>
        <w:t>would plausibly have improved evidence handling had they existed during the SikkahBot campaign's response, then compile the full research article.</w:t>
      </w:r>
    </w:p>
    <w:p w14:paraId="229A5252" w14:textId="79960727" w:rsidR="00B051CC" w:rsidRDefault="00B51FC3">
      <w:pPr>
        <w:pStyle w:val="Heading1"/>
        <w:spacing w:before="360" w:after="140"/>
      </w:pPr>
      <w:r>
        <w:t>7. Expected Contribution and Significance</w:t>
      </w:r>
    </w:p>
    <w:p w14:paraId="454DF96D" w14:textId="77777777" w:rsidR="00AC597A" w:rsidRDefault="00AC597A">
      <w:pPr>
        <w:pStyle w:val="Heading1"/>
        <w:spacing w:before="360" w:after="140"/>
        <w:rPr>
          <w:color w:val="auto"/>
          <w:sz w:val="22"/>
          <w:szCs w:val="22"/>
        </w:rPr>
      </w:pPr>
      <w:r>
        <w:rPr>
          <w:color w:val="auto"/>
          <w:sz w:val="22"/>
          <w:szCs w:val="22"/>
        </w:rPr>
        <w:t>Academic: the first documented forensic case analysis of a Bangladeshi MFS-targeting malware campaign, grounding future sector-wide framework work in a real incident rather than a hypothetical one.</w:t>
      </w:r>
    </w:p>
    <w:p w14:paraId="75AE383E" w14:textId="77777777" w:rsidR="00AC597A" w:rsidRDefault="00AC597A">
      <w:pPr>
        <w:pStyle w:val="Heading1"/>
        <w:spacing w:before="360" w:after="140"/>
        <w:rPr>
          <w:color w:val="auto"/>
          <w:sz w:val="22"/>
          <w:szCs w:val="22"/>
        </w:rPr>
      </w:pPr>
      <w:r>
        <w:rPr>
          <w:color w:val="auto"/>
          <w:sz w:val="22"/>
          <w:szCs w:val="22"/>
        </w:rPr>
        <w:t>Regulatory: a concrete, evidence-based account of how the MFS Regulations 2022 and BRPD Circular 05 do or do not address forensic access, usable by Bangladesh Bank's Payment Systems Department.</w:t>
      </w:r>
    </w:p>
    <w:p w14:paraId="551AAB0E" w14:textId="77777777" w:rsidR="00AC597A" w:rsidRDefault="00AC597A">
      <w:pPr>
        <w:pStyle w:val="Heading1"/>
        <w:spacing w:before="360" w:after="140"/>
        <w:rPr>
          <w:color w:val="auto"/>
          <w:sz w:val="22"/>
          <w:szCs w:val="22"/>
        </w:rPr>
      </w:pPr>
      <w:r>
        <w:rPr>
          <w:color w:val="auto"/>
          <w:sz w:val="22"/>
          <w:szCs w:val="22"/>
        </w:rPr>
        <w:t>Institutional: case-specific input for bKash's and Nagad's own incident-response practice, and for CID's Digital Forensics &amp; Cyber Police Centre.</w:t>
      </w:r>
    </w:p>
    <w:p w14:paraId="3DF04BD3" w14:textId="77777777" w:rsidR="00AC597A" w:rsidRDefault="00AC597A">
      <w:pPr>
        <w:pStyle w:val="Heading1"/>
        <w:spacing w:before="360" w:after="140"/>
        <w:rPr>
          <w:color w:val="auto"/>
          <w:sz w:val="22"/>
          <w:szCs w:val="22"/>
        </w:rPr>
      </w:pPr>
      <w:r>
        <w:rPr>
          <w:color w:val="auto"/>
          <w:sz w:val="22"/>
          <w:szCs w:val="22"/>
        </w:rPr>
        <w:t>National relevance: a concrete, current example supporting Bangladesh's Digital Bangladesh/Smart Bangladesh cybersecurity priorities.</w:t>
      </w:r>
    </w:p>
    <w:p w14:paraId="36F22141" w14:textId="7B210CAD" w:rsidR="00B051CC" w:rsidRDefault="00B51FC3">
      <w:pPr>
        <w:pStyle w:val="Heading1"/>
        <w:spacing w:before="360" w:after="140"/>
      </w:pPr>
      <w:r>
        <w:t>8. Scope and Limitations</w:t>
      </w:r>
    </w:p>
    <w:p w14:paraId="0D65803C" w14:textId="77777777" w:rsidR="00AC597A" w:rsidRDefault="00AC597A">
      <w:pPr>
        <w:pStyle w:val="Heading1"/>
        <w:spacing w:before="360" w:after="140"/>
        <w:rPr>
          <w:color w:val="auto"/>
          <w:sz w:val="22"/>
          <w:szCs w:val="22"/>
        </w:rPr>
      </w:pPr>
      <w:r>
        <w:rPr>
          <w:color w:val="auto"/>
          <w:sz w:val="22"/>
          <w:szCs w:val="22"/>
        </w:rPr>
        <w:t>This proposal is deliberately scoped to a single documented case -- the SikkahBot campaign against bKash and Nagad users -- rather than a sector-wide MFS framework or the banking sector's institutional cyber-heist scenario, both of which are out of scope and referenced only for comparison. This narrowing is what makes the project achievable with genuine rigor within a one-month timeframe. Practitioner input (Phase 3) is explicitly a brief, informal consultation with a small number of available contacts, not a structured, sampled interview study -- findings from this step should be read as a plausibility check, not a validated result. Primary regulatory texts will be read directly during Phase 1 rather than relied upon secondhand. Because the analysis is grounded in one case, its readiness recommendations are directly applicable to bKash and, by campaign design, Nagad, and are extended to MFS providers generally only as a cautious, explicitly-flagged generalization for future work to test -- not as this project's own claim.</w:t>
      </w:r>
    </w:p>
    <w:p w14:paraId="533B8C0B" w14:textId="1512CD95" w:rsidR="00B051CC" w:rsidRDefault="00B51FC3">
      <w:pPr>
        <w:pStyle w:val="Heading1"/>
        <w:spacing w:before="360" w:after="140"/>
      </w:pPr>
      <w:r>
        <w:t>9. Work Plan and Timeline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000"/>
      </w:tblGrid>
      <w:tr w:rsidR="00B051CC" w14:paraId="25975951" w14:textId="77777777">
        <w:tc>
          <w:tcPr>
            <w:tcW w:w="2000" w:type="dxa"/>
            <w:shd w:val="clear" w:color="auto" w:fill="111C42"/>
            <w:vAlign w:val="center"/>
          </w:tcPr>
          <w:p w14:paraId="2E786402" w14:textId="77777777" w:rsidR="00B051CC" w:rsidRDefault="00B51FC3">
            <w:r>
              <w:rPr>
                <w:b/>
                <w:bCs/>
                <w:color w:val="FFFFFF"/>
              </w:rPr>
              <w:t>Phase</w:t>
            </w:r>
          </w:p>
        </w:tc>
        <w:tc>
          <w:tcPr>
            <w:tcW w:w="5000" w:type="dxa"/>
            <w:shd w:val="clear" w:color="auto" w:fill="111C42"/>
            <w:vAlign w:val="center"/>
          </w:tcPr>
          <w:p w14:paraId="5BA15B52" w14:textId="77777777" w:rsidR="00B051CC" w:rsidRDefault="00B51FC3">
            <w:r>
              <w:rPr>
                <w:b/>
                <w:bCs/>
                <w:color w:val="FFFFFF"/>
              </w:rPr>
              <w:t>Activity</w:t>
            </w:r>
          </w:p>
        </w:tc>
        <w:tc>
          <w:tcPr>
            <w:tcW w:w="2000" w:type="dxa"/>
            <w:shd w:val="clear" w:color="auto" w:fill="111C42"/>
            <w:vAlign w:val="center"/>
          </w:tcPr>
          <w:p w14:paraId="58393446" w14:textId="77777777" w:rsidR="00B051CC" w:rsidRDefault="00B51FC3">
            <w:r>
              <w:rPr>
                <w:b/>
                <w:bCs/>
                <w:color w:val="FFFFFF"/>
              </w:rPr>
              <w:t>Weeks</w:t>
            </w:r>
          </w:p>
        </w:tc>
      </w:tr>
      <w:tr w:rsidR="00B051CC" w14:paraId="0EB5D000" w14:textId="77777777">
        <w:tc>
          <w:tcPr>
            <w:tcW w:w="2000" w:type="dxa"/>
            <w:vAlign w:val="center"/>
          </w:tcPr>
          <w:p w14:paraId="3A4A43E1" w14:textId="77777777" w:rsidR="00B051CC" w:rsidRDefault="00B51FC3">
            <w:r>
              <w:rPr>
                <w:color w:val="000000"/>
              </w:rPr>
              <w:t>Completed</w:t>
            </w:r>
          </w:p>
        </w:tc>
        <w:tc>
          <w:tcPr>
            <w:tcW w:w="5000" w:type="dxa"/>
            <w:vAlign w:val="center"/>
          </w:tcPr>
          <w:p w14:paraId="4E1AE534" w14:textId="77777777" w:rsidR="00B051CC" w:rsidRDefault="00B51FC3">
            <w:r>
              <w:rPr>
                <w:color w:val="000000"/>
              </w:rPr>
              <w:t>PRISMA-guided systematic review of global cloud forensics literature (48 sources); four-dimensional taxonomy; comparative analysis</w:t>
            </w:r>
          </w:p>
        </w:tc>
        <w:tc>
          <w:tcPr>
            <w:tcW w:w="2000" w:type="dxa"/>
            <w:vAlign w:val="center"/>
          </w:tcPr>
          <w:p w14:paraId="78D7ED41" w14:textId="77777777" w:rsidR="00B051CC" w:rsidRDefault="00B51FC3">
            <w:r>
              <w:rPr>
                <w:color w:val="000000"/>
              </w:rPr>
              <w:t>Prior to this proposal</w:t>
            </w:r>
          </w:p>
        </w:tc>
      </w:tr>
      <w:tr w:rsidR="00B051CC" w14:paraId="4BAFF77D" w14:textId="77777777">
        <w:tc>
          <w:tcPr>
            <w:tcW w:w="2000" w:type="dxa"/>
            <w:vAlign w:val="center"/>
          </w:tcPr>
          <w:p w14:paraId="6FF94D5D" w14:textId="1DBDE41F" w:rsidR="00B051CC" w:rsidRDefault="00AC597A">
            <w:r>
              <w:rPr>
                <w:color w:val="000000"/>
              </w:rPr>
              <w:t>1</w:t>
            </w:r>
          </w:p>
        </w:tc>
        <w:tc>
          <w:tcPr>
            <w:tcW w:w="5000" w:type="dxa"/>
            <w:vAlign w:val="center"/>
          </w:tcPr>
          <w:p w14:paraId="4A19DFEC" w14:textId="2EAC7566" w:rsidR="00B051CC" w:rsidRDefault="00AC597A">
            <w:r>
              <w:rPr>
                <w:color w:val="000000"/>
              </w:rPr>
              <w:t>Regulatory and case documentation analysis</w:t>
            </w:r>
          </w:p>
        </w:tc>
        <w:tc>
          <w:tcPr>
            <w:tcW w:w="2000" w:type="dxa"/>
            <w:vAlign w:val="center"/>
          </w:tcPr>
          <w:p w14:paraId="5DB03361" w14:textId="6059C69C" w:rsidR="00B051CC" w:rsidRDefault="00AC597A">
            <w:r>
              <w:rPr>
                <w:color w:val="000000"/>
              </w:rPr>
              <w:t>Week 1</w:t>
            </w:r>
          </w:p>
        </w:tc>
      </w:tr>
      <w:tr w:rsidR="00B051CC" w14:paraId="01170C15" w14:textId="77777777">
        <w:tc>
          <w:tcPr>
            <w:tcW w:w="2000" w:type="dxa"/>
            <w:vAlign w:val="center"/>
          </w:tcPr>
          <w:p w14:paraId="38B65BCA" w14:textId="0075F0EB" w:rsidR="00B051CC" w:rsidRDefault="00AC597A">
            <w:r>
              <w:rPr>
                <w:color w:val="000000"/>
              </w:rPr>
              <w:t>2</w:t>
            </w:r>
          </w:p>
        </w:tc>
        <w:tc>
          <w:tcPr>
            <w:tcW w:w="5000" w:type="dxa"/>
            <w:vAlign w:val="center"/>
          </w:tcPr>
          <w:p w14:paraId="46EC2501" w14:textId="19652E20" w:rsidR="00B051CC" w:rsidRDefault="00AC597A">
            <w:r>
              <w:rPr>
                <w:color w:val="000000"/>
              </w:rPr>
              <w:t>Evidence-trail mapping / gap analysis</w:t>
            </w:r>
          </w:p>
        </w:tc>
        <w:tc>
          <w:tcPr>
            <w:tcW w:w="2000" w:type="dxa"/>
            <w:vAlign w:val="center"/>
          </w:tcPr>
          <w:p w14:paraId="6C548249" w14:textId="00D1FF6C" w:rsidR="00B051CC" w:rsidRDefault="00AC597A">
            <w:r>
              <w:rPr>
                <w:color w:val="000000"/>
              </w:rPr>
              <w:t>Week 2</w:t>
            </w:r>
          </w:p>
        </w:tc>
      </w:tr>
      <w:tr w:rsidR="00B051CC" w14:paraId="5369D54D" w14:textId="77777777">
        <w:tc>
          <w:tcPr>
            <w:tcW w:w="2000" w:type="dxa"/>
            <w:vAlign w:val="center"/>
          </w:tcPr>
          <w:p w14:paraId="6C3721EC" w14:textId="2A4B6BD7" w:rsidR="00B051CC" w:rsidRDefault="00AC597A">
            <w:r>
              <w:rPr>
                <w:color w:val="000000"/>
              </w:rPr>
              <w:t>3</w:t>
            </w:r>
          </w:p>
        </w:tc>
        <w:tc>
          <w:tcPr>
            <w:tcW w:w="5000" w:type="dxa"/>
            <w:vAlign w:val="center"/>
          </w:tcPr>
          <w:p w14:paraId="1A1D3F97" w14:textId="5FD85D5A" w:rsidR="00B051CC" w:rsidRDefault="00AC597A">
            <w:r>
              <w:rPr>
                <w:color w:val="000000"/>
              </w:rPr>
              <w:t>Practitioner consultation and framework synthesis</w:t>
            </w:r>
          </w:p>
        </w:tc>
        <w:tc>
          <w:tcPr>
            <w:tcW w:w="2000" w:type="dxa"/>
            <w:vAlign w:val="center"/>
          </w:tcPr>
          <w:p w14:paraId="6F1D559A" w14:textId="3FFEA9F0" w:rsidR="00B051CC" w:rsidRDefault="00AC597A">
            <w:r>
              <w:rPr>
                <w:color w:val="000000"/>
              </w:rPr>
              <w:t>Week 3</w:t>
            </w:r>
          </w:p>
        </w:tc>
      </w:tr>
      <w:tr w:rsidR="00B051CC" w14:paraId="28CAD14E" w14:textId="77777777">
        <w:tc>
          <w:tcPr>
            <w:tcW w:w="2000" w:type="dxa"/>
            <w:vAlign w:val="center"/>
          </w:tcPr>
          <w:p w14:paraId="1E28DB98" w14:textId="15142A5F" w:rsidR="00B051CC" w:rsidRDefault="00AC597A">
            <w:r>
              <w:rPr>
                <w:color w:val="000000"/>
              </w:rPr>
              <w:t>4</w:t>
            </w:r>
          </w:p>
        </w:tc>
        <w:tc>
          <w:tcPr>
            <w:tcW w:w="5000" w:type="dxa"/>
            <w:vAlign w:val="center"/>
          </w:tcPr>
          <w:p w14:paraId="207D09EC" w14:textId="3A3DFDB8" w:rsidR="00B051CC" w:rsidRDefault="00AC597A">
            <w:r>
              <w:rPr>
                <w:color w:val="000000"/>
              </w:rPr>
              <w:t>Retrospective assessment and write-up</w:t>
            </w:r>
          </w:p>
        </w:tc>
        <w:tc>
          <w:tcPr>
            <w:tcW w:w="2000" w:type="dxa"/>
            <w:vAlign w:val="center"/>
          </w:tcPr>
          <w:p w14:paraId="77F262F2" w14:textId="3A1F2E93" w:rsidR="00B051CC" w:rsidRDefault="00AC597A">
            <w:r>
              <w:rPr>
                <w:color w:val="000000"/>
              </w:rPr>
              <w:t>Week 4</w:t>
            </w:r>
          </w:p>
        </w:tc>
      </w:tr>
    </w:tbl>
    <w:p w14:paraId="565EEDC7" w14:textId="77777777" w:rsidR="00B051CC" w:rsidRDefault="00B051CC">
      <w:pPr>
        <w:spacing w:after="300"/>
      </w:pPr>
    </w:p>
    <w:p w14:paraId="12D4BEC4" w14:textId="77777777" w:rsidR="00B051CC" w:rsidRDefault="00B51FC3">
      <w:pPr>
        <w:pageBreakBefore/>
      </w:pPr>
      <w:r>
        <w:lastRenderedPageBreak/>
        <w:br/>
      </w:r>
    </w:p>
    <w:p w14:paraId="06A72605" w14:textId="77777777" w:rsidR="00B051CC" w:rsidRDefault="00B51FC3">
      <w:pPr>
        <w:pStyle w:val="Heading1"/>
        <w:spacing w:before="360" w:after="140"/>
      </w:pPr>
      <w:r>
        <w:t>References</w:t>
      </w:r>
    </w:p>
    <w:p w14:paraId="556A45DD" w14:textId="77777777" w:rsidR="00B051CC" w:rsidRDefault="00B51FC3">
      <w:pPr>
        <w:spacing w:after="140" w:line="280" w:lineRule="auto"/>
        <w:ind w:left="360" w:hanging="360"/>
      </w:pPr>
      <w:r>
        <w:t>Barkat, A., Kashem, M. B., Mahiyuddin, G., Nurunnahar, Banarjee, S., Ahamed, F. M., Ali, M. M., Chakma, C., &amp; Shahanshah, T. M. (2020). A study on forensic services in criminal investigation in Bangladesh: Impacts, challenges and capacity building issues. Human Development Research Centre, prepared for Bangladesh Police CID.</w:t>
      </w:r>
    </w:p>
    <w:p w14:paraId="1E8D00D1" w14:textId="77777777" w:rsidR="0083131F" w:rsidRDefault="0083131F">
      <w:pPr>
        <w:spacing w:after="140" w:line="280" w:lineRule="auto"/>
        <w:ind w:left="360" w:hanging="360"/>
      </w:pPr>
      <w:r>
        <w:t>Bangladesh Bank. (2022). Bangladesh Mobile Financial Services (MFS) Regulations, 2022 (Circular No. 04/2022). Payment Systems Department.</w:t>
      </w:r>
    </w:p>
    <w:p w14:paraId="69070407" w14:textId="7AEE2EF9" w:rsidR="00B051CC" w:rsidRDefault="00B51FC3">
      <w:pPr>
        <w:spacing w:after="140" w:line="280" w:lineRule="auto"/>
        <w:ind w:left="360" w:hanging="360"/>
      </w:pPr>
      <w:r>
        <w:t>Bangladesh Bank. (2023). Guidelines on cloud computing (BRPD Circular No. 05). Banking Regulation and Policy Department.</w:t>
      </w:r>
    </w:p>
    <w:p w14:paraId="4D326B17" w14:textId="77777777" w:rsidR="00B051CC" w:rsidRDefault="00B51FC3">
      <w:pPr>
        <w:spacing w:after="140" w:line="280" w:lineRule="auto"/>
        <w:ind w:left="360" w:hanging="360"/>
      </w:pPr>
      <w:r>
        <w:t>Bangladesh Bank. (2023). Guideline on ICT security (Version 4.0).</w:t>
      </w:r>
    </w:p>
    <w:p w14:paraId="22433670" w14:textId="77777777" w:rsidR="00B051CC" w:rsidRDefault="00B51FC3">
      <w:pPr>
        <w:spacing w:after="140" w:line="280" w:lineRule="auto"/>
        <w:ind w:left="360" w:hanging="360"/>
      </w:pPr>
      <w:r>
        <w:t>Council of Europe. (n.d.). Bangladesh — Octopus Cybercrime Community country profile.</w:t>
      </w:r>
    </w:p>
    <w:p w14:paraId="1C1F28F7" w14:textId="77777777" w:rsidR="0083131F" w:rsidRDefault="0083131F">
      <w:pPr>
        <w:spacing w:after="140" w:line="280" w:lineRule="auto"/>
        <w:ind w:left="360" w:hanging="360"/>
      </w:pPr>
      <w:r>
        <w:t>Cyble Research and Intelligence Labs. (2025). SikkahBot malware campaign defraud</w:t>
      </w:r>
      <w:r>
        <w:lastRenderedPageBreak/>
        <w:t>s students in Bangladesh. Cyble Threat Intelligence.</w:t>
      </w:r>
    </w:p>
    <w:p w14:paraId="078C1B71" w14:textId="22651D3B" w:rsidR="00B051CC" w:rsidRDefault="00B51FC3">
      <w:pPr>
        <w:spacing w:after="140" w:line="280" w:lineRule="auto"/>
        <w:ind w:left="360" w:hanging="360"/>
      </w:pPr>
      <w:r>
        <w:t>Government of Bangladesh. (2022). Evidence (Amendment) Act, 2022 (Act No. XX of 2022).</w:t>
      </w:r>
    </w:p>
    <w:p w14:paraId="25056CBC" w14:textId="77777777" w:rsidR="00B051CC" w:rsidRDefault="00B51FC3">
      <w:pPr>
        <w:spacing w:after="140" w:line="280" w:lineRule="auto"/>
        <w:ind w:left="360" w:hanging="360"/>
      </w:pPr>
      <w:r>
        <w:t>Government of Bangladesh. (2023). Cyber Security Act, 2023.</w:t>
      </w:r>
    </w:p>
    <w:p w14:paraId="5C2921FE" w14:textId="77777777" w:rsidR="00B051CC" w:rsidRDefault="00B51FC3">
      <w:pPr>
        <w:spacing w:after="140" w:line="280" w:lineRule="auto"/>
        <w:ind w:left="360" w:hanging="360"/>
      </w:pPr>
      <w:r>
        <w:t>Government of Bangladesh. (2025). Personal Data Protection Ordinance, 2025.</w:t>
      </w:r>
    </w:p>
    <w:p w14:paraId="3109E1DE" w14:textId="77777777" w:rsidR="00B051CC" w:rsidRDefault="00B51FC3">
      <w:pPr>
        <w:spacing w:after="140" w:line="280" w:lineRule="auto"/>
        <w:ind w:left="360" w:hanging="360"/>
      </w:pPr>
      <w:r>
        <w:t>Haque, M. M., &amp; Hossain, S. A. (2017). National digital forensics framework for Bangladesh. In Proceedings of the 2017 3rd International Conference on Electrical Information and Communication Technology (EICT). IEEE.</w:t>
      </w:r>
    </w:p>
    <w:p w14:paraId="632ADE42" w14:textId="77777777" w:rsidR="00B051CC" w:rsidRDefault="00B51FC3">
      <w:pPr>
        <w:spacing w:after="140" w:line="280" w:lineRule="auto"/>
        <w:ind w:left="360" w:hanging="360"/>
      </w:pPr>
      <w:r>
        <w:t>Islam, M. S. (2026). Institutional fragility and cross-border cyber risk in financial systems: Insights from the 2016 Bangladesh Bank heist. Computers, 15(7), 432. https://doi.org/10.3390/computers15070432</w:t>
      </w:r>
    </w:p>
    <w:p w14:paraId="7E9D774B" w14:textId="77777777" w:rsidR="00B051CC" w:rsidRDefault="00B51FC3">
      <w:pPr>
        <w:spacing w:after="140" w:line="280" w:lineRule="auto"/>
        <w:ind w:left="360" w:hanging="360"/>
      </w:pPr>
      <w:r>
        <w:t>Karagiannis, C., &amp; Vergidis, K. (2021). Digital evidence and cloud forensics: Contemporary legal challenges and the power of disposal. Information, 12(5), 181.</w:t>
      </w:r>
    </w:p>
    <w:p w14:paraId="3005AB38" w14:textId="77777777" w:rsidR="00B051CC" w:rsidRDefault="00B51FC3">
      <w:pPr>
        <w:spacing w:after="140" w:line="280" w:lineRule="auto"/>
        <w:ind w:left="360" w:hanging="360"/>
      </w:pPr>
      <w:r>
        <w:t>Rahman, M. M., &amp; Kaiser, M. S. (2025). Technological advancement and the rise of cybercrime in Bangladesh: Trends, challenges, and policy responses. In The Palgrave Handbook of Global Social Problems. Springer Nature.</w:t>
      </w:r>
    </w:p>
    <w:p w14:paraId="648652FE" w14:textId="77777777" w:rsidR="00B051CC" w:rsidRDefault="00B51FC3">
      <w:pPr>
        <w:spacing w:after="140" w:line="280" w:lineRule="auto"/>
        <w:ind w:left="360" w:hanging="360"/>
      </w:pPr>
      <w:r>
        <w:t>Sharmin, K., &amp; Rahman, M. I. (2025). Digital forensics empowerment of Bangladesh Police: A comprehensive analysis of its role in preventing crimes and enhancing investigative capabilities. Bangladesh Journal of MIS, 11(1). https://doi.org/10.61606/BJMIS.V11N1A1</w:t>
      </w:r>
    </w:p>
    <w:p w14:paraId="102AB756" w14:textId="77777777" w:rsidR="00B051CC" w:rsidRDefault="00B51FC3">
      <w:pPr>
        <w:spacing w:after="140" w:line="280" w:lineRule="auto"/>
        <w:ind w:left="360" w:hanging="360"/>
      </w:pPr>
      <w:r>
        <w:t>UNODC South Asia. (2024, March). UNODC and Justice &amp; Care raise awareness on mutual legal assistance in criminal matters.</w:t>
      </w:r>
    </w:p>
    <w:p w14:paraId="51C828A5" w14:textId="77777777" w:rsidR="00B051CC" w:rsidRDefault="00B51FC3">
      <w:pPr>
        <w:spacing w:after="140" w:line="280" w:lineRule="auto"/>
        <w:ind w:left="360" w:hanging="360"/>
      </w:pPr>
      <w:r>
        <w:t>Uzzal, M. M. K. (2025). Research monograph on cybercrime and digital evidence in Bangladesh: Problem and prospect [Working paper]. SSRN. https://doi.org/10.2139/ssrn.5876822</w:t>
      </w:r>
    </w:p>
    <w:p w14:paraId="06CC29F2" w14:textId="77777777" w:rsidR="00B051CC" w:rsidRDefault="00B51FC3">
      <w:pPr>
        <w:spacing w:after="140" w:line="280" w:lineRule="auto"/>
        <w:ind w:left="360" w:hanging="360"/>
      </w:pPr>
      <w:r>
        <w:t>Note: A complete list of the 48 references from the antecedent global cloud forensics systematic review is provided in the accompanying survey paper and is not repeated here.</w:t>
      </w:r>
    </w:p>
    <w:sectPr w:rsidR="00B051C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F207C"/>
    <w:multiLevelType w:val="hybridMultilevel"/>
    <w:tmpl w:val="5BCE6CC0"/>
    <w:lvl w:ilvl="0" w:tplc="669A7C48">
      <w:start w:val="1"/>
      <w:numFmt w:val="bullet"/>
      <w:lvlText w:val="●"/>
      <w:lvlJc w:val="left"/>
      <w:pPr>
        <w:ind w:left="720" w:hanging="360"/>
      </w:pPr>
    </w:lvl>
    <w:lvl w:ilvl="1" w:tplc="32F41358">
      <w:start w:val="1"/>
      <w:numFmt w:val="bullet"/>
      <w:lvlText w:val="○"/>
      <w:lvlJc w:val="left"/>
      <w:pPr>
        <w:ind w:left="1440" w:hanging="360"/>
      </w:pPr>
    </w:lvl>
    <w:lvl w:ilvl="2" w:tplc="983827E8">
      <w:start w:val="1"/>
      <w:numFmt w:val="bullet"/>
      <w:lvlText w:val="■"/>
      <w:lvlJc w:val="left"/>
      <w:pPr>
        <w:ind w:left="2160" w:hanging="360"/>
      </w:pPr>
    </w:lvl>
    <w:lvl w:ilvl="3" w:tplc="791A7F26">
      <w:start w:val="1"/>
      <w:numFmt w:val="bullet"/>
      <w:lvlText w:val="●"/>
      <w:lvlJc w:val="left"/>
      <w:pPr>
        <w:ind w:left="2880" w:hanging="360"/>
      </w:pPr>
    </w:lvl>
    <w:lvl w:ilvl="4" w:tplc="4CCECAFE">
      <w:start w:val="1"/>
      <w:numFmt w:val="bullet"/>
      <w:lvlText w:val="○"/>
      <w:lvlJc w:val="left"/>
      <w:pPr>
        <w:ind w:left="3600" w:hanging="360"/>
      </w:pPr>
    </w:lvl>
    <w:lvl w:ilvl="5" w:tplc="1BEC9816">
      <w:start w:val="1"/>
      <w:numFmt w:val="bullet"/>
      <w:lvlText w:val="■"/>
      <w:lvlJc w:val="left"/>
      <w:pPr>
        <w:ind w:left="4320" w:hanging="360"/>
      </w:pPr>
    </w:lvl>
    <w:lvl w:ilvl="6" w:tplc="028862B6">
      <w:start w:val="1"/>
      <w:numFmt w:val="bullet"/>
      <w:lvlText w:val="●"/>
      <w:lvlJc w:val="left"/>
      <w:pPr>
        <w:ind w:left="5040" w:hanging="360"/>
      </w:pPr>
    </w:lvl>
    <w:lvl w:ilvl="7" w:tplc="40345FCE">
      <w:start w:val="1"/>
      <w:numFmt w:val="bullet"/>
      <w:lvlText w:val="●"/>
      <w:lvlJc w:val="left"/>
      <w:pPr>
        <w:ind w:left="5760" w:hanging="360"/>
      </w:pPr>
    </w:lvl>
    <w:lvl w:ilvl="8" w:tplc="E2068774">
      <w:start w:val="1"/>
      <w:numFmt w:val="bullet"/>
      <w:lvlText w:val="●"/>
      <w:lvlJc w:val="left"/>
      <w:pPr>
        <w:ind w:left="6480" w:hanging="360"/>
      </w:pPr>
    </w:lvl>
  </w:abstractNum>
  <w:num w:numId="1" w16cid:durableId="1496995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1CC"/>
    <w:rsid w:val="00524810"/>
    <w:rsid w:val="005A3BEF"/>
    <w:rsid w:val="0069069B"/>
    <w:rsid w:val="0083131F"/>
    <w:rsid w:val="00AC597A"/>
    <w:rsid w:val="00B051CC"/>
    <w:rsid w:val="00C536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375B8"/>
  <w15:docId w15:val="{CB9E7C71-02F0-4EDB-B7BC-9D9F8D644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2524</Words>
  <Characters>14390</Characters>
  <Application>Microsoft Office Word</Application>
  <DocSecurity>0</DocSecurity>
  <Lines>119</Lines>
  <Paragraphs>33</Paragraphs>
  <ScaleCrop>false</ScaleCrop>
  <Company/>
  <LinksUpToDate>false</LinksUpToDate>
  <CharactersWithSpaces>16881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10635-Ahsan-Kabir</cp:lastModifiedBy>
  <cp:revision>4</cp:revision>
  <dcterms:created xsi:type="dcterms:W3CDTF">2026-07-31T06:25:00Z</dcterms:created>
  <dcterms:modified xsi:type="dcterms:W3CDTF">2026-08-11T12:36:00Z</dcterms:modified>
</cp:coreProperties>
</file>