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A1D" w:rsidRPr="00893A1D" w:rsidRDefault="00893A1D" w:rsidP="00893A1D">
      <w:pPr>
        <w:pBdr>
          <w:top w:val="thinThickSmallGap" w:sz="24" w:space="1" w:color="auto"/>
          <w:left w:val="thinThickSmallGap" w:sz="24" w:space="4" w:color="auto"/>
          <w:bottom w:val="thinThickSmallGap" w:sz="24" w:space="1" w:color="auto"/>
          <w:right w:val="thinThickSmallGap" w:sz="24" w:space="4" w:color="auto"/>
        </w:pBdr>
        <w:jc w:val="center"/>
        <w:rPr>
          <w:sz w:val="28"/>
          <w:u w:val="single"/>
        </w:rPr>
      </w:pPr>
      <w:r w:rsidRPr="00893A1D">
        <w:rPr>
          <w:b/>
          <w:bCs/>
          <w:sz w:val="28"/>
          <w:u w:val="single"/>
        </w:rPr>
        <w:t>ANALYSIS REPORT: NATIONAL LEVEL EXAMS (JEE &amp; NEET 2024)</w:t>
      </w:r>
    </w:p>
    <w:p w:rsidR="00893A1D" w:rsidRDefault="00893A1D" w:rsidP="00893A1D">
      <w:pPr>
        <w:jc w:val="both"/>
        <w:rPr>
          <w:b/>
          <w:bCs/>
        </w:rPr>
      </w:pPr>
    </w:p>
    <w:p w:rsidR="00893A1D" w:rsidRPr="00893A1D" w:rsidRDefault="00893A1D" w:rsidP="00893A1D">
      <w:pPr>
        <w:jc w:val="both"/>
        <w:rPr>
          <w:sz w:val="24"/>
        </w:rPr>
      </w:pPr>
      <w:r w:rsidRPr="00893A1D">
        <w:rPr>
          <w:b/>
          <w:bCs/>
          <w:sz w:val="24"/>
        </w:rPr>
        <w:t>SECTION 1: JEE ANALYSIS</w:t>
      </w:r>
    </w:p>
    <w:p w:rsidR="00893A1D" w:rsidRPr="00893A1D" w:rsidRDefault="00893A1D" w:rsidP="00893A1D">
      <w:pPr>
        <w:jc w:val="both"/>
      </w:pPr>
      <w:r w:rsidRPr="00893A1D">
        <w:rPr>
          <w:b/>
          <w:bCs/>
        </w:rPr>
        <w:t>Key Findings:</w:t>
      </w:r>
    </w:p>
    <w:p w:rsidR="00893A1D" w:rsidRPr="00893A1D" w:rsidRDefault="00893A1D" w:rsidP="00893A1D">
      <w:pPr>
        <w:numPr>
          <w:ilvl w:val="0"/>
          <w:numId w:val="1"/>
        </w:numPr>
        <w:jc w:val="both"/>
      </w:pPr>
      <w:r w:rsidRPr="00893A1D">
        <w:rPr>
          <w:b/>
          <w:bCs/>
        </w:rPr>
        <w:t>Institute Rankings and Cutoffs:</w:t>
      </w:r>
    </w:p>
    <w:p w:rsidR="00893A1D" w:rsidRPr="00893A1D" w:rsidRDefault="00893A1D" w:rsidP="00893A1D">
      <w:pPr>
        <w:numPr>
          <w:ilvl w:val="1"/>
          <w:numId w:val="1"/>
        </w:numPr>
        <w:jc w:val="both"/>
      </w:pPr>
      <w:r w:rsidRPr="00893A1D">
        <w:rPr>
          <w:b/>
          <w:bCs/>
        </w:rPr>
        <w:t>IIT Delhi (Computer Science):</w:t>
      </w:r>
      <w:r w:rsidRPr="00893A1D">
        <w:t xml:space="preserve"> Closing rank improved from 118 (2023) to a range of 27-116 in 2024.</w:t>
      </w:r>
    </w:p>
    <w:p w:rsidR="00893A1D" w:rsidRPr="00893A1D" w:rsidRDefault="00893A1D" w:rsidP="00893A1D">
      <w:pPr>
        <w:numPr>
          <w:ilvl w:val="1"/>
          <w:numId w:val="1"/>
        </w:numPr>
        <w:jc w:val="both"/>
      </w:pPr>
      <w:r w:rsidRPr="00893A1D">
        <w:rPr>
          <w:b/>
          <w:bCs/>
        </w:rPr>
        <w:t>IIT Madras (Computer Science):</w:t>
      </w:r>
      <w:r w:rsidRPr="00893A1D">
        <w:t xml:space="preserve"> Range tightened significantly, from 144-148 (2023) to 76-156 (2024).</w:t>
      </w:r>
    </w:p>
    <w:p w:rsidR="00893A1D" w:rsidRPr="00893A1D" w:rsidRDefault="00893A1D" w:rsidP="00893A1D">
      <w:pPr>
        <w:numPr>
          <w:ilvl w:val="1"/>
          <w:numId w:val="1"/>
        </w:numPr>
        <w:jc w:val="both"/>
      </w:pPr>
      <w:r w:rsidRPr="00893A1D">
        <w:rPr>
          <w:b/>
          <w:bCs/>
        </w:rPr>
        <w:t>IIT Delhi (Electrical Engineering):</w:t>
      </w:r>
      <w:r w:rsidRPr="00893A1D">
        <w:t xml:space="preserve"> Closing ranks widened from 582-574 (2023) to 582-828 (2024).</w:t>
      </w:r>
    </w:p>
    <w:p w:rsidR="00893A1D" w:rsidRPr="00893A1D" w:rsidRDefault="00893A1D" w:rsidP="00893A1D">
      <w:pPr>
        <w:numPr>
          <w:ilvl w:val="1"/>
          <w:numId w:val="1"/>
        </w:numPr>
        <w:jc w:val="both"/>
      </w:pPr>
      <w:r w:rsidRPr="00893A1D">
        <w:rPr>
          <w:b/>
          <w:bCs/>
        </w:rPr>
        <w:t>IIT Kanpur (Electrical Engineering):</w:t>
      </w:r>
      <w:r w:rsidRPr="00893A1D">
        <w:t xml:space="preserve"> Widened significantly from 674 (2023) to 743-1284 (2024).</w:t>
      </w:r>
    </w:p>
    <w:p w:rsidR="00893A1D" w:rsidRPr="00893A1D" w:rsidRDefault="00893A1D" w:rsidP="00893A1D">
      <w:pPr>
        <w:numPr>
          <w:ilvl w:val="1"/>
          <w:numId w:val="1"/>
        </w:numPr>
        <w:jc w:val="both"/>
      </w:pPr>
      <w:r w:rsidRPr="00893A1D">
        <w:rPr>
          <w:b/>
          <w:bCs/>
        </w:rPr>
        <w:t>IIT Bombay (Mechanical Engineering):</w:t>
      </w:r>
      <w:r w:rsidRPr="00893A1D">
        <w:t xml:space="preserve"> Slight variation in closing rank from 1037 (2023) to 947-1098 (2024).</w:t>
      </w:r>
    </w:p>
    <w:p w:rsidR="00893A1D" w:rsidRPr="00893A1D" w:rsidRDefault="00893A1D" w:rsidP="00893A1D">
      <w:pPr>
        <w:numPr>
          <w:ilvl w:val="0"/>
          <w:numId w:val="1"/>
        </w:numPr>
        <w:jc w:val="both"/>
      </w:pPr>
      <w:r w:rsidRPr="00893A1D">
        <w:rPr>
          <w:b/>
          <w:bCs/>
        </w:rPr>
        <w:t>Fee Structures:</w:t>
      </w:r>
    </w:p>
    <w:p w:rsidR="00893A1D" w:rsidRPr="00893A1D" w:rsidRDefault="00893A1D" w:rsidP="00893A1D">
      <w:pPr>
        <w:numPr>
          <w:ilvl w:val="1"/>
          <w:numId w:val="1"/>
        </w:numPr>
        <w:jc w:val="both"/>
      </w:pPr>
      <w:r w:rsidRPr="00893A1D">
        <w:rPr>
          <w:b/>
          <w:bCs/>
        </w:rPr>
        <w:t>IIT Delhi:</w:t>
      </w:r>
      <w:r w:rsidRPr="00893A1D">
        <w:t xml:space="preserve"> ₹850,000</w:t>
      </w:r>
    </w:p>
    <w:p w:rsidR="00893A1D" w:rsidRPr="00893A1D" w:rsidRDefault="00893A1D" w:rsidP="00893A1D">
      <w:pPr>
        <w:numPr>
          <w:ilvl w:val="1"/>
          <w:numId w:val="1"/>
        </w:numPr>
        <w:jc w:val="both"/>
      </w:pPr>
      <w:r w:rsidRPr="00893A1D">
        <w:rPr>
          <w:b/>
          <w:bCs/>
        </w:rPr>
        <w:t>IIT Madras:</w:t>
      </w:r>
      <w:r w:rsidRPr="00893A1D">
        <w:t xml:space="preserve"> ₹924,000</w:t>
      </w:r>
    </w:p>
    <w:p w:rsidR="00893A1D" w:rsidRPr="00893A1D" w:rsidRDefault="00893A1D" w:rsidP="00893A1D">
      <w:pPr>
        <w:numPr>
          <w:ilvl w:val="1"/>
          <w:numId w:val="1"/>
        </w:numPr>
        <w:jc w:val="both"/>
      </w:pPr>
      <w:r w:rsidRPr="00893A1D">
        <w:rPr>
          <w:b/>
          <w:bCs/>
        </w:rPr>
        <w:t>IIT Bombay:</w:t>
      </w:r>
      <w:r w:rsidRPr="00893A1D">
        <w:t xml:space="preserve"> ₹869,000</w:t>
      </w:r>
    </w:p>
    <w:p w:rsidR="00893A1D" w:rsidRDefault="00893A1D" w:rsidP="00893A1D">
      <w:pPr>
        <w:numPr>
          <w:ilvl w:val="1"/>
          <w:numId w:val="1"/>
        </w:numPr>
        <w:jc w:val="both"/>
      </w:pPr>
      <w:r w:rsidRPr="00893A1D">
        <w:rPr>
          <w:b/>
          <w:bCs/>
        </w:rPr>
        <w:t>IIT Kanpur:</w:t>
      </w:r>
      <w:r w:rsidRPr="00893A1D">
        <w:t xml:space="preserve"> ₹800,000</w:t>
      </w:r>
    </w:p>
    <w:p w:rsidR="00893A1D" w:rsidRPr="00893A1D" w:rsidRDefault="00893A1D" w:rsidP="00893A1D">
      <w:pPr>
        <w:ind w:left="1080"/>
        <w:jc w:val="both"/>
      </w:pPr>
      <w:r>
        <w:rPr>
          <w:noProof/>
        </w:rPr>
        <w:drawing>
          <wp:inline distT="0" distB="0" distL="0" distR="0" wp14:anchorId="7BFC1C95" wp14:editId="22FF1CC2">
            <wp:extent cx="4869180" cy="2484114"/>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93A1D" w:rsidRDefault="00893A1D" w:rsidP="00893A1D">
      <w:pPr>
        <w:jc w:val="both"/>
        <w:rPr>
          <w:b/>
          <w:bCs/>
        </w:rPr>
      </w:pPr>
    </w:p>
    <w:p w:rsidR="00893A1D" w:rsidRPr="00893A1D" w:rsidRDefault="00893A1D" w:rsidP="00893A1D">
      <w:pPr>
        <w:jc w:val="both"/>
      </w:pPr>
      <w:r w:rsidRPr="00893A1D">
        <w:rPr>
          <w:b/>
          <w:bCs/>
        </w:rPr>
        <w:lastRenderedPageBreak/>
        <w:t>Observations:</w:t>
      </w:r>
    </w:p>
    <w:p w:rsidR="00893A1D" w:rsidRPr="00893A1D" w:rsidRDefault="00893A1D" w:rsidP="00893A1D">
      <w:pPr>
        <w:numPr>
          <w:ilvl w:val="0"/>
          <w:numId w:val="2"/>
        </w:numPr>
        <w:jc w:val="both"/>
      </w:pPr>
      <w:r w:rsidRPr="00893A1D">
        <w:rPr>
          <w:b/>
          <w:bCs/>
        </w:rPr>
        <w:t>Trends in Cutoffs:</w:t>
      </w:r>
      <w:r w:rsidRPr="00893A1D">
        <w:t xml:space="preserve"> Tightening of cutoffs in Computer Science programs highlights growing competition among applicants.</w:t>
      </w:r>
    </w:p>
    <w:p w:rsidR="00893A1D" w:rsidRPr="00893A1D" w:rsidRDefault="00893A1D" w:rsidP="00893A1D">
      <w:pPr>
        <w:numPr>
          <w:ilvl w:val="0"/>
          <w:numId w:val="2"/>
        </w:numPr>
        <w:jc w:val="both"/>
      </w:pPr>
      <w:r w:rsidRPr="00893A1D">
        <w:rPr>
          <w:b/>
          <w:bCs/>
        </w:rPr>
        <w:t>Fee Consistency:</w:t>
      </w:r>
      <w:r w:rsidRPr="00893A1D">
        <w:t xml:space="preserve"> Fee structures for JEE programs remain stable across premier IITs.</w:t>
      </w:r>
    </w:p>
    <w:p w:rsidR="00893A1D" w:rsidRPr="00893A1D" w:rsidRDefault="00893A1D" w:rsidP="00893A1D">
      <w:pPr>
        <w:jc w:val="both"/>
      </w:pPr>
      <w:r w:rsidRPr="00893A1D">
        <w:rPr>
          <w:b/>
          <w:bCs/>
        </w:rPr>
        <w:t>Recommendations:</w:t>
      </w:r>
    </w:p>
    <w:p w:rsidR="00893A1D" w:rsidRPr="00893A1D" w:rsidRDefault="00893A1D" w:rsidP="00893A1D">
      <w:pPr>
        <w:numPr>
          <w:ilvl w:val="0"/>
          <w:numId w:val="3"/>
        </w:numPr>
        <w:jc w:val="both"/>
      </w:pPr>
      <w:r w:rsidRPr="00893A1D">
        <w:t>Prioritize performance in competitive branches like Computer Science to secure better ranks.</w:t>
      </w:r>
    </w:p>
    <w:p w:rsidR="00893A1D" w:rsidRPr="00893A1D" w:rsidRDefault="00893A1D" w:rsidP="00893A1D">
      <w:pPr>
        <w:numPr>
          <w:ilvl w:val="0"/>
          <w:numId w:val="3"/>
        </w:numPr>
        <w:jc w:val="both"/>
      </w:pPr>
      <w:r w:rsidRPr="00893A1D">
        <w:t>Financial planning should be encouraged for students targeting high-fee programs.</w:t>
      </w:r>
    </w:p>
    <w:p w:rsidR="00893A1D" w:rsidRDefault="00893A1D" w:rsidP="00893A1D">
      <w:pPr>
        <w:jc w:val="both"/>
      </w:pPr>
    </w:p>
    <w:p w:rsidR="00893A1D" w:rsidRPr="00893A1D" w:rsidRDefault="00893A1D" w:rsidP="00893A1D">
      <w:pPr>
        <w:jc w:val="both"/>
        <w:rPr>
          <w:sz w:val="24"/>
        </w:rPr>
      </w:pPr>
      <w:r w:rsidRPr="00893A1D">
        <w:rPr>
          <w:b/>
          <w:bCs/>
          <w:sz w:val="24"/>
        </w:rPr>
        <w:t>SECTION 2: NEET ANALYSIS</w:t>
      </w:r>
    </w:p>
    <w:p w:rsidR="00893A1D" w:rsidRPr="00893A1D" w:rsidRDefault="00893A1D" w:rsidP="00893A1D">
      <w:pPr>
        <w:jc w:val="both"/>
      </w:pPr>
      <w:r w:rsidRPr="00893A1D">
        <w:rPr>
          <w:b/>
          <w:bCs/>
        </w:rPr>
        <w:t>Key Findings:</w:t>
      </w:r>
    </w:p>
    <w:p w:rsidR="00893A1D" w:rsidRPr="00893A1D" w:rsidRDefault="00893A1D" w:rsidP="00893A1D">
      <w:pPr>
        <w:numPr>
          <w:ilvl w:val="0"/>
          <w:numId w:val="4"/>
        </w:numPr>
        <w:jc w:val="both"/>
      </w:pPr>
      <w:r w:rsidRPr="00893A1D">
        <w:rPr>
          <w:b/>
          <w:bCs/>
        </w:rPr>
        <w:t>Institute Rankings and Cutoffs:</w:t>
      </w:r>
    </w:p>
    <w:p w:rsidR="00893A1D" w:rsidRPr="00893A1D" w:rsidRDefault="00893A1D" w:rsidP="00893A1D">
      <w:pPr>
        <w:numPr>
          <w:ilvl w:val="1"/>
          <w:numId w:val="4"/>
        </w:numPr>
        <w:jc w:val="both"/>
      </w:pPr>
      <w:r w:rsidRPr="00893A1D">
        <w:rPr>
          <w:b/>
          <w:bCs/>
        </w:rPr>
        <w:t>AIIMS Jodhpur (MBBS):</w:t>
      </w:r>
      <w:r w:rsidRPr="00893A1D">
        <w:t xml:space="preserve"> Closing rank improved from 534 (2023) to 497 (2024).</w:t>
      </w:r>
    </w:p>
    <w:p w:rsidR="00893A1D" w:rsidRPr="00893A1D" w:rsidRDefault="00893A1D" w:rsidP="00893A1D">
      <w:pPr>
        <w:numPr>
          <w:ilvl w:val="1"/>
          <w:numId w:val="4"/>
        </w:numPr>
        <w:jc w:val="both"/>
      </w:pPr>
      <w:r w:rsidRPr="00893A1D">
        <w:rPr>
          <w:b/>
          <w:bCs/>
        </w:rPr>
        <w:t>AIIMS Delhi (BDS):</w:t>
      </w:r>
      <w:r w:rsidRPr="00893A1D">
        <w:t xml:space="preserve"> Slight increase in closing rank from 710 (2023) to 715 (2024).</w:t>
      </w:r>
    </w:p>
    <w:p w:rsidR="00893A1D" w:rsidRPr="00893A1D" w:rsidRDefault="00893A1D" w:rsidP="00893A1D">
      <w:pPr>
        <w:numPr>
          <w:ilvl w:val="1"/>
          <w:numId w:val="4"/>
        </w:numPr>
        <w:jc w:val="both"/>
      </w:pPr>
      <w:r w:rsidRPr="00893A1D">
        <w:rPr>
          <w:b/>
          <w:bCs/>
        </w:rPr>
        <w:t>AIIMS Bhopal (BDS):</w:t>
      </w:r>
      <w:r w:rsidRPr="00893A1D">
        <w:t xml:space="preserve"> Minor increase in closing rank from 705 (2023) to 710 (2024).</w:t>
      </w:r>
    </w:p>
    <w:p w:rsidR="00893A1D" w:rsidRPr="00893A1D" w:rsidRDefault="00893A1D" w:rsidP="00893A1D">
      <w:pPr>
        <w:numPr>
          <w:ilvl w:val="1"/>
          <w:numId w:val="4"/>
        </w:numPr>
        <w:jc w:val="both"/>
      </w:pPr>
      <w:r w:rsidRPr="00893A1D">
        <w:rPr>
          <w:b/>
          <w:bCs/>
        </w:rPr>
        <w:t>MAMC Delhi (Nursing):</w:t>
      </w:r>
      <w:r w:rsidRPr="00893A1D">
        <w:t xml:space="preserve"> Closing rank rose slightly from 670 (2023) to 675 (2024).</w:t>
      </w:r>
    </w:p>
    <w:p w:rsidR="00893A1D" w:rsidRPr="00893A1D" w:rsidRDefault="00893A1D" w:rsidP="00893A1D">
      <w:pPr>
        <w:numPr>
          <w:ilvl w:val="1"/>
          <w:numId w:val="4"/>
        </w:numPr>
        <w:jc w:val="both"/>
      </w:pPr>
      <w:r w:rsidRPr="00893A1D">
        <w:rPr>
          <w:b/>
          <w:bCs/>
        </w:rPr>
        <w:t xml:space="preserve">PGIMS </w:t>
      </w:r>
      <w:proofErr w:type="spellStart"/>
      <w:r w:rsidRPr="00893A1D">
        <w:rPr>
          <w:b/>
          <w:bCs/>
        </w:rPr>
        <w:t>Rohtak</w:t>
      </w:r>
      <w:proofErr w:type="spellEnd"/>
      <w:r w:rsidRPr="00893A1D">
        <w:rPr>
          <w:b/>
          <w:bCs/>
        </w:rPr>
        <w:t xml:space="preserve"> (Nursing):</w:t>
      </w:r>
      <w:r w:rsidRPr="00893A1D">
        <w:t xml:space="preserve"> Marginal increase in closing rank from 650 (2023) to 660 (2024).</w:t>
      </w:r>
    </w:p>
    <w:p w:rsidR="00893A1D" w:rsidRPr="00893A1D" w:rsidRDefault="00893A1D" w:rsidP="00893A1D">
      <w:pPr>
        <w:numPr>
          <w:ilvl w:val="0"/>
          <w:numId w:val="4"/>
        </w:numPr>
        <w:jc w:val="both"/>
      </w:pPr>
      <w:r w:rsidRPr="00893A1D">
        <w:rPr>
          <w:b/>
          <w:bCs/>
        </w:rPr>
        <w:t>Fee Structures:</w:t>
      </w:r>
    </w:p>
    <w:p w:rsidR="00893A1D" w:rsidRPr="00893A1D" w:rsidRDefault="00893A1D" w:rsidP="00893A1D">
      <w:pPr>
        <w:numPr>
          <w:ilvl w:val="1"/>
          <w:numId w:val="4"/>
        </w:numPr>
        <w:jc w:val="both"/>
      </w:pPr>
      <w:r w:rsidRPr="00893A1D">
        <w:rPr>
          <w:b/>
          <w:bCs/>
        </w:rPr>
        <w:t>AIIMS Jodhpur (MBBS):</w:t>
      </w:r>
      <w:r w:rsidRPr="00893A1D">
        <w:t xml:space="preserve"> ₹6,000/year</w:t>
      </w:r>
    </w:p>
    <w:p w:rsidR="00893A1D" w:rsidRPr="00893A1D" w:rsidRDefault="00893A1D" w:rsidP="00893A1D">
      <w:pPr>
        <w:numPr>
          <w:ilvl w:val="1"/>
          <w:numId w:val="4"/>
        </w:numPr>
        <w:jc w:val="both"/>
      </w:pPr>
      <w:r w:rsidRPr="00893A1D">
        <w:rPr>
          <w:b/>
          <w:bCs/>
        </w:rPr>
        <w:t>AIIMS Delhi (BDS):</w:t>
      </w:r>
      <w:r w:rsidRPr="00893A1D">
        <w:t xml:space="preserve"> ₹6,000/year</w:t>
      </w:r>
    </w:p>
    <w:p w:rsidR="00893A1D" w:rsidRPr="00893A1D" w:rsidRDefault="00893A1D" w:rsidP="00893A1D">
      <w:pPr>
        <w:numPr>
          <w:ilvl w:val="1"/>
          <w:numId w:val="4"/>
        </w:numPr>
        <w:jc w:val="both"/>
      </w:pPr>
      <w:r w:rsidRPr="00893A1D">
        <w:rPr>
          <w:b/>
          <w:bCs/>
        </w:rPr>
        <w:t>AIIMS Bhopal (BDS):</w:t>
      </w:r>
      <w:r w:rsidRPr="00893A1D">
        <w:t xml:space="preserve"> ₹6,000/year</w:t>
      </w:r>
    </w:p>
    <w:p w:rsidR="00893A1D" w:rsidRPr="00893A1D" w:rsidRDefault="00893A1D" w:rsidP="00893A1D">
      <w:pPr>
        <w:numPr>
          <w:ilvl w:val="1"/>
          <w:numId w:val="4"/>
        </w:numPr>
        <w:jc w:val="both"/>
      </w:pPr>
      <w:r w:rsidRPr="00893A1D">
        <w:rPr>
          <w:b/>
          <w:bCs/>
        </w:rPr>
        <w:t>MAMC Delhi (Nursing):</w:t>
      </w:r>
      <w:r w:rsidRPr="00893A1D">
        <w:t xml:space="preserve"> ₹20,000/year</w:t>
      </w:r>
    </w:p>
    <w:p w:rsidR="00893A1D" w:rsidRDefault="00893A1D" w:rsidP="00893A1D">
      <w:pPr>
        <w:numPr>
          <w:ilvl w:val="1"/>
          <w:numId w:val="4"/>
        </w:numPr>
        <w:jc w:val="both"/>
      </w:pPr>
      <w:r w:rsidRPr="00893A1D">
        <w:rPr>
          <w:b/>
          <w:bCs/>
        </w:rPr>
        <w:t xml:space="preserve">PGIMS </w:t>
      </w:r>
      <w:proofErr w:type="spellStart"/>
      <w:r w:rsidRPr="00893A1D">
        <w:rPr>
          <w:b/>
          <w:bCs/>
        </w:rPr>
        <w:t>Rohtak</w:t>
      </w:r>
      <w:proofErr w:type="spellEnd"/>
      <w:r w:rsidRPr="00893A1D">
        <w:rPr>
          <w:b/>
          <w:bCs/>
        </w:rPr>
        <w:t xml:space="preserve"> (Nursing):</w:t>
      </w:r>
      <w:r w:rsidRPr="00893A1D">
        <w:t xml:space="preserve"> ₹25,000/year</w:t>
      </w:r>
    </w:p>
    <w:p w:rsidR="00893A1D" w:rsidRPr="00893A1D" w:rsidRDefault="00893A1D" w:rsidP="00893A1D">
      <w:pPr>
        <w:ind w:left="1080"/>
        <w:jc w:val="both"/>
      </w:pPr>
      <w:bookmarkStart w:id="0" w:name="_GoBack"/>
      <w:r>
        <w:rPr>
          <w:noProof/>
        </w:rPr>
        <w:drawing>
          <wp:inline distT="0" distB="0" distL="0" distR="0" wp14:anchorId="043197B1" wp14:editId="71BCB335">
            <wp:extent cx="4518660" cy="220980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893A1D" w:rsidRPr="00893A1D" w:rsidRDefault="00893A1D" w:rsidP="00893A1D">
      <w:pPr>
        <w:jc w:val="both"/>
      </w:pPr>
      <w:r w:rsidRPr="00893A1D">
        <w:rPr>
          <w:b/>
          <w:bCs/>
        </w:rPr>
        <w:t>Observations:</w:t>
      </w:r>
    </w:p>
    <w:p w:rsidR="00893A1D" w:rsidRPr="00893A1D" w:rsidRDefault="00893A1D" w:rsidP="00893A1D">
      <w:pPr>
        <w:numPr>
          <w:ilvl w:val="0"/>
          <w:numId w:val="5"/>
        </w:numPr>
        <w:jc w:val="both"/>
      </w:pPr>
      <w:r w:rsidRPr="00893A1D">
        <w:rPr>
          <w:b/>
          <w:bCs/>
        </w:rPr>
        <w:t>Trends in Cutoffs:</w:t>
      </w:r>
      <w:r w:rsidRPr="00893A1D">
        <w:t xml:space="preserve"> NEET cutoffs show minor increases across most programs, reflecting consistent competition levels.</w:t>
      </w:r>
    </w:p>
    <w:p w:rsidR="00893A1D" w:rsidRPr="00893A1D" w:rsidRDefault="00893A1D" w:rsidP="00893A1D">
      <w:pPr>
        <w:numPr>
          <w:ilvl w:val="0"/>
          <w:numId w:val="5"/>
        </w:numPr>
        <w:jc w:val="both"/>
      </w:pPr>
      <w:r w:rsidRPr="00893A1D">
        <w:rPr>
          <w:b/>
          <w:bCs/>
        </w:rPr>
        <w:t>Affordability:</w:t>
      </w:r>
      <w:r w:rsidRPr="00893A1D">
        <w:t xml:space="preserve"> AIIMS programs remain highly affordable, making them attractive for top-ranking candidates.</w:t>
      </w:r>
    </w:p>
    <w:p w:rsidR="00893A1D" w:rsidRPr="00893A1D" w:rsidRDefault="00893A1D" w:rsidP="00893A1D">
      <w:pPr>
        <w:jc w:val="both"/>
      </w:pPr>
      <w:r w:rsidRPr="00893A1D">
        <w:rPr>
          <w:b/>
          <w:bCs/>
        </w:rPr>
        <w:t>Recommendations:</w:t>
      </w:r>
    </w:p>
    <w:p w:rsidR="00893A1D" w:rsidRPr="00893A1D" w:rsidRDefault="00893A1D" w:rsidP="00893A1D">
      <w:pPr>
        <w:numPr>
          <w:ilvl w:val="0"/>
          <w:numId w:val="6"/>
        </w:numPr>
        <w:jc w:val="both"/>
      </w:pPr>
      <w:r w:rsidRPr="00893A1D">
        <w:t>NEET aspirants should aim for consistent top performance to secure admissions in premier institutes like AIIMS Jodhpur and AIIMS Delhi.</w:t>
      </w:r>
    </w:p>
    <w:p w:rsidR="00893A1D" w:rsidRPr="00893A1D" w:rsidRDefault="00893A1D" w:rsidP="00893A1D">
      <w:pPr>
        <w:numPr>
          <w:ilvl w:val="0"/>
          <w:numId w:val="6"/>
        </w:numPr>
        <w:jc w:val="both"/>
      </w:pPr>
      <w:r w:rsidRPr="00893A1D">
        <w:t>Highlighting affordable programs can help students from varied financial backgrounds.</w:t>
      </w:r>
    </w:p>
    <w:p w:rsidR="00893A1D" w:rsidRPr="00893A1D" w:rsidRDefault="00893A1D" w:rsidP="00893A1D">
      <w:pPr>
        <w:jc w:val="both"/>
      </w:pPr>
    </w:p>
    <w:p w:rsidR="00893A1D" w:rsidRPr="00893A1D" w:rsidRDefault="00893A1D" w:rsidP="00893A1D">
      <w:pPr>
        <w:jc w:val="both"/>
      </w:pPr>
      <w:r w:rsidRPr="00893A1D">
        <w:rPr>
          <w:b/>
          <w:bCs/>
        </w:rPr>
        <w:t>Conclusion:</w:t>
      </w:r>
      <w:r w:rsidRPr="00893A1D">
        <w:t xml:space="preserve"> This report presents a comprehensive analysis of cutoff trends and fee structures for both JEE and NEET 2024. While IITs reflect heightened competition in technology programs, NEET continues to see steady trends in medical admissions. These insights will guide aspiring candidates to strategize their preparation effectively and make informed financial plans.</w:t>
      </w:r>
    </w:p>
    <w:p w:rsidR="0045315F" w:rsidRDefault="0045315F" w:rsidP="00893A1D">
      <w:pPr>
        <w:jc w:val="both"/>
      </w:pPr>
    </w:p>
    <w:sectPr w:rsidR="0045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B5F30"/>
    <w:multiLevelType w:val="multilevel"/>
    <w:tmpl w:val="E7041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F1D24"/>
    <w:multiLevelType w:val="multilevel"/>
    <w:tmpl w:val="34CA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565FE"/>
    <w:multiLevelType w:val="multilevel"/>
    <w:tmpl w:val="F79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3327D"/>
    <w:multiLevelType w:val="multilevel"/>
    <w:tmpl w:val="350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D30485"/>
    <w:multiLevelType w:val="multilevel"/>
    <w:tmpl w:val="FEF6D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FA27BA"/>
    <w:multiLevelType w:val="multilevel"/>
    <w:tmpl w:val="638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1D"/>
    <w:rsid w:val="001A431A"/>
    <w:rsid w:val="0045315F"/>
    <w:rsid w:val="00695DD3"/>
    <w:rsid w:val="0089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4B205-32D5-4AB4-BCF3-9F2E461D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7223">
      <w:bodyDiv w:val="1"/>
      <w:marLeft w:val="0"/>
      <w:marRight w:val="0"/>
      <w:marTop w:val="0"/>
      <w:marBottom w:val="0"/>
      <w:divBdr>
        <w:top w:val="none" w:sz="0" w:space="0" w:color="auto"/>
        <w:left w:val="none" w:sz="0" w:space="0" w:color="auto"/>
        <w:bottom w:val="none" w:sz="0" w:space="0" w:color="auto"/>
        <w:right w:val="none" w:sz="0" w:space="0" w:color="auto"/>
      </w:divBdr>
      <w:divsChild>
        <w:div w:id="44915033">
          <w:marLeft w:val="0"/>
          <w:marRight w:val="0"/>
          <w:marTop w:val="0"/>
          <w:marBottom w:val="0"/>
          <w:divBdr>
            <w:top w:val="none" w:sz="0" w:space="0" w:color="auto"/>
            <w:left w:val="none" w:sz="0" w:space="0" w:color="auto"/>
            <w:bottom w:val="none" w:sz="0" w:space="0" w:color="auto"/>
            <w:right w:val="none" w:sz="0" w:space="0" w:color="auto"/>
          </w:divBdr>
        </w:div>
        <w:div w:id="1104350387">
          <w:marLeft w:val="0"/>
          <w:marRight w:val="0"/>
          <w:marTop w:val="0"/>
          <w:marBottom w:val="0"/>
          <w:divBdr>
            <w:top w:val="none" w:sz="0" w:space="0" w:color="auto"/>
            <w:left w:val="none" w:sz="0" w:space="0" w:color="auto"/>
            <w:bottom w:val="none" w:sz="0" w:space="0" w:color="auto"/>
            <w:right w:val="none" w:sz="0" w:space="0" w:color="auto"/>
          </w:divBdr>
        </w:div>
      </w:divsChild>
    </w:div>
    <w:div w:id="1998921581">
      <w:bodyDiv w:val="1"/>
      <w:marLeft w:val="0"/>
      <w:marRight w:val="0"/>
      <w:marTop w:val="0"/>
      <w:marBottom w:val="0"/>
      <w:divBdr>
        <w:top w:val="none" w:sz="0" w:space="0" w:color="auto"/>
        <w:left w:val="none" w:sz="0" w:space="0" w:color="auto"/>
        <w:bottom w:val="none" w:sz="0" w:space="0" w:color="auto"/>
        <w:right w:val="none" w:sz="0" w:space="0" w:color="auto"/>
      </w:divBdr>
      <w:divsChild>
        <w:div w:id="835732729">
          <w:marLeft w:val="0"/>
          <w:marRight w:val="0"/>
          <w:marTop w:val="0"/>
          <w:marBottom w:val="0"/>
          <w:divBdr>
            <w:top w:val="none" w:sz="0" w:space="0" w:color="auto"/>
            <w:left w:val="none" w:sz="0" w:space="0" w:color="auto"/>
            <w:bottom w:val="none" w:sz="0" w:space="0" w:color="auto"/>
            <w:right w:val="none" w:sz="0" w:space="0" w:color="auto"/>
          </w:divBdr>
        </w:div>
        <w:div w:id="921135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national%20ex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national%20exa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JEE</a:t>
            </a:r>
            <a:r>
              <a:rPr lang="en-US" baseline="0"/>
              <a:t> rank 2023-2024</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c:f>
              <c:strCache>
                <c:ptCount val="1"/>
                <c:pt idx="0">
                  <c:v>2023 Closing Rank</c:v>
                </c:pt>
              </c:strCache>
            </c:strRef>
          </c:tx>
          <c:spPr>
            <a:solidFill>
              <a:schemeClr val="accent1"/>
            </a:solidFill>
            <a:ln>
              <a:noFill/>
            </a:ln>
            <a:effectLst/>
            <a:sp3d/>
          </c:spPr>
          <c:invertIfNegative val="0"/>
          <c:cat>
            <c:strRef>
              <c:extLst>
                <c:ext xmlns:c15="http://schemas.microsoft.com/office/drawing/2012/chart" uri="{02D57815-91ED-43cb-92C2-25804820EDAC}">
                  <c15:fullRef>
                    <c15:sqref>Sheet1!$A$2:$B$9</c15:sqref>
                  </c15:fullRef>
                  <c15:levelRef>
                    <c15:sqref>Sheet1!$A$2:$A$9</c15:sqref>
                  </c15:levelRef>
                </c:ext>
              </c:extLst>
              <c:f>Sheet1!$A$2:$A$9</c:f>
              <c:strCache>
                <c:ptCount val="8"/>
                <c:pt idx="0">
                  <c:v>IIT Delhi</c:v>
                </c:pt>
                <c:pt idx="1">
                  <c:v>IIT Madras</c:v>
                </c:pt>
                <c:pt idx="2">
                  <c:v>IIT Delhi</c:v>
                </c:pt>
                <c:pt idx="3">
                  <c:v>IIT Kanpur</c:v>
                </c:pt>
                <c:pt idx="4">
                  <c:v>IIT Bombay</c:v>
                </c:pt>
                <c:pt idx="5">
                  <c:v>IIT Roorkee</c:v>
                </c:pt>
                <c:pt idx="6">
                  <c:v>IIT Kharagpur</c:v>
                </c:pt>
                <c:pt idx="7">
                  <c:v>IIT Guwahati</c:v>
                </c:pt>
              </c:strCache>
            </c:strRef>
          </c:cat>
          <c:val>
            <c:numRef>
              <c:f>Sheet1!$C$2:$C$9</c:f>
              <c:numCache>
                <c:formatCode>General</c:formatCode>
                <c:ptCount val="8"/>
                <c:pt idx="0">
                  <c:v>118</c:v>
                </c:pt>
                <c:pt idx="1">
                  <c:v>0</c:v>
                </c:pt>
                <c:pt idx="2">
                  <c:v>0</c:v>
                </c:pt>
                <c:pt idx="3">
                  <c:v>674</c:v>
                </c:pt>
                <c:pt idx="4">
                  <c:v>1037</c:v>
                </c:pt>
                <c:pt idx="5">
                  <c:v>1520</c:v>
                </c:pt>
                <c:pt idx="6">
                  <c:v>0</c:v>
                </c:pt>
                <c:pt idx="7">
                  <c:v>12877</c:v>
                </c:pt>
              </c:numCache>
            </c:numRef>
          </c:val>
        </c:ser>
        <c:ser>
          <c:idx val="1"/>
          <c:order val="1"/>
          <c:tx>
            <c:strRef>
              <c:f>Sheet1!$D$1</c:f>
              <c:strCache>
                <c:ptCount val="1"/>
                <c:pt idx="0">
                  <c:v>2024 Cutoff</c:v>
                </c:pt>
              </c:strCache>
            </c:strRef>
          </c:tx>
          <c:spPr>
            <a:solidFill>
              <a:schemeClr val="accent2"/>
            </a:solidFill>
            <a:ln>
              <a:noFill/>
            </a:ln>
            <a:effectLst/>
            <a:sp3d/>
          </c:spPr>
          <c:invertIfNegative val="0"/>
          <c:cat>
            <c:strRef>
              <c:extLst>
                <c:ext xmlns:c15="http://schemas.microsoft.com/office/drawing/2012/chart" uri="{02D57815-91ED-43cb-92C2-25804820EDAC}">
                  <c15:fullRef>
                    <c15:sqref>Sheet1!$A$2:$B$9</c15:sqref>
                  </c15:fullRef>
                  <c15:levelRef>
                    <c15:sqref>Sheet1!$A$2:$A$9</c15:sqref>
                  </c15:levelRef>
                </c:ext>
              </c:extLst>
              <c:f>Sheet1!$A$2:$A$9</c:f>
              <c:strCache>
                <c:ptCount val="8"/>
                <c:pt idx="0">
                  <c:v>IIT Delhi</c:v>
                </c:pt>
                <c:pt idx="1">
                  <c:v>IIT Madras</c:v>
                </c:pt>
                <c:pt idx="2">
                  <c:v>IIT Delhi</c:v>
                </c:pt>
                <c:pt idx="3">
                  <c:v>IIT Kanpur</c:v>
                </c:pt>
                <c:pt idx="4">
                  <c:v>IIT Bombay</c:v>
                </c:pt>
                <c:pt idx="5">
                  <c:v>IIT Roorkee</c:v>
                </c:pt>
                <c:pt idx="6">
                  <c:v>IIT Kharagpur</c:v>
                </c:pt>
                <c:pt idx="7">
                  <c:v>IIT Guwahati</c:v>
                </c:pt>
              </c:strCache>
            </c:strRef>
          </c:cat>
          <c:val>
            <c:numRef>
              <c:f>Sheet1!$D$2:$D$9</c:f>
              <c:numCache>
                <c:formatCode>General</c:formatCode>
                <c:ptCount val="8"/>
                <c:pt idx="0">
                  <c:v>0</c:v>
                </c:pt>
                <c:pt idx="1">
                  <c:v>0</c:v>
                </c:pt>
                <c:pt idx="2">
                  <c:v>0</c:v>
                </c:pt>
                <c:pt idx="3">
                  <c:v>0</c:v>
                </c:pt>
                <c:pt idx="4">
                  <c:v>0</c:v>
                </c:pt>
                <c:pt idx="5">
                  <c:v>0</c:v>
                </c:pt>
                <c:pt idx="6">
                  <c:v>0</c:v>
                </c:pt>
                <c:pt idx="7">
                  <c:v>6992</c:v>
                </c:pt>
              </c:numCache>
            </c:numRef>
          </c:val>
        </c:ser>
        <c:dLbls>
          <c:showLegendKey val="0"/>
          <c:showVal val="0"/>
          <c:showCatName val="0"/>
          <c:showSerName val="0"/>
          <c:showPercent val="0"/>
          <c:showBubbleSize val="0"/>
        </c:dLbls>
        <c:gapWidth val="150"/>
        <c:shape val="box"/>
        <c:axId val="-1043508800"/>
        <c:axId val="-1043509888"/>
        <c:axId val="0"/>
      </c:bar3DChart>
      <c:catAx>
        <c:axId val="-10435088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509888"/>
        <c:crosses val="autoZero"/>
        <c:auto val="1"/>
        <c:lblAlgn val="ctr"/>
        <c:lblOffset val="100"/>
        <c:noMultiLvlLbl val="0"/>
      </c:catAx>
      <c:valAx>
        <c:axId val="-104350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5088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Sheet1!$C$11</c:f>
              <c:strCache>
                <c:ptCount val="1"/>
                <c:pt idx="0">
                  <c:v>2023 Cutoff rank</c:v>
                </c:pt>
              </c:strCache>
            </c:strRef>
          </c:tx>
          <c:spPr>
            <a:solidFill>
              <a:schemeClr val="accent1"/>
            </a:solidFill>
            <a:ln>
              <a:noFill/>
            </a:ln>
            <a:effectLst/>
          </c:spPr>
          <c:invertIfNegative val="0"/>
          <c:cat>
            <c:multiLvlStrRef>
              <c:f>Sheet1!$A$12:$B$17</c:f>
              <c:multiLvlStrCache>
                <c:ptCount val="6"/>
                <c:lvl>
                  <c:pt idx="0">
                    <c:v>MBBS</c:v>
                  </c:pt>
                  <c:pt idx="1">
                    <c:v>MBBS</c:v>
                  </c:pt>
                  <c:pt idx="2">
                    <c:v>BDS</c:v>
                  </c:pt>
                  <c:pt idx="3">
                    <c:v>BDS</c:v>
                  </c:pt>
                  <c:pt idx="4">
                    <c:v>Nursing</c:v>
                  </c:pt>
                  <c:pt idx="5">
                    <c:v>Nursing</c:v>
                  </c:pt>
                </c:lvl>
                <c:lvl>
                  <c:pt idx="0">
                    <c:v>AIIMS Delhi</c:v>
                  </c:pt>
                  <c:pt idx="1">
                    <c:v>AIIMS Jodhpur</c:v>
                  </c:pt>
                  <c:pt idx="2">
                    <c:v>AIIMS Delhi</c:v>
                  </c:pt>
                  <c:pt idx="3">
                    <c:v>AIIMS Bhopal</c:v>
                  </c:pt>
                  <c:pt idx="4">
                    <c:v>MAMC Delhi</c:v>
                  </c:pt>
                  <c:pt idx="5">
                    <c:v>PGIMS Rohtak</c:v>
                  </c:pt>
                </c:lvl>
              </c:multiLvlStrCache>
            </c:multiLvlStrRef>
          </c:cat>
          <c:val>
            <c:numRef>
              <c:f>Sheet1!$C$12:$C$17</c:f>
              <c:numCache>
                <c:formatCode>General</c:formatCode>
                <c:ptCount val="6"/>
                <c:pt idx="0">
                  <c:v>57</c:v>
                </c:pt>
                <c:pt idx="1">
                  <c:v>534</c:v>
                </c:pt>
                <c:pt idx="2">
                  <c:v>710</c:v>
                </c:pt>
                <c:pt idx="3">
                  <c:v>705</c:v>
                </c:pt>
                <c:pt idx="4">
                  <c:v>670</c:v>
                </c:pt>
                <c:pt idx="5">
                  <c:v>650</c:v>
                </c:pt>
              </c:numCache>
            </c:numRef>
          </c:val>
        </c:ser>
        <c:dLbls>
          <c:showLegendKey val="0"/>
          <c:showVal val="0"/>
          <c:showCatName val="0"/>
          <c:showSerName val="0"/>
          <c:showPercent val="0"/>
          <c:showBubbleSize val="0"/>
        </c:dLbls>
        <c:gapWidth val="219"/>
        <c:overlap val="-27"/>
        <c:axId val="-1043507168"/>
        <c:axId val="-1043514784"/>
      </c:barChart>
      <c:lineChart>
        <c:grouping val="standard"/>
        <c:varyColors val="0"/>
        <c:ser>
          <c:idx val="1"/>
          <c:order val="1"/>
          <c:tx>
            <c:strRef>
              <c:f>Sheet1!$D$11</c:f>
              <c:strCache>
                <c:ptCount val="1"/>
                <c:pt idx="0">
                  <c:v>2024 Cutoff rank</c:v>
                </c:pt>
              </c:strCache>
            </c:strRef>
          </c:tx>
          <c:spPr>
            <a:ln w="28575" cap="rnd">
              <a:solidFill>
                <a:schemeClr val="accent2"/>
              </a:solidFill>
              <a:round/>
            </a:ln>
            <a:effectLst/>
          </c:spPr>
          <c:marker>
            <c:symbol val="none"/>
          </c:marker>
          <c:cat>
            <c:multiLvlStrRef>
              <c:f>Sheet1!$A$12:$B$17</c:f>
              <c:multiLvlStrCache>
                <c:ptCount val="6"/>
                <c:lvl>
                  <c:pt idx="0">
                    <c:v>MBBS</c:v>
                  </c:pt>
                  <c:pt idx="1">
                    <c:v>MBBS</c:v>
                  </c:pt>
                  <c:pt idx="2">
                    <c:v>BDS</c:v>
                  </c:pt>
                  <c:pt idx="3">
                    <c:v>BDS</c:v>
                  </c:pt>
                  <c:pt idx="4">
                    <c:v>Nursing</c:v>
                  </c:pt>
                  <c:pt idx="5">
                    <c:v>Nursing</c:v>
                  </c:pt>
                </c:lvl>
                <c:lvl>
                  <c:pt idx="0">
                    <c:v>AIIMS Delhi</c:v>
                  </c:pt>
                  <c:pt idx="1">
                    <c:v>AIIMS Jodhpur</c:v>
                  </c:pt>
                  <c:pt idx="2">
                    <c:v>AIIMS Delhi</c:v>
                  </c:pt>
                  <c:pt idx="3">
                    <c:v>AIIMS Bhopal</c:v>
                  </c:pt>
                  <c:pt idx="4">
                    <c:v>MAMC Delhi</c:v>
                  </c:pt>
                  <c:pt idx="5">
                    <c:v>PGIMS Rohtak</c:v>
                  </c:pt>
                </c:lvl>
              </c:multiLvlStrCache>
            </c:multiLvlStrRef>
          </c:cat>
          <c:val>
            <c:numRef>
              <c:f>Sheet1!$D$12:$D$17</c:f>
              <c:numCache>
                <c:formatCode>General</c:formatCode>
                <c:ptCount val="6"/>
                <c:pt idx="0">
                  <c:v>47</c:v>
                </c:pt>
                <c:pt idx="1">
                  <c:v>497</c:v>
                </c:pt>
                <c:pt idx="2">
                  <c:v>715</c:v>
                </c:pt>
                <c:pt idx="3">
                  <c:v>710</c:v>
                </c:pt>
                <c:pt idx="4">
                  <c:v>675</c:v>
                </c:pt>
                <c:pt idx="5">
                  <c:v>660</c:v>
                </c:pt>
              </c:numCache>
            </c:numRef>
          </c:val>
          <c:smooth val="0"/>
        </c:ser>
        <c:dLbls>
          <c:showLegendKey val="0"/>
          <c:showVal val="0"/>
          <c:showCatName val="0"/>
          <c:showSerName val="0"/>
          <c:showPercent val="0"/>
          <c:showBubbleSize val="0"/>
        </c:dLbls>
        <c:marker val="1"/>
        <c:smooth val="0"/>
        <c:axId val="-1043507168"/>
        <c:axId val="-1043514784"/>
      </c:lineChart>
      <c:catAx>
        <c:axId val="-104350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514784"/>
        <c:crosses val="autoZero"/>
        <c:auto val="1"/>
        <c:lblAlgn val="ctr"/>
        <c:lblOffset val="100"/>
        <c:noMultiLvlLbl val="0"/>
      </c:catAx>
      <c:valAx>
        <c:axId val="-104351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50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2024-12-29T14:46:00Z</dcterms:created>
  <dcterms:modified xsi:type="dcterms:W3CDTF">2024-12-29T15:15:00Z</dcterms:modified>
</cp:coreProperties>
</file>