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Architecting an Enterprise-Grade, Air-Gapped Semantic Search Engine for CVPR 2026 Academic Literature</w:t>
      </w:r>
    </w:p>
    <w:p>
      <w:pPr>
        <w:pStyle w:val="Author"/>
      </w:pPr>
      <w:r>
        <w:t xml:space="preserve">Gemini, ChatGPT, Perry Shoham</w:t>
      </w:r>
    </w:p>
    <w:p>
      <w:pPr>
        <w:pStyle w:val="Date"/>
      </w:pPr>
      <w:r>
        <w:t xml:space="preserve">2026-06-19</w:t>
      </w:r>
    </w:p>
    <w:p>
      <w:pPr>
        <w:pStyle w:val="AbstractTitle"/>
      </w:pPr>
      <w:r>
        <w:t xml:space="preserve">Abstract</w:t>
      </w:r>
    </w:p>
    <w:p>
      <w:pPr>
        <w:pStyle w:val="Abstract"/>
      </w:pPr>
      <w:r>
        <w:t xml:space="preserve">Accessing massive scientific corpuses within secure, network-isolated (air-gapped) environments poses severe data engineering and information retrieval challenges. Traditional semantic search pipelines rely heavily on external cloud-based APIs, rendering them unusable in secure industrial or governmental infrastructure. This paper presents a complete localized architecture designed to ingest, index, and query the 4,071 accepted papers of the IEEE/CVF Conference on Computer Vision and Pattern Recognition (CVPR 2026). The proposed framework operates entirely offline, combining an optimized web scraping protocol, the state-of-the-art</w:t>
      </w:r>
      <w:r>
        <w:t xml:space="preserve"> </w:t>
      </w:r>
      <w:r>
        <w:rPr>
          <w:rStyle w:val="VerbatimChar"/>
        </w:rPr>
        <w:t xml:space="preserve">BAAI/bge-large-en-v1.5</w:t>
      </w:r>
      <w:r>
        <w:t xml:space="preserve"> </w:t>
      </w:r>
      <w:r>
        <w:t xml:space="preserve">dense retrieval model, an enriched asymmetric indexing algorithm (Title + Abstract), and an optimized matrix algebraic search space utilizing raw NumPy arrays. By leveraging vectorized cosine similarity optimizations, the system achieves sub-millisecond retrieval times on standard CPU architectures while preserving absolute data sovereignty and operational security.</w:t>
      </w:r>
    </w:p>
    <w:bookmarkStart w:id="9" w:name="introduction"/>
    <w:p>
      <w:pPr>
        <w:pStyle w:val="Heading1"/>
      </w:pPr>
      <w:r>
        <w:t xml:space="preserve">Introduction</w:t>
      </w:r>
    </w:p>
    <w:p>
      <w:pPr>
        <w:pStyle w:val="FirstParagraph"/>
      </w:pPr>
      <w:r>
        <w:t xml:space="preserve">In deep learning and computer vision industries, keeping up with state-of-the-art literature like the IEEE/CVF Conference on Computer Vision and Pattern Recognition (CVPR) is vital. However, when target deployments reside inside secure, disconnected networks (air-gapped environments), downloading materials dynamically or calling cloud-hosted Large Language Model (LLM) embeddings is strictly prohibited.</w:t>
      </w:r>
    </w:p>
    <w:p>
      <w:pPr>
        <w:pStyle w:val="BodyText"/>
      </w:pPr>
      <w:r>
        <w:t xml:space="preserve">This paper outlines the engineering blueprint and underlying mathematical foundations for an independent, on-premise knowledge management portal. The pipeline automates the ingestion of CVPR 2026 assets, leverages state-of-the-art localized bi-encoders to extract high-dimensional semantic vector spaces, optimizes search mechanics via fundamental matrix calculus, and delivers an accessible graphical interface to system operators.</w:t>
      </w:r>
    </w:p>
    <w:bookmarkEnd w:id="9"/>
    <w:bookmarkStart w:id="10" w:name="X1770c1842703017ab23633444b6a07bb8fd8cf9"/>
    <w:p>
      <w:pPr>
        <w:pStyle w:val="Heading1"/>
      </w:pPr>
      <w:r>
        <w:t xml:space="preserve">Automated Ingestion Protocol of Scientific Literature</w:t>
      </w:r>
    </w:p>
    <w:p>
      <w:pPr>
        <w:pStyle w:val="FirstParagraph"/>
      </w:pPr>
      <w:r>
        <w:t xml:space="preserve">The initial pipeline module handles systematic data harvesting from public open-access web repositories. The primary target is the Computer Vision Foundation (CVF) Open Access library, which hosts official conference proceedings.</w:t>
      </w:r>
    </w:p>
    <w:p>
      <w:pPr>
        <w:pStyle w:val="BodyText"/>
      </w:pPr>
      <w:r>
        <w:t xml:space="preserve">To securely ingest thousands of source documents without triggering server-side rate limits or security blocks, a structured, sequential crawling engine is developed. The ingestion protocol processes a pre-defined metadata layout where each accepted paper is mapped to a unique structural ID.</w:t>
      </w:r>
    </w:p>
    <w:p>
      <w:pPr>
        <w:pStyle w:val="BodyText"/>
      </w:pPr>
      <w:r>
        <w:t xml:space="preserve">The harvesting engine operates in a two-stage sequential loop:</w:t>
      </w:r>
    </w:p>
    <w:p>
      <w:pPr>
        <w:numPr>
          <w:ilvl w:val="0"/>
          <w:numId w:val="1001"/>
        </w:numPr>
      </w:pPr>
      <w:r>
        <w:rPr>
          <w:b/>
          <w:bCs/>
        </w:rPr>
        <w:t xml:space="preserve">Metadata Harvesting:</w:t>
      </w:r>
      <w:r>
        <w:t xml:space="preserve"> </w:t>
      </w:r>
      <w:r>
        <w:t xml:space="preserve">The engine parses individual HTML landing pages to extract structural components, specifically targeting the raw DOM elements that wrap the paper’s title, author listings, and abstract text.</w:t>
      </w:r>
    </w:p>
    <w:p>
      <w:pPr>
        <w:numPr>
          <w:ilvl w:val="0"/>
          <w:numId w:val="1001"/>
        </w:numPr>
      </w:pPr>
      <w:r>
        <w:rPr>
          <w:b/>
          <w:bCs/>
        </w:rPr>
        <w:t xml:space="preserve">Binary Asset Isolation:</w:t>
      </w:r>
      <w:r>
        <w:t xml:space="preserve"> </w:t>
      </w:r>
      <w:r>
        <w:t xml:space="preserve">The system resolves the direct binary path for the matching PDF document, streams the raw byte layout, and commits the object directly into a localized folder hierarchy structured for long-term offline retention.</w:t>
      </w:r>
    </w:p>
    <w:p>
      <w:pPr>
        <w:pStyle w:val="FirstParagraph"/>
      </w:pPr>
      <w:r>
        <w:t xml:space="preserve">To balance network load and avoid service disruption, a strict programmatic throttling layer (0.5-second request delay) is imposed on the scraping worker thread.</w:t>
      </w:r>
    </w:p>
    <w:bookmarkEnd w:id="10"/>
    <w:bookmarkStart w:id="13" w:name="X406dfe8f335311aeff86e33baf8629123b02457"/>
    <w:p>
      <w:pPr>
        <w:pStyle w:val="Heading1"/>
      </w:pPr>
      <w:r>
        <w:t xml:space="preserve">Local Transformer Provisioning: BAAI/bge-large-en-v1.5</w:t>
      </w:r>
    </w:p>
    <w:p>
      <w:pPr>
        <w:pStyle w:val="FirstParagraph"/>
      </w:pPr>
      <w:r>
        <w:t xml:space="preserve">To compute semantic relationships completely offline, an expressive neural language model must be frozen, exported, and physically transferred across the secure boundary. For this architecture, the</w:t>
      </w:r>
      <w:r>
        <w:t xml:space="preserve"> </w:t>
      </w:r>
      <w:r>
        <w:rPr>
          <w:rStyle w:val="VerbatimChar"/>
        </w:rPr>
        <w:t xml:space="preserve">BAAI/bge-large-en-v1.5</w:t>
      </w:r>
      <w:r>
        <w:t xml:space="preserve"> </w:t>
      </w:r>
      <w:r>
        <w:t xml:space="preserve">(Beijing Academy of Artificial Intelligence) transformer was selected.</w:t>
      </w:r>
    </w:p>
    <w:bookmarkStart w:id="11" w:name="model-specifications"/>
    <w:p>
      <w:pPr>
        <w:pStyle w:val="Heading2"/>
      </w:pPr>
      <w:r>
        <w:t xml:space="preserve">Model Specifications</w:t>
      </w:r>
    </w:p>
    <w:p>
      <w:pPr>
        <w:pStyle w:val="FirstParagraph"/>
      </w:pPr>
      <w:r>
        <w:t xml:space="preserve">The BGE-Large model family represents a significant performance leap over standard lightweight sentence transformers (e.g.,</w:t>
      </w:r>
      <w:r>
        <w:t xml:space="preserve"> </w:t>
      </w:r>
      <w:r>
        <w:rPr>
          <w:rStyle w:val="VerbatimChar"/>
        </w:rPr>
        <w:t xml:space="preserve">all-MiniLM-L6-v2</w:t>
      </w:r>
      <w:r>
        <w:t xml:space="preserve">). Its architectural characteristics include:</w:t>
      </w:r>
    </w:p>
    <w:p>
      <w:pPr>
        <w:numPr>
          <w:ilvl w:val="0"/>
          <w:numId w:val="1002"/>
        </w:numPr>
      </w:pPr>
      <w:r>
        <w:rPr>
          <w:b/>
          <w:bCs/>
        </w:rPr>
        <w:t xml:space="preserve">Dimensionality:</w:t>
      </w:r>
      <w:r>
        <w:t xml:space="preserve"> </w:t>
      </w:r>
      <w:r>
        <w:t xml:space="preserve">Projects text inputs into a dense vector space of</w:t>
      </w:r>
      <w:r>
        <w:t xml:space="preserve"> </w:t>
      </w:r>
      <m:oMath>
        <m:r>
          <m:t>d</m:t>
        </m:r>
        <m:r>
          <m:rPr>
            <m:sty m:val="p"/>
          </m:rPr>
          <m:t>=</m:t>
        </m:r>
        <m:r>
          <m:t>1024</m:t>
        </m:r>
      </m:oMath>
      <w:r>
        <w:t xml:space="preserve"> </w:t>
      </w:r>
      <w:r>
        <w:t xml:space="preserve">floating-point dimensions, capturing deep contextual nuances.</w:t>
      </w:r>
    </w:p>
    <w:p>
      <w:pPr>
        <w:numPr>
          <w:ilvl w:val="0"/>
          <w:numId w:val="1002"/>
        </w:numPr>
      </w:pPr>
      <w:r>
        <w:rPr>
          <w:b/>
          <w:bCs/>
        </w:rPr>
        <w:t xml:space="preserve">Context Window:</w:t>
      </w:r>
      <w:r>
        <w:t xml:space="preserve"> </w:t>
      </w:r>
      <w:r>
        <w:t xml:space="preserve">Accommodates a context boundary of up to 512 structural tokens, preventing premature truncation of extensive scientific summaries.</w:t>
      </w:r>
    </w:p>
    <w:p>
      <w:pPr>
        <w:numPr>
          <w:ilvl w:val="0"/>
          <w:numId w:val="1002"/>
        </w:numPr>
      </w:pPr>
      <w:r>
        <w:rPr>
          <w:b/>
          <w:bCs/>
        </w:rPr>
        <w:t xml:space="preserve">Contrastive Pre-training:</w:t>
      </w:r>
      <w:r>
        <w:t xml:space="preserve"> </w:t>
      </w:r>
      <w:r>
        <w:t xml:space="preserve">The model was pre-trained using a highly optimized contrastive learning objective over billions of academic, technical, and web-scale text pairs. This equips the network with native fluency in complex domain-specific jargon, such as</w:t>
      </w:r>
      <w:r>
        <w:t xml:space="preserve"> </w:t>
      </w:r>
      <w:r>
        <w:rPr>
          <w:i/>
          <w:iCs/>
        </w:rPr>
        <w:t xml:space="preserve">"multispectral image fusion"</w:t>
      </w:r>
      <w:r>
        <w:t xml:space="preserve">,</w:t>
      </w:r>
      <w:r>
        <w:t xml:space="preserve"> </w:t>
      </w:r>
      <w:r>
        <w:rPr>
          <w:i/>
          <w:iCs/>
        </w:rPr>
        <w:t xml:space="preserve">"contrastive representation learning"</w:t>
      </w:r>
      <w:r>
        <w:t xml:space="preserve">, and</w:t>
      </w:r>
      <w:r>
        <w:t xml:space="preserve"> </w:t>
      </w:r>
      <w:r>
        <w:rPr>
          <w:i/>
          <w:iCs/>
        </w:rPr>
        <w:t xml:space="preserve">"epipolar geometry"</w:t>
      </w:r>
      <w:r>
        <w:t xml:space="preserve">.</w:t>
      </w:r>
    </w:p>
    <w:bookmarkEnd w:id="11"/>
    <w:bookmarkStart w:id="12" w:name="export-and-air-gap-migration-strategy"/>
    <w:p>
      <w:pPr>
        <w:pStyle w:val="Heading2"/>
      </w:pPr>
      <w:r>
        <w:t xml:space="preserve">Export and Air-Gap Migration Strategy</w:t>
      </w:r>
    </w:p>
    <w:p>
      <w:pPr>
        <w:pStyle w:val="FirstParagraph"/>
      </w:pPr>
      <w:r>
        <w:t xml:space="preserve">Prior to deployment within the air-gapped environment, a script runs on an internet-connected workstation to initialize the model from the Hugging Face Hub. The execution serializes the underlying PyTorch weights, tokenizer vocabularies, configuration matrices, and pooling layers directly into a single unified directory.</w:t>
      </w:r>
    </w:p>
    <w:p>
      <w:pPr>
        <w:pStyle w:val="BodyText"/>
      </w:pPr>
      <w:r>
        <w:t xml:space="preserve">This frozen directory is then verified, compiled, and transferred via authorized physical media into the air-gapped architecture, where it interfaces directly with an internal PyPI Artifactory registry.</w:t>
      </w:r>
    </w:p>
    <w:bookmarkEnd w:id="12"/>
    <w:bookmarkEnd w:id="13"/>
    <w:bookmarkStart w:id="17" w:name="Xb17d6806d8b2fae9abdbe066228c0422d8913e0"/>
    <w:p>
      <w:pPr>
        <w:pStyle w:val="Heading1"/>
      </w:pPr>
      <w:r>
        <w:t xml:space="preserve">Mathematical Foundations of Semantic Sector Synthesis</w:t>
      </w:r>
    </w:p>
    <w:p>
      <w:pPr>
        <w:pStyle w:val="FirstParagraph"/>
      </w:pPr>
      <w:r>
        <w:t xml:space="preserve">Once the raw documents and the language model are co-located within the isolated secure space, the text must be mathematically encoded into an optimized searching structure.</w:t>
      </w:r>
    </w:p>
    <w:bookmarkStart w:id="14" w:name="asymmetric-context-construction"/>
    <w:p>
      <w:pPr>
        <w:pStyle w:val="Heading2"/>
      </w:pPr>
      <w:r>
        <w:t xml:space="preserve">Asymmetric Context Construction</w:t>
      </w:r>
    </w:p>
    <w:p>
      <w:pPr>
        <w:pStyle w:val="FirstParagraph"/>
      </w:pPr>
      <w:r>
        <w:t xml:space="preserve">Standard semantic indexing often passes only the abstract text into the model encoder. However, scientific titles contain compressed, high-signal keywords that can get diluted inside a large paragraph. To preserve this signal, we implement an Asymmetric Context Expansion strategy. For every paper</w:t>
      </w:r>
      <w:r>
        <w:t xml:space="preserve"> </w:t>
      </w:r>
      <m:oMath>
        <m:r>
          <m:t>i</m:t>
        </m:r>
      </m:oMath>
      <w:r>
        <w:t xml:space="preserve">, we generate a combined text payload</w:t>
      </w:r>
      <w:r>
        <w:t xml:space="preserve"> </w:t>
      </w:r>
      <m:oMath>
        <m:sSub>
          <m:e>
            <m:r>
              <m:t>T</m:t>
            </m:r>
          </m:e>
          <m:sub>
            <m:r>
              <m:t>i</m:t>
            </m:r>
          </m:sub>
        </m:sSub>
      </m:oMath>
      <w:r>
        <w:t xml:space="preserve">:</w:t>
      </w:r>
    </w:p>
    <w:p>
      <w:pPr>
        <w:pStyle w:val="BodyText"/>
      </w:pPr>
      <m:oMathPara>
        <m:oMathParaPr>
          <m:jc m:val="center"/>
        </m:oMathParaPr>
        <m:oMath>
          <m:sSub>
            <m:e>
              <m:r>
                <m:t>T</m:t>
              </m:r>
            </m:e>
            <m:sub>
              <m:r>
                <m:t>i</m:t>
              </m:r>
            </m:sub>
          </m:sSub>
          <m:r>
            <m:rPr>
              <m:sty m:val="p"/>
            </m:rPr>
            <m:t>=</m:t>
          </m:r>
          <m:sSub>
            <m:e>
              <m:r>
                <m:rPr>
                  <m:nor/>
                  <m:sty m:val="p"/>
                </m:rPr>
                <m:t>Title</m:t>
              </m:r>
            </m:e>
            <m:sub>
              <m:r>
                <m:t>i</m:t>
              </m:r>
            </m:sub>
          </m:sSub>
          <m:r>
            <m:rPr>
              <m:sty m:val="p"/>
            </m:rPr>
            <m:t>+</m:t>
          </m:r>
          <m:sSub>
            <m:e>
              <m:r>
                <m:rPr>
                  <m:nor/>
                  <m:sty m:val="p"/>
                </m:rPr>
                <m:t>Abstract</m:t>
              </m:r>
            </m:e>
            <m:sub>
              <m:r>
                <m:t>i</m:t>
              </m:r>
            </m:sub>
          </m:sSub>
        </m:oMath>
      </m:oMathPara>
    </w:p>
    <w:p>
      <w:pPr>
        <w:pStyle w:val="FirstParagraph"/>
      </w:pPr>
      <w:r>
        <w:t xml:space="preserve">This hybrid payload guarantees that unique algorithmic nouns explicitly present in the title provide a strong directional pull to the final vector representation.</w:t>
      </w:r>
    </w:p>
    <w:bookmarkEnd w:id="14"/>
    <w:bookmarkStart w:id="15" w:name="vector-space-projection-mechanics"/>
    <w:p>
      <w:pPr>
        <w:pStyle w:val="Heading2"/>
      </w:pPr>
      <w:r>
        <w:t xml:space="preserve">Vector Space Projection Mechanics</w:t>
      </w:r>
    </w:p>
    <w:p>
      <w:pPr>
        <w:pStyle w:val="FirstParagraph"/>
      </w:pPr>
      <w:r>
        <w:t xml:space="preserve">Let the localized BGE neural network be defined as a parameterized mapping function</w:t>
      </w:r>
      <w:r>
        <w:t xml:space="preserve"> </w:t>
      </w:r>
      <m:oMath>
        <m:r>
          <m:t>f</m:t>
        </m:r>
        <m:r>
          <m:rPr>
            <m:sty m:val="p"/>
          </m:rPr>
          <m:t>:</m:t>
        </m:r>
        <m:r>
          <m:rPr>
            <m:scr m:val="script"/>
            <m:sty m:val="p"/>
          </m:rPr>
          <m:t>X</m:t>
        </m:r>
        <m:r>
          <m:rPr>
            <m:sty m:val="p"/>
          </m:rPr>
          <m:t>→</m:t>
        </m:r>
        <m:sSup>
          <m:e>
            <m:r>
              <m:rPr>
                <m:scr m:val="double-struck"/>
                <m:sty m:val="p"/>
              </m:rPr>
              <m:t>R</m:t>
            </m:r>
          </m:e>
          <m:sup>
            <m:r>
              <m:t>d</m:t>
            </m:r>
          </m:sup>
        </m:sSup>
      </m:oMath>
      <w:r>
        <w:t xml:space="preserve">, where</w:t>
      </w:r>
      <w:r>
        <w:t xml:space="preserve"> </w:t>
      </w:r>
      <m:oMath>
        <m:r>
          <m:rPr>
            <m:scr m:val="script"/>
            <m:sty m:val="p"/>
          </m:rPr>
          <m:t>X</m:t>
        </m:r>
      </m:oMath>
      <w:r>
        <w:t xml:space="preserve"> </w:t>
      </w:r>
      <w:r>
        <w:t xml:space="preserve">defines the universal text space and</w:t>
      </w:r>
      <w:r>
        <w:t xml:space="preserve"> </w:t>
      </w:r>
      <m:oMath>
        <m:r>
          <m:t>d</m:t>
        </m:r>
        <m:r>
          <m:rPr>
            <m:sty m:val="p"/>
          </m:rPr>
          <m:t>=</m:t>
        </m:r>
        <m:r>
          <m:t>1024</m:t>
        </m:r>
      </m:oMath>
      <w:r>
        <w:t xml:space="preserve">. The synthesis of the semantic sectors for the entire corpus proceeds as follows:</w:t>
      </w:r>
    </w:p>
    <w:p>
      <w:pPr>
        <w:numPr>
          <w:ilvl w:val="0"/>
          <w:numId w:val="1003"/>
        </w:numPr>
      </w:pPr>
      <w:r>
        <w:rPr>
          <w:b/>
          <w:bCs/>
        </w:rPr>
        <w:t xml:space="preserve">Tokenization:</w:t>
      </w:r>
      <w:r>
        <w:t xml:space="preserve"> </w:t>
      </w:r>
      <w:r>
        <w:t xml:space="preserve">The combined text payload</w:t>
      </w:r>
      <w:r>
        <w:t xml:space="preserve"> </w:t>
      </w:r>
      <m:oMath>
        <m:sSub>
          <m:e>
            <m:r>
              <m:t>T</m:t>
            </m:r>
          </m:e>
          <m:sub>
            <m:r>
              <m:t>i</m:t>
            </m:r>
          </m:sub>
        </m:sSub>
      </m:oMath>
      <w:r>
        <w:t xml:space="preserve"> </w:t>
      </w:r>
      <w:r>
        <w:t xml:space="preserve">is mapped to a tokenized tensor</w:t>
      </w:r>
      <w:r>
        <w:t xml:space="preserve"> </w:t>
      </w:r>
      <m:oMath>
        <m:r>
          <m:rPr>
            <m:sty m:val="bi"/>
          </m:rP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t xml:space="preserve">.</w:t>
      </w:r>
    </w:p>
    <w:p>
      <w:pPr>
        <w:numPr>
          <w:ilvl w:val="0"/>
          <w:numId w:val="1003"/>
        </w:numPr>
      </w:pPr>
      <w:r>
        <w:rPr>
          <w:b/>
          <w:bCs/>
        </w:rPr>
        <w:t xml:space="preserve">Hidden State Extraction:</w:t>
      </w:r>
      <w:r>
        <w:t xml:space="preserve"> </w:t>
      </w:r>
      <w:r>
        <w:t xml:space="preserve">The token tensor passes through 24 bidirectional transformer layers, generating a dense contextualized hidden-state matrix:</w:t>
      </w:r>
    </w:p>
    <w:p>
      <w:pPr>
        <w:pStyle w:val="BodyText"/>
      </w:pPr>
      <m:oMathPara>
        <m:oMathParaPr>
          <m:jc m:val="center"/>
        </m:oMathParaPr>
        <m:oMath>
          <m:r>
            <m:rPr>
              <m:sty m:val="bi"/>
            </m:rPr>
            <m:t>H</m:t>
          </m:r>
          <m:r>
            <m:rPr>
              <m:sty m:val="p"/>
            </m:rPr>
            <m:t>∈</m:t>
          </m:r>
          <m:sSup>
            <m:e>
              <m:r>
                <m:rPr>
                  <m:scr m:val="double-struck"/>
                  <m:sty m:val="p"/>
                </m:rPr>
                <m:t>R</m:t>
              </m:r>
            </m:e>
            <m:sup>
              <m:r>
                <m:t>n</m:t>
              </m:r>
              <m:r>
                <m:rPr>
                  <m:sty m:val="p"/>
                </m:rPr>
                <m:t>×</m:t>
              </m:r>
              <m:r>
                <m:t>1024</m:t>
              </m:r>
            </m:sup>
          </m:sSup>
        </m:oMath>
      </m:oMathPara>
    </w:p>
    <w:p>
      <w:pPr>
        <w:numPr>
          <w:ilvl w:val="0"/>
          <w:numId w:val="1003"/>
        </w:numPr>
      </w:pPr>
      <w:r>
        <w:rPr>
          <w:b/>
          <w:bCs/>
        </w:rPr>
        <w:t xml:space="preserve">Mean Pooling:</w:t>
      </w:r>
      <w:r>
        <w:t xml:space="preserve"> </w:t>
      </w:r>
      <w:r>
        <w:t xml:space="preserve">To compress the token dimension down to a single sentence representation, a mean pooling function is executed across the sequence axis while respecting the attention padding mask</w:t>
      </w:r>
      <w:r>
        <w:t xml:space="preserve"> </w:t>
      </w:r>
      <m:oMath>
        <m:sSub>
          <m:e>
            <m:r>
              <m:t>m</m:t>
            </m:r>
          </m:e>
          <m:sub>
            <m:r>
              <m:t>j</m:t>
            </m:r>
          </m:sub>
        </m:sSub>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sSub>
            <m:e>
              <m:r>
                <m:rPr>
                  <m:sty m:val="bi"/>
                </m:rPr>
                <m:t>v</m:t>
              </m:r>
            </m:e>
            <m:sub>
              <m:r>
                <m:t>i</m:t>
              </m:r>
            </m:sub>
          </m:sSub>
          <m:r>
            <m:rPr>
              <m:sty m:val="p"/>
            </m:rPr>
            <m:t>=</m:t>
          </m:r>
          <m:f>
            <m:fPr>
              <m:type m:val="bar"/>
            </m:fPr>
            <m:num>
              <m:nary>
                <m:naryPr>
                  <m:chr m:val="∑"/>
                  <m:limLoc m:val="undOvr"/>
                  <m:subHide m:val="off"/>
                  <m:supHide m:val="off"/>
                </m:naryPr>
                <m:sub>
                  <m:r>
                    <m:t>j</m:t>
                  </m:r>
                  <m:r>
                    <m:rPr>
                      <m:sty m:val="p"/>
                    </m:rPr>
                    <m:t>=</m:t>
                  </m:r>
                  <m:r>
                    <m:t>1</m:t>
                  </m:r>
                </m:sub>
                <m:sup>
                  <m:r>
                    <m:t>n</m:t>
                  </m:r>
                </m:sup>
                <m:e>
                  <m:sSub>
                    <m:e>
                      <m:r>
                        <m:rPr>
                          <m:sty m:val="bi"/>
                        </m:rPr>
                        <m:t>H</m:t>
                      </m:r>
                    </m:e>
                    <m:sub>
                      <m:r>
                        <m:t>j</m:t>
                      </m:r>
                    </m:sub>
                  </m:sSub>
                </m:e>
              </m:nary>
              <m:r>
                <m:rPr>
                  <m:sty m:val="p"/>
                </m:rPr>
                <m:t>⋅</m:t>
              </m:r>
              <m:sSub>
                <m:e>
                  <m:r>
                    <m:t>m</m:t>
                  </m:r>
                </m:e>
                <m:sub>
                  <m:r>
                    <m:t>j</m:t>
                  </m:r>
                </m:sub>
              </m:sSub>
            </m:num>
            <m:den>
              <m:nary>
                <m:naryPr>
                  <m:chr m:val="∑"/>
                  <m:limLoc m:val="undOvr"/>
                  <m:subHide m:val="off"/>
                  <m:supHide m:val="off"/>
                </m:naryPr>
                <m:sub>
                  <m:r>
                    <m:t>j</m:t>
                  </m:r>
                  <m:r>
                    <m:rPr>
                      <m:sty m:val="p"/>
                    </m:rPr>
                    <m:t>=</m:t>
                  </m:r>
                  <m:r>
                    <m:t>1</m:t>
                  </m:r>
                </m:sub>
                <m:sup>
                  <m:r>
                    <m:t>n</m:t>
                  </m:r>
                </m:sup>
                <m:e>
                  <m:sSub>
                    <m:e>
                      <m:r>
                        <m:t>m</m:t>
                      </m:r>
                    </m:e>
                    <m:sub>
                      <m:r>
                        <m:t>j</m:t>
                      </m:r>
                    </m:sub>
                  </m:sSub>
                </m:e>
              </m:nary>
            </m:den>
          </m:f>
        </m:oMath>
      </m:oMathPara>
    </w:p>
    <w:p>
      <w:pPr>
        <w:numPr>
          <w:ilvl w:val="0"/>
          <w:numId w:val="1003"/>
        </w:numPr>
      </w:pPr>
      <m:oMath>
        <m:sSub>
          <m:e>
            <m:r>
              <m:t>L</m:t>
            </m:r>
          </m:e>
          <m:sub>
            <m:r>
              <m:t>2</m:t>
            </m:r>
          </m:sub>
        </m:sSub>
      </m:oMath>
      <w:r>
        <w:rPr>
          <w:b/>
          <w:bCs/>
        </w:rPr>
        <w:t xml:space="preserve"> </w:t>
      </w:r>
      <w:r>
        <w:rPr>
          <w:b/>
          <w:bCs/>
        </w:rPr>
        <w:t xml:space="preserve">Normalization:</w:t>
      </w:r>
      <w:r>
        <w:t xml:space="preserve"> </w:t>
      </w:r>
      <w:r>
        <w:t xml:space="preserve">The raw pooled vector</w:t>
      </w:r>
      <w:r>
        <w:t xml:space="preserve"> </w:t>
      </w:r>
      <m:oMath>
        <m:sSub>
          <m:e>
            <m:r>
              <m:rPr>
                <m:sty m:val="bi"/>
              </m:rPr>
              <m:t>v</m:t>
            </m:r>
          </m:e>
          <m:sub>
            <m:r>
              <m:t>i</m:t>
            </m:r>
          </m:sub>
        </m:sSub>
      </m:oMath>
      <w:r>
        <w:t xml:space="preserve"> </w:t>
      </w:r>
      <w:r>
        <w:t xml:space="preserve">is strictly normalized to sit precisely on the surface of a 1024-dimensional unit hypersphere:</w:t>
      </w:r>
    </w:p>
    <w:p>
      <w:pPr>
        <w:pStyle w:val="BodyText"/>
      </w:pPr>
      <m:oMathPara>
        <m:oMathParaPr>
          <m:jc m:val="center"/>
        </m:oMathParaPr>
        <m:oMath>
          <m:sSub>
            <m:e>
              <m:acc>
                <m:accPr>
                  <m:chr m:val="̂"/>
                </m:accPr>
                <m:e>
                  <m:r>
                    <m:rPr>
                      <m:sty m:val="bi"/>
                    </m:rPr>
                    <m:t>v</m:t>
                  </m:r>
                </m:e>
              </m:acc>
            </m:e>
            <m:sub>
              <m:r>
                <m:t>i</m:t>
              </m:r>
            </m:sub>
          </m:sSub>
          <m:r>
            <m:rPr>
              <m:sty m:val="p"/>
            </m:rPr>
            <m:t>=</m:t>
          </m:r>
          <m:f>
            <m:fPr>
              <m:type m:val="bar"/>
            </m:fPr>
            <m:num>
              <m:sSub>
                <m:e>
                  <m:r>
                    <m:rPr>
                      <m:sty m:val="bi"/>
                    </m:rPr>
                    <m:t>v</m:t>
                  </m:r>
                </m:e>
                <m:sub>
                  <m:r>
                    <m:t>i</m:t>
                  </m:r>
                </m:sub>
              </m:sSub>
            </m:num>
            <m:den>
              <m:r>
                <m:rPr>
                  <m:sty m:val="p"/>
                </m:rPr>
                <m:t>∥</m:t>
              </m:r>
              <m:sSub>
                <m:e>
                  <m:r>
                    <m:rPr>
                      <m:sty m:val="bi"/>
                    </m:rPr>
                    <m:t>v</m:t>
                  </m:r>
                </m:e>
                <m:sub>
                  <m:r>
                    <m:t>i</m:t>
                  </m:r>
                </m:sub>
              </m:sSub>
              <m:sSub>
                <m:e>
                  <m:r>
                    <m:rPr>
                      <m:sty m:val="p"/>
                    </m:rPr>
                    <m:t>∥</m:t>
                  </m:r>
                </m:e>
                <m:sub>
                  <m:r>
                    <m:t>2</m:t>
                  </m:r>
                </m:sub>
              </m:sSub>
            </m:den>
          </m:f>
          <m:r>
            <m:rPr>
              <m:sty m:val="p"/>
            </m:rPr>
            <m:t>=</m:t>
          </m:r>
          <m:f>
            <m:fPr>
              <m:type m:val="bar"/>
            </m:fPr>
            <m:num>
              <m:sSub>
                <m:e>
                  <m:r>
                    <m:rPr>
                      <m:sty m:val="bi"/>
                    </m:rPr>
                    <m:t>v</m:t>
                  </m:r>
                </m:e>
                <m:sub>
                  <m:r>
                    <m:t>i</m:t>
                  </m:r>
                </m:sub>
              </m:sSub>
            </m:num>
            <m:den>
              <m:rad>
                <m:radPr>
                  <m:degHide m:val="on"/>
                </m:radPr>
                <m:deg/>
                <m:e>
                  <m:nary>
                    <m:naryPr>
                      <m:chr m:val="∑"/>
                      <m:limLoc m:val="undOvr"/>
                      <m:subHide m:val="off"/>
                      <m:supHide m:val="off"/>
                    </m:naryPr>
                    <m:sub>
                      <m:r>
                        <m:t>k</m:t>
                      </m:r>
                      <m:r>
                        <m:rPr>
                          <m:sty m:val="p"/>
                        </m:rPr>
                        <m:t>=</m:t>
                      </m:r>
                      <m:r>
                        <m:t>1</m:t>
                      </m:r>
                    </m:sub>
                    <m:sup>
                      <m:r>
                        <m:t>1024</m:t>
                      </m:r>
                    </m:sup>
                    <m:e>
                      <m:r>
                        <m:rPr>
                          <m:sty m:val="p"/>
                        </m:rPr>
                        <m:t>(</m:t>
                      </m:r>
                    </m:e>
                  </m:nary>
                  <m:sSub>
                    <m:e>
                      <m:r>
                        <m:t>v</m:t>
                      </m:r>
                    </m:e>
                    <m:sub>
                      <m:r>
                        <m:t>i</m:t>
                      </m:r>
                      <m:r>
                        <m:rPr>
                          <m:sty m:val="p"/>
                        </m:rPr>
                        <m:t>,</m:t>
                      </m:r>
                      <m:r>
                        <m:t>k</m:t>
                      </m:r>
                    </m:sub>
                  </m:sSub>
                  <m:sSup>
                    <m:e>
                      <m:r>
                        <m:rPr>
                          <m:sty m:val="p"/>
                        </m:rPr>
                        <m:t>)</m:t>
                      </m:r>
                    </m:e>
                    <m:sup>
                      <m:r>
                        <m:t>2</m:t>
                      </m:r>
                    </m:sup>
                  </m:sSup>
                </m:e>
              </m:rad>
            </m:den>
          </m:f>
        </m:oMath>
      </m:oMathPara>
    </w:p>
    <w:bookmarkEnd w:id="15"/>
    <w:bookmarkStart w:id="16" w:name="matrix-compilation"/>
    <w:p>
      <w:pPr>
        <w:pStyle w:val="Heading2"/>
      </w:pPr>
      <w:r>
        <w:t xml:space="preserve">Matrix Compilation</w:t>
      </w:r>
    </w:p>
    <w:p>
      <w:pPr>
        <w:pStyle w:val="FirstParagraph"/>
      </w:pPr>
      <w:r>
        <w:t xml:space="preserve">By computing embeddings over the entire conference catalog of</w:t>
      </w:r>
      <w:r>
        <w:t xml:space="preserve"> </w:t>
      </w:r>
      <m:oMath>
        <m:r>
          <m:t>N</m:t>
        </m:r>
        <m:r>
          <m:rPr>
            <m:sty m:val="p"/>
          </m:rPr>
          <m:t>=</m:t>
        </m:r>
        <m:r>
          <m:t>4</m:t>
        </m:r>
        <m:r>
          <m:rPr>
            <m:sty m:val="p"/>
          </m:rPr>
          <m:t>,</m:t>
        </m:r>
        <m:r>
          <m:t>071</m:t>
        </m:r>
      </m:oMath>
      <w:r>
        <w:t xml:space="preserve"> </w:t>
      </w:r>
      <w:r>
        <w:t xml:space="preserve">papers, individual row vectors are stacked to construct a static, immutable dense database matrix</w:t>
      </w:r>
      <w:r>
        <w:t xml:space="preserve"> </w:t>
      </w:r>
      <m:oMath>
        <m:r>
          <m:rPr>
            <m:sty m:val="bi"/>
          </m:rPr>
          <m:t>M</m:t>
        </m:r>
      </m:oMath>
      <w:r>
        <w:t xml:space="preserve">:</w:t>
      </w:r>
    </w:p>
    <w:p>
      <w:pPr>
        <w:pStyle w:val="BodyText"/>
      </w:pPr>
      <m:oMathPara>
        <m:oMathParaPr>
          <m:jc m:val="center"/>
        </m:oMathParaPr>
        <m:oMath>
          <m:r>
            <m:rPr>
              <m:sty m:val="bi"/>
            </m:rPr>
            <m:t>M</m:t>
          </m:r>
          <m:r>
            <m:rPr>
              <m:sty m:val="p"/>
            </m:rPr>
            <m:t>=</m:t>
          </m:r>
          <m:d>
            <m:dPr>
              <m:begChr m:val="["/>
              <m:sepChr m:val=""/>
              <m:endChr m:val="]"/>
              <m:grow/>
            </m:dPr>
            <m:e>
              <m:m>
                <m:mPr>
                  <m:baseJc m:val="center"/>
                  <m:plcHide m:val="on"/>
                  <m:mcs>
                    <m:mc>
                      <m:mcPr>
                        <m:mcJc m:val="center"/>
                        <m:count m:val="1"/>
                      </m:mcPr>
                    </m:mc>
                  </m:mcs>
                </m:mPr>
                <m:mr>
                  <m:e>
                    <m:sSub>
                      <m:e>
                        <m:acc>
                          <m:accPr>
                            <m:chr m:val="̂"/>
                          </m:accPr>
                          <m:e>
                            <m:r>
                              <m:rPr>
                                <m:sty m:val="bi"/>
                              </m:rPr>
                              <m:t>v</m:t>
                            </m:r>
                          </m:e>
                        </m:acc>
                      </m:e>
                      <m:sub>
                        <m:r>
                          <m:t>1</m:t>
                        </m:r>
                      </m:sub>
                    </m:sSub>
                  </m:e>
                </m:mr>
                <m:mr>
                  <m:e>
                    <m:sSub>
                      <m:e>
                        <m:acc>
                          <m:accPr>
                            <m:chr m:val="̂"/>
                          </m:accPr>
                          <m:e>
                            <m:r>
                              <m:rPr>
                                <m:sty m:val="bi"/>
                              </m:rPr>
                              <m:t>v</m:t>
                            </m:r>
                          </m:e>
                        </m:acc>
                      </m:e>
                      <m:sub>
                        <m:r>
                          <m:t>2</m:t>
                        </m:r>
                      </m:sub>
                    </m:sSub>
                  </m:e>
                </m:mr>
                <m:mr>
                  <m:e>
                    <m:r>
                      <m:rPr>
                        <m:sty m:val="p"/>
                      </m:rPr>
                      <m:t>⋮</m:t>
                    </m:r>
                  </m:e>
                </m:mr>
                <m:mr>
                  <m:e>
                    <m:sSub>
                      <m:e>
                        <m:acc>
                          <m:accPr>
                            <m:chr m:val="̂"/>
                          </m:accPr>
                          <m:e>
                            <m:r>
                              <m:rPr>
                                <m:sty m:val="bi"/>
                              </m:rPr>
                              <m:t>v</m:t>
                            </m:r>
                          </m:e>
                        </m:acc>
                      </m:e>
                      <m:sub>
                        <m:r>
                          <m:t>N</m:t>
                        </m:r>
                      </m:sub>
                    </m:sSub>
                  </m:e>
                </m:mr>
              </m:m>
            </m:e>
          </m:d>
          <m:r>
            <m:rPr>
              <m:sty m:val="p"/>
            </m:rPr>
            <m:t>∈</m:t>
          </m:r>
          <m:sSup>
            <m:e>
              <m:r>
                <m:rPr>
                  <m:scr m:val="double-struck"/>
                  <m:sty m:val="p"/>
                </m:rPr>
                <m:t>R</m:t>
              </m:r>
            </m:e>
            <m:sup>
              <m:r>
                <m:t>N</m:t>
              </m:r>
              <m:r>
                <m:rPr>
                  <m:sty m:val="p"/>
                </m:rPr>
                <m:t>×</m:t>
              </m:r>
              <m:r>
                <m:t>1024</m:t>
              </m:r>
            </m:sup>
          </m:sSup>
        </m:oMath>
      </m:oMathPara>
    </w:p>
    <w:p>
      <w:pPr>
        <w:pStyle w:val="FirstParagraph"/>
      </w:pPr>
      <w:r>
        <w:t xml:space="preserve">This global matrix is serialized directly to the local disk using NumPy’s binary storage formatting (</w:t>
      </w:r>
      <w:r>
        <w:rPr>
          <w:rStyle w:val="VerbatimChar"/>
        </w:rPr>
        <w:t xml:space="preserve">.npy</w:t>
      </w:r>
      <w:r>
        <w:t xml:space="preserve">) for instant, memory-mapped loading at runtime.</w:t>
      </w:r>
    </w:p>
    <w:bookmarkEnd w:id="16"/>
    <w:bookmarkEnd w:id="17"/>
    <w:bookmarkStart w:id="19" w:name="X02becdf985071f01a503ae71870e13eb92534ea"/>
    <w:p>
      <w:pPr>
        <w:pStyle w:val="Heading1"/>
      </w:pPr>
      <w:r>
        <w:t xml:space="preserve">Information Retrieval via Matrix Calculus</w:t>
      </w:r>
    </w:p>
    <w:p>
      <w:pPr>
        <w:pStyle w:val="FirstParagraph"/>
      </w:pPr>
      <w:r>
        <w:t xml:space="preserve">At query execution time, the application avoids the overhead of standalone client-server database architectures. Information retrieval is solved directly via high-speed, parallel matrix calculus.</w:t>
      </w:r>
    </w:p>
    <w:bookmarkStart w:id="18" w:name="X857358309ed1c2d21a27cbac2c722912135fa7e"/>
    <w:p>
      <w:pPr>
        <w:pStyle w:val="Heading2"/>
      </w:pPr>
      <w:r>
        <w:t xml:space="preserve">Mathematical Derivation of the Similarity Space</w:t>
      </w:r>
    </w:p>
    <w:p>
      <w:pPr>
        <w:pStyle w:val="FirstParagraph"/>
      </w:pPr>
      <w:r>
        <w:t xml:space="preserve">When an end-user submits a natural language search query</w:t>
      </w:r>
      <w:r>
        <w:t xml:space="preserve"> </w:t>
      </w:r>
      <m:oMath>
        <m:r>
          <m:t>Q</m:t>
        </m:r>
      </m:oMath>
      <w:r>
        <w:t xml:space="preserve">, the string is immediately processed by the identical localized embedding transformer to yield a normalized query vector</w:t>
      </w:r>
      <w:r>
        <w:t xml:space="preserve"> </w:t>
      </w:r>
      <m:oMath>
        <m:acc>
          <m:accPr>
            <m:chr m:val="̂"/>
          </m:accPr>
          <m:e>
            <m:r>
              <m:rPr>
                <m:sty m:val="bi"/>
              </m:rPr>
              <m:t>q</m:t>
            </m:r>
          </m:e>
        </m:acc>
      </m:oMath>
      <w:r>
        <w:t xml:space="preserve">:</w:t>
      </w:r>
    </w:p>
    <w:p>
      <w:pPr>
        <w:pStyle w:val="BodyText"/>
      </w:pPr>
      <m:oMathPara>
        <m:oMathParaPr>
          <m:jc m:val="center"/>
        </m:oMathParaPr>
        <m:oMath>
          <m:acc>
            <m:accPr>
              <m:chr m:val="̂"/>
            </m:accPr>
            <m:e>
              <m:r>
                <m:rPr>
                  <m:sty m:val="bi"/>
                </m:rPr>
                <m:t>q</m:t>
              </m:r>
            </m:e>
          </m:acc>
          <m:r>
            <m:rPr>
              <m:sty m:val="p"/>
            </m:rPr>
            <m:t>=</m:t>
          </m:r>
          <m:r>
            <m:t>f</m:t>
          </m:r>
          <m:r>
            <m:rPr>
              <m:sty m:val="p"/>
            </m:rPr>
            <m:t>(</m:t>
          </m:r>
          <m:r>
            <m:t>Q</m:t>
          </m:r>
          <m:r>
            <m:rPr>
              <m:sty m:val="p"/>
            </m:rPr>
            <m:t>)</m:t>
          </m:r>
          <m:r>
            <m:rPr>
              <m:sty m:val="p"/>
            </m:rPr>
            <m:t>,</m:t>
          </m:r>
          <m:r>
            <m:t> </m:t>
          </m:r>
          <m:acc>
            <m:accPr>
              <m:chr m:val="̂"/>
            </m:accPr>
            <m:e>
              <m:r>
                <m:rPr>
                  <m:sty m:val="bi"/>
                </m:rPr>
                <m:t>q</m:t>
              </m:r>
            </m:e>
          </m:acc>
          <m:r>
            <m:rPr>
              <m:sty m:val="p"/>
            </m:rPr>
            <m:t>∈</m:t>
          </m:r>
          <m:sSup>
            <m:e>
              <m:r>
                <m:rPr>
                  <m:scr m:val="double-struck"/>
                  <m:sty m:val="p"/>
                </m:rPr>
                <m:t>R</m:t>
              </m:r>
            </m:e>
            <m:sup>
              <m:r>
                <m:t>1</m:t>
              </m:r>
              <m:r>
                <m:rPr>
                  <m:sty m:val="p"/>
                </m:rPr>
                <m:t>×</m:t>
              </m:r>
              <m:r>
                <m:t>1024</m:t>
              </m:r>
            </m:sup>
          </m:sSup>
          <m:r>
            <m:rPr>
              <m:sty m:val="p"/>
            </m:rPr>
            <m:t>,</m:t>
          </m:r>
          <m:r>
            <m:t> </m:t>
          </m:r>
          <m:r>
            <m:rPr>
              <m:sty m:val="p"/>
            </m:rPr>
            <m:t>∥</m:t>
          </m:r>
          <m:acc>
            <m:accPr>
              <m:chr m:val="̂"/>
            </m:accPr>
            <m:e>
              <m:r>
                <m:rPr>
                  <m:sty m:val="bi"/>
                </m:rPr>
                <m:t>q</m:t>
              </m:r>
            </m:e>
          </m:acc>
          <m:sSub>
            <m:e>
              <m:r>
                <m:rPr>
                  <m:sty m:val="p"/>
                </m:rPr>
                <m:t>∥</m:t>
              </m:r>
            </m:e>
            <m:sub>
              <m:r>
                <m:t>2</m:t>
              </m:r>
            </m:sub>
          </m:sSub>
          <m:r>
            <m:rPr>
              <m:sty m:val="p"/>
            </m:rPr>
            <m:t>=</m:t>
          </m:r>
          <m:r>
            <m:t>1</m:t>
          </m:r>
        </m:oMath>
      </m:oMathPara>
    </w:p>
    <w:p>
      <w:pPr>
        <w:pStyle w:val="FirstParagraph"/>
      </w:pPr>
      <w:r>
        <w:t xml:space="preserve">Because both the static document rows in</w:t>
      </w:r>
      <w:r>
        <w:t xml:space="preserve"> </w:t>
      </w:r>
      <m:oMath>
        <m:r>
          <m:rPr>
            <m:sty m:val="bi"/>
          </m:rPr>
          <m:t>M</m:t>
        </m:r>
      </m:oMath>
      <w:r>
        <w:t xml:space="preserve"> </w:t>
      </w:r>
      <w:r>
        <w:t xml:space="preserve">and the active query vector</w:t>
      </w:r>
      <w:r>
        <w:t xml:space="preserve"> </w:t>
      </w:r>
      <m:oMath>
        <m:acc>
          <m:accPr>
            <m:chr m:val="̂"/>
          </m:accPr>
          <m:e>
            <m:r>
              <m:rPr>
                <m:sty m:val="bi"/>
              </m:rPr>
              <m:t>q</m:t>
            </m:r>
          </m:e>
        </m:acc>
      </m:oMath>
      <w:r>
        <w:t xml:space="preserve"> </w:t>
      </w:r>
      <w:r>
        <w:t xml:space="preserve">possess a Euclidean norm of exactly 1.0, calculating their Cosine Similarity (</w:t>
      </w:r>
      <m:oMath>
        <m:r>
          <m:rPr>
            <m:nor/>
            <m:sty m:val="p"/>
          </m:rPr>
          <m:t>Sim</m:t>
        </m:r>
      </m:oMath>
      <w:r>
        <w:t xml:space="preserve">) simplifies mathematically to a standard dot product:</w:t>
      </w:r>
    </w:p>
    <w:p>
      <w:pPr>
        <w:pStyle w:val="BodyText"/>
      </w:pPr>
      <m:oMathPara>
        <m:oMathParaPr>
          <m:jc m:val="center"/>
        </m:oMathParaPr>
        <m:oMath>
          <m:r>
            <m:rPr>
              <m:nor/>
              <m:sty m:val="p"/>
            </m:rPr>
            <m:t>Sim</m:t>
          </m:r>
          <m:r>
            <m:rPr>
              <m:sty m:val="p"/>
            </m:rPr>
            <m:t>(</m:t>
          </m:r>
          <m:acc>
            <m:accPr>
              <m:chr m:val="̂"/>
            </m:accPr>
            <m:e>
              <m:r>
                <m:rPr>
                  <m:sty m:val="bi"/>
                </m:rPr>
                <m:t>q</m:t>
              </m:r>
            </m:e>
          </m:acc>
          <m:r>
            <m:rPr>
              <m:sty m:val="p"/>
            </m:rPr>
            <m:t>,</m:t>
          </m:r>
          <m:sSub>
            <m:e>
              <m:acc>
                <m:accPr>
                  <m:chr m:val="̂"/>
                </m:accPr>
                <m:e>
                  <m:r>
                    <m:rPr>
                      <m:sty m:val="bi"/>
                    </m:rPr>
                    <m:t>v</m:t>
                  </m:r>
                </m:e>
              </m:acc>
            </m:e>
            <m:sub>
              <m:r>
                <m:t>i</m:t>
              </m:r>
            </m:sub>
          </m:sSub>
          <m:r>
            <m:rPr>
              <m:sty m:val="p"/>
            </m:rPr>
            <m:t>)</m:t>
          </m:r>
          <m:r>
            <m:rPr>
              <m:sty m:val="p"/>
            </m:rPr>
            <m:t>=</m:t>
          </m:r>
          <m:f>
            <m:fPr>
              <m:type m:val="bar"/>
            </m:fPr>
            <m:num>
              <m:acc>
                <m:accPr>
                  <m:chr m:val="̂"/>
                </m:accPr>
                <m:e>
                  <m:r>
                    <m:rPr>
                      <m:sty m:val="bi"/>
                    </m:rPr>
                    <m:t>q</m:t>
                  </m:r>
                </m:e>
              </m:acc>
              <m:r>
                <m:rPr>
                  <m:sty m:val="p"/>
                </m:rPr>
                <m:t>⋅</m:t>
              </m:r>
              <m:sSub>
                <m:e>
                  <m:acc>
                    <m:accPr>
                      <m:chr m:val="̂"/>
                    </m:accPr>
                    <m:e>
                      <m:r>
                        <m:rPr>
                          <m:sty m:val="bi"/>
                        </m:rPr>
                        <m:t>v</m:t>
                      </m:r>
                    </m:e>
                  </m:acc>
                </m:e>
                <m:sub>
                  <m:r>
                    <m:t>i</m:t>
                  </m:r>
                </m:sub>
              </m:sSub>
            </m:num>
            <m:den>
              <m:r>
                <m:rPr>
                  <m:sty m:val="p"/>
                </m:rPr>
                <m:t>∥</m:t>
              </m:r>
              <m:acc>
                <m:accPr>
                  <m:chr m:val="̂"/>
                </m:accPr>
                <m:e>
                  <m:r>
                    <m:rPr>
                      <m:sty m:val="bi"/>
                    </m:rPr>
                    <m:t>q</m:t>
                  </m:r>
                </m:e>
              </m:acc>
              <m:sSub>
                <m:e>
                  <m:r>
                    <m:rPr>
                      <m:sty m:val="p"/>
                    </m:rPr>
                    <m:t>∥</m:t>
                  </m:r>
                </m:e>
                <m:sub>
                  <m:r>
                    <m:t>2</m:t>
                  </m:r>
                </m:sub>
              </m:sSub>
              <m:r>
                <m:rPr>
                  <m:sty m:val="p"/>
                </m:rPr>
                <m:t>∥</m:t>
              </m:r>
              <m:sSub>
                <m:e>
                  <m:acc>
                    <m:accPr>
                      <m:chr m:val="̂"/>
                    </m:accPr>
                    <m:e>
                      <m:r>
                        <m:rPr>
                          <m:sty m:val="bi"/>
                        </m:rPr>
                        <m:t>v</m:t>
                      </m:r>
                    </m:e>
                  </m:acc>
                </m:e>
                <m:sub>
                  <m:r>
                    <m:t>i</m:t>
                  </m:r>
                </m:sub>
              </m:sSub>
              <m:sSub>
                <m:e>
                  <m:r>
                    <m:rPr>
                      <m:sty m:val="p"/>
                    </m:rPr>
                    <m:t>∥</m:t>
                  </m:r>
                </m:e>
                <m:sub>
                  <m:r>
                    <m:t>2</m:t>
                  </m:r>
                </m:sub>
              </m:sSub>
            </m:den>
          </m:f>
          <m:r>
            <m:rPr>
              <m:sty m:val="p"/>
            </m:rPr>
            <m:t>=</m:t>
          </m:r>
          <m:acc>
            <m:accPr>
              <m:chr m:val="̂"/>
            </m:accPr>
            <m:e>
              <m:r>
                <m:rPr>
                  <m:sty m:val="bi"/>
                </m:rPr>
                <m:t>q</m:t>
              </m:r>
            </m:e>
          </m:acc>
          <m:r>
            <m:rPr>
              <m:sty m:val="p"/>
            </m:rPr>
            <m:t>⋅</m:t>
          </m:r>
          <m:sSub>
            <m:e>
              <m:acc>
                <m:accPr>
                  <m:chr m:val="̂"/>
                </m:accPr>
                <m:e>
                  <m:r>
                    <m:rPr>
                      <m:sty m:val="bi"/>
                    </m:rPr>
                    <m:t>v</m:t>
                  </m:r>
                </m:e>
              </m:acc>
            </m:e>
            <m:sub>
              <m:r>
                <m:t>i</m:t>
              </m:r>
            </m:sub>
          </m:sSub>
          <m:r>
            <m:rPr>
              <m:sty m:val="p"/>
            </m:rPr>
            <m:t>=</m:t>
          </m:r>
          <m:nary>
            <m:naryPr>
              <m:chr m:val="∑"/>
              <m:limLoc m:val="undOvr"/>
              <m:subHide m:val="off"/>
              <m:supHide m:val="off"/>
            </m:naryPr>
            <m:sub>
              <m:r>
                <m:t>k</m:t>
              </m:r>
              <m:r>
                <m:rPr>
                  <m:sty m:val="p"/>
                </m:rPr>
                <m:t>=</m:t>
              </m:r>
              <m:r>
                <m:t>1</m:t>
              </m:r>
            </m:sub>
            <m:sup>
              <m:r>
                <m:t>1024</m:t>
              </m:r>
            </m:sup>
            <m:e>
              <m:sSub>
                <m:e>
                  <m:r>
                    <m:t>q</m:t>
                  </m:r>
                </m:e>
                <m:sub>
                  <m:r>
                    <m:t>k</m:t>
                  </m:r>
                </m:sub>
              </m:sSub>
            </m:e>
          </m:nary>
          <m:r>
            <m:rPr>
              <m:sty m:val="p"/>
            </m:rPr>
            <m:t>⋅</m:t>
          </m:r>
          <m:sSub>
            <m:e>
              <m:r>
                <m:t>v</m:t>
              </m:r>
            </m:e>
            <m:sub>
              <m:r>
                <m:t>i</m:t>
              </m:r>
              <m:r>
                <m:rPr>
                  <m:sty m:val="p"/>
                </m:rPr>
                <m:t>,</m:t>
              </m:r>
              <m:r>
                <m:t>k</m:t>
              </m:r>
            </m:sub>
          </m:sSub>
        </m:oMath>
      </m:oMathPara>
    </w:p>
    <w:p>
      <w:pPr>
        <w:pStyle w:val="FirstParagraph"/>
      </w:pPr>
      <w:r>
        <w:t xml:space="preserve">To compute the similarity scores across all 4,071 papers simultaneously, the system evaluates a single matrix-vector multiplication:</w:t>
      </w:r>
    </w:p>
    <w:p>
      <w:pPr>
        <w:pStyle w:val="BodyText"/>
      </w:pPr>
      <m:oMathPara>
        <m:oMathParaPr>
          <m:jc m:val="center"/>
        </m:oMathParaPr>
        <m:oMath>
          <m:r>
            <m:rPr>
              <m:sty m:val="bi"/>
            </m:rPr>
            <m:t>S</m:t>
          </m:r>
          <m:r>
            <m:rPr>
              <m:sty m:val="p"/>
            </m:rPr>
            <m:t>=</m:t>
          </m:r>
          <m:r>
            <m:rPr>
              <m:sty m:val="bi"/>
            </m:rPr>
            <m:t>M</m:t>
          </m:r>
          <m:r>
            <m:rPr>
              <m:sty m:val="p"/>
            </m:rPr>
            <m:t>⋅</m:t>
          </m:r>
          <m:sSup>
            <m:e>
              <m:acc>
                <m:accPr>
                  <m:chr m:val="̂"/>
                </m:accPr>
                <m:e>
                  <m:r>
                    <m:rPr>
                      <m:sty m:val="bi"/>
                    </m:rPr>
                    <m:t>q</m:t>
                  </m:r>
                </m:e>
              </m:acc>
            </m:e>
            <m:sup>
              <m:r>
                <m:t>T</m:t>
              </m:r>
            </m:sup>
          </m:sSup>
          <m:r>
            <m:rPr>
              <m:sty m:val="p"/>
            </m:rPr>
            <m:t>,</m:t>
          </m:r>
          <m:r>
            <m:t> </m:t>
          </m:r>
          <m:r>
            <m:rPr>
              <m:sty m:val="bi"/>
            </m:rPr>
            <m:t>S</m:t>
          </m:r>
          <m:r>
            <m:rPr>
              <m:sty m:val="p"/>
            </m:rPr>
            <m:t>∈</m:t>
          </m:r>
          <m:sSup>
            <m:e>
              <m:r>
                <m:rPr>
                  <m:scr m:val="double-struck"/>
                  <m:sty m:val="p"/>
                </m:rPr>
                <m:t>R</m:t>
              </m:r>
            </m:e>
            <m:sup>
              <m:r>
                <m:t>N</m:t>
              </m:r>
              <m:r>
                <m:rPr>
                  <m:sty m:val="p"/>
                </m:rPr>
                <m:t>×</m:t>
              </m:r>
              <m:r>
                <m:t>1</m:t>
              </m:r>
            </m:sup>
          </m:sSup>
        </m:oMath>
      </m:oMathPara>
    </w:p>
    <w:p>
      <w:pPr>
        <w:pStyle w:val="FirstParagraph"/>
      </w:pPr>
      <w:r>
        <w:t xml:space="preserve">The resulting vector</w:t>
      </w:r>
      <w:r>
        <w:t xml:space="preserve"> </w:t>
      </w:r>
      <m:oMath>
        <m:r>
          <m:rPr>
            <m:sty m:val="bi"/>
          </m:rPr>
          <m:t>S</m:t>
        </m:r>
      </m:oMath>
      <w:r>
        <w:t xml:space="preserve"> </w:t>
      </w:r>
      <w:r>
        <w:t xml:space="preserve">contains the explicit similarity coefficients for every paper in the system. The final ranked result list</w:t>
      </w:r>
      <w:r>
        <w:t xml:space="preserve"> </w:t>
      </w:r>
      <m:oMath>
        <m:r>
          <m:rPr>
            <m:sty m:val="bi"/>
          </m:rPr>
          <m:t>I</m:t>
        </m:r>
      </m:oMath>
      <w:r>
        <w:t xml:space="preserve"> </w:t>
      </w:r>
      <w:r>
        <w:t xml:space="preserve">is extracted by applying the</w:t>
      </w:r>
      <w:r>
        <w:t xml:space="preserve"> </w:t>
      </w:r>
      <w:r>
        <w:rPr>
          <w:rStyle w:val="VerbatimChar"/>
        </w:rPr>
        <w:t xml:space="preserve">argsort</w:t>
      </w:r>
      <w:r>
        <w:t xml:space="preserve"> </w:t>
      </w:r>
      <w:r>
        <w:t xml:space="preserve">operation to isolate the highest scoring arguments:</w:t>
      </w:r>
    </w:p>
    <w:p>
      <w:pPr>
        <w:pStyle w:val="BodyText"/>
      </w:pPr>
      <m:oMathPara>
        <m:oMathParaPr>
          <m:jc m:val="center"/>
        </m:oMathParaPr>
        <m:oMath>
          <m:r>
            <m:rPr>
              <m:sty m:val="bi"/>
            </m:rPr>
            <m:t>I</m:t>
          </m:r>
          <m:r>
            <m:rPr>
              <m:sty m:val="p"/>
            </m:rPr>
            <m:t>=</m:t>
          </m:r>
          <m:r>
            <m:rPr>
              <m:nor/>
              <m:sty m:val="p"/>
            </m:rPr>
            <m:t>Top-K</m:t>
          </m:r>
          <m:r>
            <m:rPr>
              <m:sty m:val="p"/>
            </m:rPr>
            <m:t>(</m:t>
          </m:r>
          <m:r>
            <m:rPr>
              <m:nor/>
              <m:sty m:val="p"/>
            </m:rPr>
            <m:t>argsort</m:t>
          </m:r>
          <m:r>
            <m:rPr>
              <m:sty m:val="p"/>
            </m:rPr>
            <m:t>(</m:t>
          </m:r>
          <m:r>
            <m:rPr>
              <m:sty m:val="bi"/>
            </m:rPr>
            <m:t>S</m:t>
          </m:r>
          <m:r>
            <m:rPr>
              <m:sty m:val="p"/>
            </m:rPr>
            <m:t>)</m:t>
          </m:r>
          <m:r>
            <m:rPr>
              <m:sty m:val="p"/>
            </m:rPr>
            <m:t>)</m:t>
          </m:r>
        </m:oMath>
      </m:oMathPara>
    </w:p>
    <w:p>
      <w:pPr>
        <w:pStyle w:val="FirstParagraph"/>
      </w:pPr>
      <w:r>
        <w:t xml:space="preserve">This operation maps directly to highly optimized BLAS (Basic Linear Algebra Subprograms) instructions running natively on the host CPU or GPU, executing in sub-millisecond timelines.</w:t>
      </w:r>
    </w:p>
    <w:bookmarkEnd w:id="18"/>
    <w:bookmarkEnd w:id="19"/>
    <w:bookmarkStart w:id="20" w:name="Xc86c5f99bd7f46526de9e29a956eaa19a503f91"/>
    <w:p>
      <w:pPr>
        <w:pStyle w:val="Heading1"/>
      </w:pPr>
      <w:r>
        <w:t xml:space="preserve">Secure Interface Realization: Streamlit UI Architecture</w:t>
      </w:r>
    </w:p>
    <w:p>
      <w:pPr>
        <w:pStyle w:val="FirstParagraph"/>
      </w:pPr>
      <w:r>
        <w:t xml:space="preserve">To make this mathematical indexing layer accessible to end-users, a secure web application is implemented via Streamlit. The interface is optimized to operate efficiently within air-gapped web browsers, adhering to the following structural interaction design:</w:t>
      </w:r>
    </w:p>
    <w:p>
      <w:pPr>
        <w:numPr>
          <w:ilvl w:val="0"/>
          <w:numId w:val="1004"/>
        </w:numPr>
      </w:pPr>
      <w:r>
        <w:rPr>
          <w:b/>
          <w:bCs/>
        </w:rPr>
        <w:t xml:space="preserve">Resource Caching:</w:t>
      </w:r>
      <w:r>
        <w:t xml:space="preserve"> </w:t>
      </w:r>
      <w:r>
        <w:t xml:space="preserve">The 1.34 GB</w:t>
      </w:r>
      <w:r>
        <w:t xml:space="preserve"> </w:t>
      </w:r>
      <w:r>
        <w:rPr>
          <w:rStyle w:val="VerbatimChar"/>
        </w:rPr>
        <w:t xml:space="preserve">BAAI/bge-large-en-v1.5</w:t>
      </w:r>
      <w:r>
        <w:t xml:space="preserve"> </w:t>
      </w:r>
      <w:r>
        <w:t xml:space="preserve">model parameters and the 4,071-row NumPy array are loaded into RAM once using resource caching. This eliminates disk-read latencies during active search sessions.</w:t>
      </w:r>
    </w:p>
    <w:p>
      <w:pPr>
        <w:numPr>
          <w:ilvl w:val="0"/>
          <w:numId w:val="1004"/>
        </w:numPr>
      </w:pPr>
      <w:r>
        <w:rPr>
          <w:b/>
          <w:bCs/>
        </w:rPr>
        <w:t xml:space="preserve">Contextual Abstract Toggling:</w:t>
      </w:r>
      <w:r>
        <w:t xml:space="preserve"> </w:t>
      </w:r>
      <w:r>
        <w:t xml:space="preserve">Rather than overwhelming the user interface, search results are rendered inside individual UI expander panels. Selecting a paper title triggers a local file-handle read to fetch and display the cleaned text abstract.</w:t>
      </w:r>
    </w:p>
    <w:p>
      <w:pPr>
        <w:numPr>
          <w:ilvl w:val="0"/>
          <w:numId w:val="1004"/>
        </w:numPr>
      </w:pPr>
      <w:r>
        <w:rPr>
          <w:b/>
          <w:bCs/>
        </w:rPr>
        <w:t xml:space="preserve">Local File Streaming:</w:t>
      </w:r>
      <w:r>
        <w:t xml:space="preserve"> </w:t>
      </w:r>
      <w:r>
        <w:t xml:space="preserve">Since browsers cannot directly access arbitrary local file paths due to security sandbox constraints, a secure binary stream download mechanism is integrated into the interface. This gives users immediate access to full-text PDFs stored on the internal network.</w:t>
      </w:r>
    </w:p>
    <w:p>
      <w:pPr>
        <w:numPr>
          <w:ilvl w:val="0"/>
          <w:numId w:val="1004"/>
        </w:numPr>
      </w:pPr>
      <w:r>
        <w:rPr>
          <w:b/>
          <w:bCs/>
        </w:rPr>
        <w:t xml:space="preserve">Internal Tracking Integration:</w:t>
      </w:r>
      <w:r>
        <w:t xml:space="preserve"> </w:t>
      </w:r>
      <w:r>
        <w:t xml:space="preserve">Each document card links directly to the organization’s internal GitLab instance, providing a seamless pathway to deployable source code implementations.</w:t>
      </w:r>
    </w:p>
    <w:bookmarkEnd w:id="20"/>
    <w:bookmarkStart w:id="22" w:name="experimental-performance-analysis"/>
    <w:p>
      <w:pPr>
        <w:pStyle w:val="Heading1"/>
      </w:pPr>
      <w:r>
        <w:t xml:space="preserve">Experimental Performance Analysis</w:t>
      </w:r>
    </w:p>
    <w:p>
      <w:pPr>
        <w:pStyle w:val="FirstParagraph"/>
      </w:pPr>
      <w:r>
        <w:t xml:space="preserve">To evaluate system efficiency, benchmarks were conducted within a strictly isolated environment.</w:t>
      </w:r>
    </w:p>
    <w:p>
      <w:pPr>
        <w:pStyle w:val="BodyText"/>
      </w:pPr>
      <w:r>
        <w:t xml:space="preserve">The computational latency to process a user search query against the entire 4,071-paper index was evaluated across various hardware profiles, as shown in Table</w:t>
      </w:r>
      <w:r>
        <w:t xml:space="preserve"> </w:t>
      </w:r>
      <w:hyperlink w:anchor="tab:benchmarks">
        <w:r>
          <w:rPr>
            <w:rStyle w:val="Hyperlink"/>
          </w:rPr>
          <w:t xml:space="preserve">1</w:t>
        </w:r>
      </w:hyperlink>
      <w:r>
        <w:t xml:space="preserve">.</w:t>
      </w:r>
    </w:p>
    <w:bookmarkStart w:id="21" w:name="tab:benchmarks"/>
    <w:p>
      <w:pPr>
        <w:pStyle w:val="TableCaption"/>
      </w:pPr>
      <w:r>
        <w:t xml:space="preserve">System Latency Profiles for Semantic Vector Queries</w:t>
      </w:r>
    </w:p>
    <w:tbl>
      <w:tblPr>
        <w:tblStyle w:val="Table"/>
        <w:tblW w:type="auto" w:w="0"/>
        <w:tblLook w:firstRow="1" w:lastRow="0" w:firstColumn="0" w:lastColumn="0" w:noHBand="0" w:noVBand="0" w:val="0020"/>
        <w:tblCaption w:val="System Latency Profiles for Semantic Vector Queries"/>
      </w:tblPr>
      <w:tblGrid>
        <w:gridCol w:w="2640"/>
        <w:gridCol w:w="2640"/>
        <w:gridCol w:w="2640"/>
      </w:tblGrid>
      <w:tr>
        <w:trPr>
          <w:tblHeader w:val="on"/>
        </w:trPr>
        <w:tc>
          <w:tcPr/>
          <w:p>
            <w:pPr>
              <w:pStyle w:val="Compact"/>
              <w:jc w:val="left"/>
            </w:pPr>
            <w:r>
              <w:rPr>
                <w:b/>
                <w:bCs/>
              </w:rPr>
              <w:t xml:space="preserve">Hardware Architecture</w:t>
            </w:r>
          </w:p>
        </w:tc>
        <w:tc>
          <w:tcPr/>
          <w:p>
            <w:pPr>
              <w:pStyle w:val="Compact"/>
              <w:jc w:val="center"/>
            </w:pPr>
            <w:r>
              <w:rPr>
                <w:b/>
                <w:bCs/>
              </w:rPr>
              <w:t xml:space="preserve">Query Embedding Latency</w:t>
            </w:r>
          </w:p>
        </w:tc>
        <w:tc>
          <w:tcPr/>
          <w:p>
            <w:pPr>
              <w:pStyle w:val="Compact"/>
              <w:jc w:val="center"/>
            </w:pPr>
            <w:r>
              <w:rPr>
                <w:b/>
                <w:bCs/>
              </w:rPr>
              <w:t xml:space="preserve">Matrix Sorting Latency</w:t>
            </w:r>
          </w:p>
        </w:tc>
      </w:tr>
      <w:tr>
        <w:tc>
          <w:tcPr/>
          <w:p>
            <w:pPr>
              <w:pStyle w:val="Compact"/>
              <w:jc w:val="left"/>
            </w:pPr>
            <w:r>
              <w:t xml:space="preserve">Intel Core i7-12700H (14 Cores)</w:t>
            </w:r>
          </w:p>
        </w:tc>
        <w:tc>
          <w:tcPr/>
          <w:p>
            <w:pPr>
              <w:pStyle w:val="Compact"/>
              <w:jc w:val="center"/>
            </w:pPr>
            <w:r>
              <w:t xml:space="preserve">62.4 ms</w:t>
            </w:r>
          </w:p>
        </w:tc>
        <w:tc>
          <w:tcPr/>
          <w:p>
            <w:pPr>
              <w:pStyle w:val="Compact"/>
              <w:jc w:val="center"/>
            </w:pPr>
            <w:r>
              <w:t xml:space="preserve">1.12 ms</w:t>
            </w:r>
          </w:p>
        </w:tc>
      </w:tr>
      <w:tr>
        <w:tc>
          <w:tcPr/>
          <w:p>
            <w:pPr>
              <w:pStyle w:val="Compact"/>
              <w:jc w:val="left"/>
            </w:pPr>
            <w:r>
              <w:t xml:space="preserve">AMD Ryzen 9 5900X (12 Cores)</w:t>
            </w:r>
          </w:p>
        </w:tc>
        <w:tc>
          <w:tcPr/>
          <w:p>
            <w:pPr>
              <w:pStyle w:val="Compact"/>
              <w:jc w:val="center"/>
            </w:pPr>
            <w:r>
              <w:t xml:space="preserve">41.8 ms</w:t>
            </w:r>
          </w:p>
        </w:tc>
        <w:tc>
          <w:tcPr/>
          <w:p>
            <w:pPr>
              <w:pStyle w:val="Compact"/>
              <w:jc w:val="center"/>
            </w:pPr>
            <w:r>
              <w:t xml:space="preserve">0.84 ms</w:t>
            </w:r>
          </w:p>
        </w:tc>
      </w:tr>
      <w:tr>
        <w:tc>
          <w:tcPr/>
          <w:p>
            <w:pPr>
              <w:pStyle w:val="Compact"/>
              <w:jc w:val="left"/>
            </w:pPr>
            <w:r>
              <w:t xml:space="preserve">NVIDIA RTX 4080 (Laptop GPU)</w:t>
            </w:r>
          </w:p>
        </w:tc>
        <w:tc>
          <w:tcPr/>
          <w:p>
            <w:pPr>
              <w:pStyle w:val="Compact"/>
              <w:jc w:val="center"/>
            </w:pPr>
            <w:r>
              <w:t xml:space="preserve">8.1 ms</w:t>
            </w:r>
          </w:p>
        </w:tc>
        <w:tc>
          <w:tcPr/>
          <w:p>
            <w:pPr>
              <w:pStyle w:val="Compact"/>
              <w:jc w:val="center"/>
            </w:pPr>
            <w:r>
              <w:t xml:space="preserve">0.14 ms</w:t>
            </w:r>
          </w:p>
        </w:tc>
      </w:tr>
    </w:tbl>
    <w:bookmarkEnd w:id="21"/>
    <w:p>
      <w:pPr>
        <w:pStyle w:val="BodyText"/>
      </w:pPr>
      <w:r>
        <w:t xml:space="preserve">The results indicate that the mathematical matrix multiplication stage (</w:t>
      </w:r>
      <m:oMath>
        <m:r>
          <m:rPr>
            <m:sty m:val="bi"/>
          </m:rPr>
          <m:t>M</m:t>
        </m:r>
        <m:r>
          <m:rPr>
            <m:sty m:val="p"/>
          </m:rPr>
          <m:t>⋅</m:t>
        </m:r>
        <m:sSup>
          <m:e>
            <m:acc>
              <m:accPr>
                <m:chr m:val="̂"/>
              </m:accPr>
              <m:e>
                <m:r>
                  <m:rPr>
                    <m:sty m:val="bi"/>
                  </m:rPr>
                  <m:t>q</m:t>
                </m:r>
              </m:e>
            </m:acc>
          </m:e>
          <m:sup>
            <m:r>
              <m:t>T</m:t>
            </m:r>
          </m:sup>
        </m:sSup>
      </m:oMath>
      <w:r>
        <w:t xml:space="preserve">) requires nearly zero computational overhead (</w:t>
      </w:r>
      <m:oMath>
        <m:r>
          <m:rPr>
            <m:sty m:val="p"/>
          </m:rPr>
          <m:t>≤</m:t>
        </m:r>
        <m:r>
          <m:t>1.12</m:t>
        </m:r>
      </m:oMath>
      <w:r>
        <w:t xml:space="preserve"> </w:t>
      </w:r>
      <w:r>
        <w:t xml:space="preserve">ms). This proves that dedicated, complex database servers are completely unnecessary for corpuses of this scale.</w:t>
      </w:r>
    </w:p>
    <w:p>
      <w:pPr>
        <w:pStyle w:val="BodyText"/>
      </w:pPr>
      <w:r>
        <w:t xml:space="preserve">Furthermore, upgrading to the</w:t>
      </w:r>
      <w:r>
        <w:t xml:space="preserve"> </w:t>
      </w:r>
      <w:r>
        <w:rPr>
          <w:rStyle w:val="VerbatimChar"/>
        </w:rPr>
        <w:t xml:space="preserve">bge-large-en-v1.5</w:t>
      </w:r>
      <w:r>
        <w:t xml:space="preserve"> </w:t>
      </w:r>
      <w:r>
        <w:t xml:space="preserve">model significantly improved retrieval quality. Conceptual queries (e.g.,</w:t>
      </w:r>
      <w:r>
        <w:t xml:space="preserve"> </w:t>
      </w:r>
      <w:r>
        <w:rPr>
          <w:i/>
          <w:iCs/>
        </w:rPr>
        <w:t xml:space="preserve">"unsupervised target tracking on drones in zero-light scenarios"</w:t>
      </w:r>
      <w:r>
        <w:t xml:space="preserve">) successfully returned papers focusing on thermal infrared camera pipelines, even when the exact literal word</w:t>
      </w:r>
      <w:r>
        <w:t xml:space="preserve"> </w:t>
      </w:r>
      <w:r>
        <w:rPr>
          <w:i/>
          <w:iCs/>
        </w:rPr>
        <w:t xml:space="preserve">"drone"</w:t>
      </w:r>
      <w:r>
        <w:t xml:space="preserve"> </w:t>
      </w:r>
      <w:r>
        <w:t xml:space="preserve">or</w:t>
      </w:r>
      <w:r>
        <w:t xml:space="preserve"> </w:t>
      </w:r>
      <w:r>
        <w:rPr>
          <w:i/>
          <w:iCs/>
        </w:rPr>
        <w:t xml:space="preserve">"zero-light"</w:t>
      </w:r>
      <w:r>
        <w:t xml:space="preserve"> </w:t>
      </w:r>
      <w:r>
        <w:t xml:space="preserve">was absent from the document’s title.</w:t>
      </w:r>
    </w:p>
    <w:bookmarkEnd w:id="22"/>
    <w:bookmarkStart w:id="24" w:name="conclusion"/>
    <w:p>
      <w:pPr>
        <w:pStyle w:val="Heading1"/>
      </w:pPr>
      <w:r>
        <w:t xml:space="preserve">Conclusion</w:t>
      </w:r>
    </w:p>
    <w:p>
      <w:pPr>
        <w:pStyle w:val="FirstParagraph"/>
      </w:pPr>
      <w:r>
        <w:t xml:space="preserve">This report demonstrates a robust framework for building secure, high-performance academic search engines within strict air-gapped constraints. By migrating state-of-the-art transformer weights onto local storage arrays and using fundamental matrix calculus, the system delivers precise semantic search capability without relying on external cloud endpoints. The architecture scales efficiently, ensuring data privacy and rapid document retrieval for secure enterprise environments.</w:t>
      </w:r>
    </w:p>
    <w:p>
      <w:pPr>
        <w:pStyle w:val="BodyText"/>
      </w:pPr>
      <w:r>
        <w:t xml:space="preserve">99</w:t>
      </w:r>
      <w:r>
        <w:t xml:space="preserve"> </w:t>
      </w:r>
      <w:r>
        <w:t xml:space="preserve">Xiao, S., Liu, Z., Zhang, J., and Muennighoff, N. (2023).</w:t>
      </w:r>
      <w:r>
        <w:t xml:space="preserve"> </w:t>
      </w:r>
      <w:r>
        <w:rPr>
          <w:i/>
          <w:iCs/>
        </w:rPr>
        <w:t xml:space="preserve">C-pack: Packaged resources for general chinese embeddings</w:t>
      </w:r>
      <w:r>
        <w:t xml:space="preserve">.</w:t>
      </w:r>
      <w:r>
        <w:t xml:space="preserve"> </w:t>
      </w:r>
      <w:r>
        <w:t xml:space="preserve">arXiv preprint arXiv:2309.07597.</w:t>
      </w:r>
    </w:p>
    <w:p>
      <w:pPr>
        <w:pStyle w:val="BodyText"/>
      </w:pPr>
      <w:r>
        <w:t xml:space="preserve">Reimers, N., and Gurevych, I. (2019).</w:t>
      </w:r>
      <w:r>
        <w:t xml:space="preserve"> </w:t>
      </w:r>
      <w:r>
        <w:rPr>
          <w:i/>
          <w:iCs/>
        </w:rPr>
        <w:t xml:space="preserve">Sentence-BERT: Sentence embeddings using Siamese BERT-networks</w:t>
      </w:r>
      <w:r>
        <w:t xml:space="preserve">.</w:t>
      </w:r>
      <w:r>
        <w:t xml:space="preserve"> </w:t>
      </w:r>
      <w:r>
        <w:t xml:space="preserve">In Proceedings of the 2019 Conference on Empirical Methods in Natural Language Processing (EMNLP), pages 3982–3992.</w:t>
      </w:r>
    </w:p>
    <w:p>
      <w:pPr>
        <w:pStyle w:val="BodyText"/>
      </w:pPr>
      <w:r>
        <w:t xml:space="preserve">IEEE/CVF Conference on Computer Vision and Pattern Recognition (CVPR). (2026).</w:t>
      </w:r>
      <w:r>
        <w:t xml:space="preserve"> </w:t>
      </w:r>
      <w:r>
        <w:rPr>
          <w:i/>
          <w:iCs/>
        </w:rPr>
        <w:t xml:space="preserve">Official Conference Proceedings</w:t>
      </w:r>
      <w:r>
        <w:t xml:space="preserve">.</w:t>
      </w:r>
      <w:r>
        <w:t xml:space="preserve"> </w:t>
      </w:r>
      <w:r>
        <w:t xml:space="preserve">Computer Vision Foundation Open Access.</w:t>
      </w:r>
    </w:p>
    <w:p>
      <w:pPr>
        <w:pStyle w:val="BodyText"/>
      </w:pPr>
      <w:r>
        <w:t xml:space="preserve">Streamlit Open-Source Team. (2026).</w:t>
      </w:r>
      <w:r>
        <w:t xml:space="preserve"> </w:t>
      </w:r>
      <w:r>
        <w:rPr>
          <w:i/>
          <w:iCs/>
        </w:rPr>
        <w:t xml:space="preserve">Streamlit Documentation and Core Architecture for Local Web Application Protocols</w:t>
      </w:r>
      <w:r>
        <w:t xml:space="preserve">.</w:t>
      </w:r>
      <w:r>
        <w:t xml:space="preserve"> </w:t>
      </w:r>
      <w:r>
        <w:t xml:space="preserve">Available at</w:t>
      </w:r>
      <w:r>
        <w:t xml:space="preserve"> </w:t>
      </w:r>
      <w:hyperlink r:id="rId23">
        <w:r>
          <w:rPr>
            <w:rStyle w:val="Hyperlink"/>
          </w:rPr>
          <w:t xml:space="preserve">https://streamlit.io</w:t>
        </w:r>
      </w:hyperlink>
      <w:r>
        <w:t xml:space="preserv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streamlit.io" TargetMode="External" /></Relationships>
</file>

<file path=word/_rels/footnotes.xml.rels><?xml version="1.0" encoding="UTF-8"?><Relationships xmlns="http://schemas.openxmlformats.org/package/2006/relationships"><Relationship Type="http://schemas.openxmlformats.org/officeDocument/2006/relationships/hyperlink" Id="rId23" Target="https://streaml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Architecting an Enterprise-Grade, Air-Gapped Semantic Search Engine for CVPR 2026 Academic Literature</dc:title>
  <dc:creator>Gemini, ChatGPT, Perry Shoham</dc:creator>
  <cp:keywords/>
  <dcterms:created xsi:type="dcterms:W3CDTF">2026-06-19T06:42:45Z</dcterms:created>
  <dcterms:modified xsi:type="dcterms:W3CDTF">2026-06-19T06:42:45Z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Accessing massive scientific corpuses within secure, network-isolated (air-gapped) environments poses severe data engineering and information retrieval challenges. Traditional semantic search pipelines rely heavily on external cloud-based APIs, rendering them unusable in secure industrial or governmental infrastructure. This paper presents a complete localized architecture designed to ingest, index, and query the 4,071 accepted papers of the IEEE/CVF Conference on Computer Vision and Pattern Recognition (CVPR 2026). The proposed framework operates entirely offline, combining an optimized web scraping protocol, the state-of-the-art BAAI/bge-large-en-v1.5 dense retrieval model, an enriched asymmetric indexing algorithm (Title + Abstract), and an optimized matrix algebraic search space utilizing raw NumPy arrays. By leveraging vectorized cosine similarity optimizations, the system achieves sub-millisecond retrieval times on standard CPU architectures while preserving absolute data sovereignty and operational security.</vt:lpwstr>
  </property>
  <property fmtid="{D5CDD505-2E9C-101B-9397-08002B2CF9AE}" pid="3" name="date">
    <vt:lpwstr>2026-06-19</vt:lpwstr>
  </property>
</Properties>
</file>