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障害支援区分5・6を中心とする重度対応を基本としつつ、区分を問わず幅広く受け入れ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管理者兼サビ管(丸山氏)1名、生活支援員等6名、看護職員1名(必置)、機能訓練指導員0.4名、事務員0.5名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 約6,400万円に対し、現時点の調達見込みは約4,000万円。約2,400万円の資金ギャップが最重要課題(第9章)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稼働率85%到達時点(Year4〜5)でも営業赤字が残る構造(第10章)。黒字化には追加の対応が必須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基準(3:1)に基づき生活支援員等6名を確保する」という方針で応えている(第6章)。区分の重い方を中心に受け入れることで、①基本報酬単価が上がり、②同時に手厚い人員配置が制度上必要になる(＝理念の実現に必要な人員を、報酬構造の中で正当に賄う)という設計である。それでもなお、週3日の地域外出を全利用者に一律で約束することは避け、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区分を問わず幅広く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障害支援区分5・6を中心とする重度対応を基本方針としつつ、区分を問わず幅広く受け入れる「地域のセーフティネット」となる。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障害支援区分5・6を中心に、区分を問わず幅広く受け入れ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需給ギャップ・営業戦略(要調査・要具体化)</w:t>
      </w:r>
    </w:p>
    <w:p>
      <w:pPr>
        <w:spacing w:after="120" w:before="0"/>
      </w:pPr>
      <w:r>
        <w:rPr>
          <w:rFonts w:ascii="Yu Gothic" w:cs="Yu Gothic" w:eastAsia="Yu Gothic" w:hAnsi="Yu Gothic"/>
        </w:rPr>
        <w:t xml:space="preserve">経営者レビューで「挨拶回り」は戦略ではなく行動の名前であると指摘された。以下のフレームで具体化する必要がある(現時点では未着手であり、開所前の最優先タスクの一つ)。</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平均障害支援区分に応じて配置比率が変動(6-2参照)。分母は前年度の平均利用者数。新規指定時は定員の90%とみなす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生活介護の単位ごとに常勤換算1以上が必置。生活支援員等への兼務は不可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医療的ケア対象者の有無にかかわらず必置。非常勤の組み合わせで常勤換算1.0を満たす設計も可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確保困難な場合、看護師等での代替が認められる余地があるが自治体の個別判断のため要確認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pStyle w:val="Heading2"/>
        <w:spacing w:after="120" w:before="240"/>
      </w:pPr>
      <w:r>
        <w:rPr>
          <w:rFonts w:ascii="Yu Gothic" w:cs="Yu Gothic" w:eastAsia="Yu Gothic" w:hAnsi="Yu Gothic"/>
          <w:b/>
          <w:bCs/>
          <w:color w:val="1F4E78"/>
          <w:sz w:val="24"/>
          <w:szCs w:val="24"/>
        </w:rPr>
        <w:t xml:space="preserve">6-3. 想定スタッフ体制(平均区分5を基本ケース、別紙Excel「人件費」シートと連動)</w:t>
      </w:r>
    </w:p>
    <w:p>
      <w:pPr>
        <w:spacing w:after="120" w:before="0"/>
      </w:pPr>
      <w:r>
        <w:rPr>
          <w:rFonts w:ascii="Yu Gothic" w:cs="Yu Gothic" w:eastAsia="Yu Gothic" w:hAnsi="Yu Gothic"/>
        </w:rPr>
        <w:t xml:space="preserve">看護職員・機能訓練指導員は、人員基準上、生活支援員等への兼務ができない独立した必置(または運営規程上の必須)職種として計上している(改訂前の計画では、この2職種を生活支援員等に含めて兼務させる設計になっており、指定審査の観点で致命的な誤りだった)。</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12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年間人件費</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常勤・専従が原則。専従性の扱いは広島市の事前相談で要確認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配置基準(3:1)に基づく自動計算。送迎はシフト内で輪番対応</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非常勤の組み合わせでも可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機能訓練指導員(PT/OT、非常勤)</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(按分)420万円単価</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週2日程度を想定</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経理・請求事務等</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送迎対応 割増手当(固定)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生活支援員等の輪番対応への割増手当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小計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約8.9名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3,448万円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法定福利費等(概算15%)</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517万円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生活支援員等6名体制での想定を以下に示す(実際の物件・利用者構成が固まった段階で確定させるこ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配置人数の目安</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生活支援員2〜3名が送迎、残り3〜4名+看護職員が施設内で早着者を受け入れ</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16:00〜17:30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個別支援計画の作成・モニタリング、職員管理を中心に、可能な範囲で現場支援に参加</w:t>
            </w:r>
          </w:p>
        </w:tc>
      </w:tr>
    </w:tbl>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機能訓練指導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生活支援員等・看護職員は求人媒体・ハローワーク・福祉人材センター、介護福祉士養成校・特別支援学校進路指導部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採用費は生活支援員等5〜6名分として400万円程度を見込む(第9章、初期投資に計上)。</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欠員リスクに備え、生活支援員等について登録型の非常勤リストを確保し、常勤換算の余裕(+0.5〜1.0名程度)を持たせることを検討する。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これらを踏まえると、最短でも8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延床200㎡超で必須</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生活支援員等5〜6名の採用費を含む</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約3,337万円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資金が最も枯渇する時点の累積不足額。単純な「2〜3か月分」の目安では大幅に不足することが判明したため実測ベースに変更</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約6,402万円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突出して大きいのは、生活支援員等6名を含む配置基準上必要な人員体制を開所当初から維持する必要がある一方、Year1の契約者数は月を追って積み上がる(月1:3名→月12:15名)ため、収入が追いつくまでの期間が長いことによる。これは会計上の見積り誤りではなく、労働集約型・許認可型の福祉事業に共通する構造的な特徴であ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500"/>
        <w:gridCol w:w="4800"/>
      </w:tblGrid>
      <w:tr>
        <w:trPr>
          <w:tblHeader/>
        </w:trPr>
        <w:tc>
          <w:tcPr>
            <w:tcW w:type="dxa" w:w="4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4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r>
      <w:tr>
        <w:tc>
          <w:tcPr>
            <w:tcW w:type="dxa" w:w="4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初期投資合計(運転資金込)</w:t>
            </w:r>
          </w:p>
        </w:tc>
        <w:tc>
          <w:tcPr>
            <w:tcW w:type="dxa" w:w="4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約6,402万円</w:t>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自己資金比率・事業計画の説得力次第で変動</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過不足</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約▲2,400万円(資金ギャップ)</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現時点の資金調達計画では、約2,400万円の資金ギャップが残る。これは「いずれ何とかする」で済ませられる規模ではなく、開所前に必ず解消すべき本計画最大の課題である。</w:t>
      </w:r>
    </w:p>
    <w:p>
      <w:pPr>
        <w:spacing w:after="120" w:before="0"/>
      </w:pPr>
      <w:r>
        <w:rPr>
          <w:rFonts w:ascii="Yu Gothic" w:cs="Yu Gothic" w:eastAsia="Yu Gothic" w:hAnsi="Yu Gothic"/>
        </w:rPr>
        <w:t xml:space="preserve">対応レバー(優先順)：①居抜き物件の徹底活用による内装・消防・用途変更費の圧縮 ②内装・什器の仕様グレードダウン ③自己資金の積み増し ④会長借入の増額交渉・地方銀行の追加活用 ⑤定員18名等での段階的な開業(稼働率安定後に定員変更を申請)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開設資金全体(約6,400万円)の一部であり、「ほぼ全額」ではない。営業利益がマイナスの期間が続く前提であるため、この返済額を営業キャッシュフローだけで賄うのは厳しい。据置期間の延長・返済開始時期の後ろ倒しを早期に相談できる関係性を築いておくこと。金銭消費貸借契約書の締結、会長に万一のことがあった場合の債権承継(相続)の取り扱いについても、事前に整理しておくこと。</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広島市＝5級地。生活介護の人件費割合(45%と仮定)を乗じ、1単位10.45円で試算(要最終確認)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 加算Ⅰ(概ね4.4%)。改訂前の「15%」は他サービスの加算率を誤って引用したもの。加算額は全額を職員の賃金改善に充てる義務があるため、加算収入と同額を人件費側にも計上し損益を中立化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入浴介助加算・食事提供体制加算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実施方針に基づき、単価×回数で個別に積み上げ(改訂前の「その他加算＝一律5%」という丼勘定を廃止)</w:t>
            </w:r>
          </w:p>
        </w:tc>
      </w:tr>
    </w:tbl>
    <w:p>
      <w:pPr>
        <w:pStyle w:val="Heading2"/>
        <w:spacing w:after="120" w:before="240"/>
      </w:pPr>
      <w:r>
        <w:rPr>
          <w:rFonts w:ascii="Yu Gothic" w:cs="Yu Gothic" w:eastAsia="Yu Gothic" w:hAnsi="Yu Gothic"/>
          <w:b/>
          <w:bCs/>
          <w:color w:val="1F4E78"/>
          <w:sz w:val="24"/>
          <w:szCs w:val="24"/>
        </w:rPr>
        <w:t xml:space="preserve">10-2. 支出の考え方(改訂：計上漏れを是正)</w:t>
      </w:r>
    </w:p>
    <w:p>
      <w:pPr>
        <w:pStyle w:val="ListParagraph"/>
        <w:numPr>
          <w:ilvl w:val="0"/>
          <w:numId w:val="1"/>
        </w:numPr>
        <w:spacing w:after="80"/>
      </w:pPr>
      <w:r>
        <w:rPr>
          <w:rFonts w:ascii="Yu Gothic" w:cs="Yu Gothic" w:eastAsia="Yu Gothic" w:hAnsi="Yu Gothic"/>
        </w:rPr>
        <w:t xml:space="preserve">人件費(法定福利費込、看護職員・機能訓練指導員を独立配置) ≈ 年間約3,965万円(第6章参照)</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5ヵ年収支計画(是正後)</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稼働率(想定)</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約2,051万円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約3,809万円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約4,688万円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約4,981万円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約4,981万円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約5,429万円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約5,496万円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約5,769万円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約5,780万円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約5,780万円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▲3,378万円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▲1,080万円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▲798万円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▲798万円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▲44.3%</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w:t>
            </w:r>
          </w:p>
        </w:tc>
      </w:tr>
    </w:tbl>
    <w:p>
      <w:pPr>
        <w:spacing w:after="160"/>
      </w:pPr>
      <w:r>
        <w:rPr>
          <w:rFonts w:ascii="Yu Gothic" w:cs="Yu Gothic" w:eastAsia="Yu Gothic" w:hAnsi="Yu Gothic"/>
          <w:i/>
          <w:iCs/>
          <w:color w:val="806000"/>
          <w:sz w:val="18"/>
          <w:szCs w:val="18"/>
        </w:rPr>
        <w:t xml:space="preserve">※Year1の稼働率35%は、別紙Excel「月次資金繰り(Year1)」シートで契約者数を月次に積み上げた(月1:3名→月12:15名)結果の年間平均値。改訂前の「通年60%固定」は開所初日から平均12名が通所する前提となり非現実的だったため、積み上げ方式に変更した。</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平均区分5・稼働率85%に到達するYear4〜5の時点でも、営業赤字(年間約798万円)が残る構造である。これは看護職員・機能訓練指導員を正しく計上し、面積・賃料・報酬単価・加算率を一次情報ベースで是正した結果であり、改訂前よりも赤字幅は拡大した。小規模(定員20名)・重度対応中心の生活介護が構造的に抱える収支の厳しさを正直に反映した結果である。</w:t>
      </w:r>
    </w:p>
    <w:p>
      <w:pPr>
        <w:spacing w:after="120" w:before="0"/>
      </w:pPr>
      <w:r>
        <w:rPr>
          <w:rFonts w:ascii="Yu Gothic" w:cs="Yu Gothic" w:eastAsia="Yu Gothic" w:hAnsi="Yu Gothic"/>
          <w:b/>
          <w:bCs/>
        </w:rPr>
        <w:t xml:space="preserve">黒字化、または赤字幅の大幅な縮小に向けて、以下を今後の検討課題として明記する(本書では検証しきれていない、次のステップ)。</w:t>
      </w:r>
    </w:p>
    <w:p>
      <w:pPr>
        <w:pStyle w:val="ListParagraph"/>
        <w:numPr>
          <w:ilvl w:val="0"/>
          <w:numId w:val="1"/>
        </w:numPr>
        <w:spacing w:after="80"/>
      </w:pPr>
      <w:r>
        <w:rPr>
          <w:rFonts w:ascii="Yu Gothic" w:cs="Yu Gothic" w:eastAsia="Yu Gothic" w:hAnsi="Yu Gothic"/>
        </w:rPr>
        <w:t xml:space="preserve">人員配置体制加算の取得検討：生活支援員等の配置比率を基準(3:1)よりさらに手厚くする(例:2:1、1.5:1)ことで算定できる加算(33〜321単位、区分により変動)。人を増やすことがコスト増ではなく収入増につながる、生活介護特有の収支構造。具体的な単位数・要件は広島市の単価表で確認の上、次版で本格的にモデル化する。</w:t>
      </w:r>
    </w:p>
    <w:p>
      <w:pPr>
        <w:pStyle w:val="ListParagraph"/>
        <w:numPr>
          <w:ilvl w:val="0"/>
          <w:numId w:val="1"/>
        </w:numPr>
        <w:spacing w:after="80"/>
      </w:pPr>
      <w:r>
        <w:rPr>
          <w:rFonts w:ascii="Yu Gothic" w:cs="Yu Gothic" w:eastAsia="Yu Gothic" w:hAnsi="Yu Gothic"/>
        </w:rPr>
        <w:t xml:space="preserve">稼働率のさらなる引き上げ(90%超)：第4章の営業戦略の実行が前提。特別支援学校の進路決定サイクルに合わせた開所時期の調整(第8章)と表裏一体。</w:t>
      </w:r>
    </w:p>
    <w:p>
      <w:pPr>
        <w:pStyle w:val="ListParagraph"/>
        <w:numPr>
          <w:ilvl w:val="0"/>
          <w:numId w:val="1"/>
        </w:numPr>
        <w:spacing w:after="80"/>
      </w:pPr>
      <w:r>
        <w:rPr>
          <w:rFonts w:ascii="Yu Gothic" w:cs="Yu Gothic" w:eastAsia="Yu Gothic" w:hAnsi="Yu Gothic"/>
        </w:rPr>
        <w:t xml:space="preserve">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多機能型化・短期入所併設等による収益源の分散：管理者・サビ管・事務・送迎という固定費を複数事業で分散する。中長期的な検討課題。</w:t>
      </w:r>
    </w:p>
    <w:p>
      <w:pPr>
        <w:pStyle w:val="ListParagraph"/>
        <w:numPr>
          <w:ilvl w:val="0"/>
          <w:numId w:val="1"/>
        </w:numPr>
        <w:spacing w:after="80"/>
      </w:pPr>
      <w:r>
        <w:rPr>
          <w:rFonts w:ascii="Yu Gothic" w:cs="Yu Gothic" w:eastAsia="Yu Gothic" w:hAnsi="Yu Gothic"/>
        </w:rPr>
        <w:t xml:space="preserve">開所規模の見直し：定員18名等でまず開所し、収支が安定してから定員変更(増員)を申請する段階的展開。</w:t>
      </w:r>
    </w:p>
    <w:p>
      <w:pPr>
        <w:spacing w:after="120" w:before="0"/>
      </w:pPr>
      <w:r>
        <w:rPr>
          <w:rFonts w:ascii="Yu Gothic" w:cs="Yu Gothic" w:eastAsia="Yu Gothic" w:hAnsi="Yu Gothic"/>
          <w:b/>
          <w:bCs/>
        </w:rPr>
        <w:t xml:space="preserve">この事業を「今の設計のまま」進めることは推奨できない。上記のいずれか(複数)を選択し、次版の計画に反映したうえで、金融機関・会長への提案に進むべきである。</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bl>
    <w:p>
      <w:pPr>
        <w:spacing w:after="120" w:before="0"/>
      </w:pPr>
      <w:r>
        <w:rPr>
          <w:rFonts w:ascii="Yu Gothic" w:cs="Yu Gothic" w:eastAsia="Yu Gothic" w:hAnsi="Yu Gothic"/>
        </w:rPr>
        <w:t xml:space="preserve">上記を「第13章 今後のアクションプラン」に落とし込み、担当者と期限を割り当てること。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是正後の収支でも、Year5時点で年間約798万円の営業赤字が残る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第10-4章の5つの論点を検証し、次版までに黒字化の道筋を明確にする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現時点の調達計画で約2,400万円の資金ギャップが残る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居抜き物件の徹底活用、自己資金の積み増し、会長借入の増額交渉、段階的開業を組み合わせて解消する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福祉・介護職員等処遇改善加算(令和6年6月一本化後)の生活介護 加算Ⅰ：概ね4.4%</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建築基準法上の用途変更確認申請：延床200㎡超が対象(国土交通省 令和元年6月24日付通知)</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本書はv2(改訂版)です。第4章(市場分析・営業戦略の具体化)、第10-4章(黒字化シナリオの検証、特に人員配置体制加算)、第9-2章(資金ギャップの解消)が、次の改訂で最優先に取り組むべき項目です。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2026-08-15T02:49:51.026Z</dcterms:created>
  <dcterms:modified xsi:type="dcterms:W3CDTF">2026-08-15T02:49:51.027Z</dcterms:modified>
</cp:coreProperties>
</file>

<file path=docProps/custom.xml><?xml version="1.0" encoding="utf-8"?>
<Properties xmlns="http://schemas.openxmlformats.org/officeDocument/2006/custom-properties" xmlns:vt="http://schemas.openxmlformats.org/officeDocument/2006/docPropsVTypes"/>
</file>