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900"/>
        <w:jc w:val="center"/>
      </w:pPr>
      <w:r>
        <w:rPr>
          <w:rFonts w:ascii="Yu Gothic" w:cs="Yu Gothic" w:eastAsia="Yu Gothic" w:hAnsi="Yu Gothic"/>
          <w:b/>
          <w:bCs/>
          <w:color w:val="1F4E78"/>
          <w:sz w:val="38"/>
          <w:szCs w:val="38"/>
        </w:rPr>
        <w:t xml:space="preserve">生活介護事業所 開設</w:t>
      </w:r>
    </w:p>
    <w:p>
      <w:pPr>
        <w:spacing w:after="500"/>
        <w:jc w:val="center"/>
      </w:pPr>
      <w:r>
        <w:rPr>
          <w:rFonts w:ascii="Yu Gothic" w:cs="Yu Gothic" w:eastAsia="Yu Gothic" w:hAnsi="Yu Gothic"/>
          <w:b/>
          <w:bCs/>
          <w:color w:val="1F4E78"/>
          <w:sz w:val="38"/>
          <w:szCs w:val="38"/>
        </w:rPr>
        <w:t xml:space="preserve">事業計画書(案) ― 改訂版(v2)</w:t>
      </w:r>
    </w:p>
    <w:p>
      <w:pPr>
        <w:spacing w:after="80"/>
        <w:jc w:val="center"/>
      </w:pPr>
      <w:r>
        <w:rPr>
          <w:rFonts w:ascii="Yu Gothic" w:cs="Yu Gothic" w:eastAsia="Yu Gothic" w:hAnsi="Yu Gothic"/>
          <w:sz w:val="22"/>
          <w:szCs w:val="22"/>
        </w:rPr>
        <w:t xml:space="preserve">事業所名(仮称)：生活介護事業所 ○○○○(広島市)</w:t>
      </w:r>
    </w:p>
    <w:p>
      <w:pPr>
        <w:spacing w:after="80"/>
        <w:jc w:val="center"/>
      </w:pPr>
      <w:r>
        <w:rPr>
          <w:rFonts w:ascii="Yu Gothic" w:cs="Yu Gothic" w:eastAsia="Yu Gothic" w:hAnsi="Yu Gothic"/>
          <w:sz w:val="22"/>
          <w:szCs w:val="22"/>
        </w:rPr>
        <w:t xml:space="preserve">作成日：2026年8月15日</w:t>
      </w:r>
    </w:p>
    <w:p>
      <w:pPr>
        <w:spacing w:after="400"/>
        <w:jc w:val="center"/>
      </w:pPr>
      <w:r>
        <w:rPr>
          <w:rFonts w:ascii="Yu Gothic" w:cs="Yu Gothic" w:eastAsia="Yu Gothic" w:hAnsi="Yu Gothic"/>
          <w:sz w:val="22"/>
          <w:szCs w:val="22"/>
        </w:rPr>
        <w:t xml:space="preserve">体制：丸山氏(サービス管理責任者資格保有・現場責任者)／豊口祥平氏(元上司・経営責任者)の二人体制</w:t>
      </w:r>
    </w:p>
    <w:p>
      <w:pPr>
        <w:spacing w:after="100"/>
        <w:jc w:val="center"/>
      </w:pPr>
      <w:r>
        <w:rPr>
          <w:rFonts w:ascii="Yu Gothic" w:cs="Yu Gothic" w:eastAsia="Yu Gothic" w:hAnsi="Yu Gothic"/>
          <w:b/>
          <w:bCs/>
          <w:sz w:val="20"/>
          <w:szCs w:val="20"/>
        </w:rPr>
        <w:t xml:space="preserve">改訂履歴</w:t>
      </w:r>
    </w:p>
    <w:p>
      <w:pPr>
        <w:spacing w:after="400"/>
        <w:jc w:val="center"/>
      </w:pPr>
      <w:r>
        <w:rPr>
          <w:rFonts w:ascii="Yu Gothic" w:cs="Yu Gothic" w:eastAsia="Yu Gothic" w:hAnsi="Yu Gothic"/>
          <w:i/>
          <w:iCs/>
          <w:sz w:val="18"/>
          <w:szCs w:val="18"/>
        </w:rPr>
        <w:t xml:space="preserve">障害福祉の経営者(総合4.2/10点)、および広島市の指定申請・指定更新担当職員(総合3.5/10点)を想定した2種類の専門家レビューを受け、指摘事項を反映して全面的に改訂した版です。</w:t>
      </w:r>
    </w:p>
    <w:p>
      <w:pPr>
        <w:spacing w:after="200"/>
        <w:jc w:val="center"/>
      </w:pPr>
      <w:r>
        <w:rPr>
          <w:rFonts w:ascii="Yu Gothic" w:cs="Yu Gothic" w:eastAsia="Yu Gothic" w:hAnsi="Yu Gothic"/>
          <w:i/>
          <w:iCs/>
          <w:color w:val="806000"/>
          <w:sz w:val="18"/>
          <w:szCs w:val="18"/>
        </w:rPr>
        <w:t xml:space="preserve">本書は事業計画のたたき台です。「要確認」と記載した箇所は、広島市への事前相談・最新の報酬告示・現地見積り・専門家の確認で数値を確定させてください。</w:t>
      </w:r>
    </w:p>
    <w:p>
      <w:r>
        <w:br w:type="page"/>
      </w:r>
    </w:p>
    <w:p>
      <w:pPr>
        <w:pStyle w:val="Heading1"/>
        <w:spacing w:after="160" w:before="360"/>
      </w:pPr>
      <w:r>
        <w:rPr>
          <w:rFonts w:ascii="Yu Gothic" w:cs="Yu Gothic" w:eastAsia="Yu Gothic" w:hAnsi="Yu Gothic"/>
          <w:b/>
          <w:bCs/>
          <w:color w:val="1F4E78"/>
          <w:sz w:val="30"/>
          <w:szCs w:val="30"/>
        </w:rPr>
        <w:t xml:space="preserve">1. エグゼクティブサマリー</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shd w:fill="1F4E78" w:val="clear"/>
            <w:tcMar>
              <w:top w:type="dxa" w:w="60"/>
              <w:left w:type="dxa" w:w="100"/>
              <w:bottom w:type="dxa" w:w="60"/>
              <w:right w:type="dxa" w:w="100"/>
            </w:tcMar>
          </w:tcPr>
          <w:p>
            <w:pPr>
              <w:jc w:val="center"/>
            </w:pPr>
            <w:r>
              <w:rPr>
                <w:rFonts w:ascii="Yu Gothic" w:cs="Yu Gothic" w:eastAsia="Yu Gothic" w:hAnsi="Yu Gothic"/>
                <w:b/>
                <w:bCs/>
                <w:sz w:val="19"/>
                <w:szCs w:val="19"/>
              </w:rPr>
              <w:t xml:space="preserve">項目</w:t>
            </w:r>
          </w:p>
        </w:tc>
        <w:tc>
          <w:tcPr>
            <w:tcW w:type="dxa" w:w="7000"/>
            <w:shd w:fill="1F4E78" w:val="clear"/>
            <w:tcMar>
              <w:top w:type="dxa" w:w="60"/>
              <w:left w:type="dxa" w:w="100"/>
              <w:bottom w:type="dxa" w:w="60"/>
              <w:right w:type="dxa" w:w="100"/>
            </w:tcMar>
          </w:tcPr>
          <w:p>
            <w:pPr>
              <w:jc w:val="center"/>
            </w:pPr>
            <w:r>
              <w:rPr>
                <w:rFonts w:ascii="Yu Gothic" w:cs="Yu Gothic" w:eastAsia="Yu Gothic" w:hAnsi="Yu Gothic"/>
                <w:b/>
                <w:bCs/>
                <w:sz w:val="19"/>
                <w:szCs w:val="19"/>
              </w:rPr>
              <w:t xml:space="preserve">内容</w:t>
            </w:r>
          </w:p>
        </w:tc>
      </w:tr>
      <w:tr>
        <w:tc>
          <w:tcPr>
            <w:tcW w:type="dxa" w:w="23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サービス種別</w:t>
            </w:r>
          </w:p>
        </w:tc>
        <w:tc>
          <w:tcPr>
            <w:tcW w:type="dxa" w:w="70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生活介護(障害者総合支援法に基づく指定障害福祉サービス)</w:t>
            </w:r>
          </w:p>
        </w:tc>
      </w:tr>
      <w:tr>
        <w:tc>
          <w:tcPr>
            <w:tcW w:type="dxa" w:w="23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開設予定地</w:t>
            </w:r>
          </w:p>
        </w:tc>
        <w:tc>
          <w:tcPr>
            <w:tcW w:type="dxa" w:w="70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広島市 佐伯区・西区を中心に検討中(居抜き物件を最優先で探索)</w:t>
            </w:r>
          </w:p>
        </w:tc>
      </w:tr>
      <w:tr>
        <w:tc>
          <w:tcPr>
            <w:tcW w:type="dxa" w:w="23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運営体制</w:t>
            </w:r>
          </w:p>
        </w:tc>
        <w:tc>
          <w:tcPr>
            <w:tcW w:type="dxa" w:w="70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丸山氏(サービス管理責任者資格保有・現場責任者)と豊口祥平氏(元上司・経営責任者)の二人体制。運営法人は新設予定</w:t>
            </w:r>
          </w:p>
        </w:tc>
      </w:tr>
      <w:tr>
        <w:tc>
          <w:tcPr>
            <w:tcW w:type="dxa" w:w="23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利用定員</w:t>
            </w:r>
          </w:p>
        </w:tc>
        <w:tc>
          <w:tcPr>
            <w:tcW w:type="dxa" w:w="70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20名/日</w:t>
            </w:r>
          </w:p>
        </w:tc>
      </w:tr>
      <w:tr>
        <w:tc>
          <w:tcPr>
            <w:tcW w:type="dxa" w:w="23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対象者</w:t>
            </w:r>
          </w:p>
        </w:tc>
        <w:tc>
          <w:tcPr>
            <w:tcW w:type="dxa" w:w="70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障害支援区分5・6を中心とする重度対応を基本としつつ、生活介護の利用要件(障害支援区分3以上、50歳以上は区分2以上)の範囲内で障害種別を限定せず受け入れ</w:t>
            </w:r>
          </w:p>
        </w:tc>
      </w:tr>
      <w:tr>
        <w:tc>
          <w:tcPr>
            <w:tcW w:type="dxa" w:w="23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サービス提供時間</w:t>
            </w:r>
          </w:p>
        </w:tc>
        <w:tc>
          <w:tcPr>
            <w:tcW w:type="dxa" w:w="70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9:30〜16:45(7時間15分)。送迎込みの実質拘束は8:00〜18:00</w:t>
            </w:r>
          </w:p>
        </w:tc>
      </w:tr>
      <w:tr>
        <w:tc>
          <w:tcPr>
            <w:tcW w:type="dxa" w:w="23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開設目標時期</w:t>
            </w:r>
          </w:p>
        </w:tc>
        <w:tc>
          <w:tcPr>
            <w:tcW w:type="dxa" w:w="70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2027年6〜8月頃(現実的な目標。第8章参照)</w:t>
            </w:r>
          </w:p>
        </w:tc>
      </w:tr>
      <w:tr>
        <w:tc>
          <w:tcPr>
            <w:tcW w:type="dxa" w:w="23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人員体制</w:t>
            </w:r>
          </w:p>
        </w:tc>
        <w:tc>
          <w:tcPr>
            <w:tcW w:type="dxa" w:w="70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管理者兼サビ管(丸山氏)1名、生活支援員等6名、看護職員1名(必置)、機能訓練指導員0.4名、事務員0.5名</w:t>
            </w:r>
          </w:p>
        </w:tc>
      </w:tr>
      <w:tr>
        <w:tc>
          <w:tcPr>
            <w:tcW w:type="dxa" w:w="23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資金計画</w:t>
            </w:r>
          </w:p>
        </w:tc>
        <w:tc>
          <w:tcPr>
            <w:tcW w:type="dxa" w:w="70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5ヵ年の累積資金需要を踏まえた真の必要総額は約1億1,011万円(設備投資等約3,065万円＋5年間の累積営業赤字約7,946万円)。現時点の調達見込みは約4,000万円で、約7,011万円の資金ギャップが最重要課題(第9章)</w:t>
            </w:r>
          </w:p>
        </w:tc>
      </w:tr>
      <w:tr>
        <w:tc>
          <w:tcPr>
            <w:tcW w:type="dxa" w:w="23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収支の見通し</w:t>
            </w:r>
          </w:p>
        </w:tc>
        <w:tc>
          <w:tcPr>
            <w:tcW w:type="dxa" w:w="70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稼働率85%到達時点(Year4〜5)でも営業赤字が残る構造(第10章)。黒字化には追加の対応が必須</w:t>
            </w:r>
          </w:p>
        </w:tc>
      </w:tr>
    </w:tbl>
    <w:p>
      <w:pPr>
        <w:spacing w:after="120" w:before="0"/>
      </w:pPr>
      <w:r>
        <w:rPr>
          <w:rFonts w:ascii="Yu Gothic" w:cs="Yu Gothic" w:eastAsia="Yu Gothic" w:hAnsi="Yu Gothic"/>
        </w:rPr>
        <w:t xml:space="preserve"/>
      </w:r>
    </w:p>
    <w:p>
      <w:pPr>
        <w:spacing w:after="120" w:before="0"/>
      </w:pPr>
      <w:r>
        <w:rPr>
          <w:rFonts w:ascii="Yu Gothic" w:cs="Yu Gothic" w:eastAsia="Yu Gothic" w:hAnsi="Yu Gothic"/>
        </w:rPr>
        <w:t xml:space="preserve">広島市(佐伯区・西区を軸に検討)において、重度の障害がある方を中心に幅広く受け入れる定員20名の生活介護事業所を新設する。現場を担う丸山氏(サービス管理責任者資格保有)と、経営・資金調達を担う豊口祥平氏の二人体制を核とする。サービス管理責任者が確保できていることは大きな強みだが、それだけで指定が下りるわけではない。看護職員・機能訓練指導員の確保、延床250〜350㎡規模の物件確保と用途変更手続き、そして何より、事業として持続可能な収支構造の確立が、開所までに解決すべき本質的な課題である。本書はその課題を隠さず提示し、対応策とともに記載する。</w:t>
      </w:r>
    </w:p>
    <w:p>
      <w:pPr>
        <w:pStyle w:val="Heading1"/>
        <w:spacing w:after="160" w:before="360"/>
      </w:pPr>
      <w:r>
        <w:rPr>
          <w:rFonts w:ascii="Yu Gothic" w:cs="Yu Gothic" w:eastAsia="Yu Gothic" w:hAnsi="Yu Gothic"/>
          <w:b/>
          <w:bCs/>
          <w:color w:val="1F4E78"/>
          <w:sz w:val="30"/>
          <w:szCs w:val="30"/>
        </w:rPr>
        <w:t xml:space="preserve">2. 事業の目的・理念</w:t>
      </w:r>
    </w:p>
    <w:p>
      <w:pPr>
        <w:pStyle w:val="Heading2"/>
        <w:spacing w:after="120" w:before="240"/>
      </w:pPr>
      <w:r>
        <w:rPr>
          <w:rFonts w:ascii="Yu Gothic" w:cs="Yu Gothic" w:eastAsia="Yu Gothic" w:hAnsi="Yu Gothic"/>
          <w:b/>
          <w:bCs/>
          <w:color w:val="1F4E78"/>
          <w:sz w:val="24"/>
          <w:szCs w:val="24"/>
        </w:rPr>
        <w:t xml:space="preserve">2-0. コンセプト</w:t>
      </w:r>
    </w:p>
    <w:p>
      <w:pPr>
        <w:spacing w:after="120" w:before="0"/>
      </w:pPr>
      <w:r>
        <w:rPr>
          <w:rFonts w:ascii="Yu Gothic" w:cs="Yu Gothic" w:eastAsia="Yu Gothic" w:hAnsi="Yu Gothic"/>
          <w:b/>
          <w:bCs/>
        </w:rPr>
        <w:t xml:space="preserve">「働く・出かける・楽しむ・挑戦する。」障害の程度に関係なく、一人ひとりの可能性に目を向け、成人として地域の中で自分らしく生活するための経験と役割を大切にする生活介護。</w:t>
      </w:r>
    </w:p>
    <w:p>
      <w:pPr>
        <w:spacing w:after="120" w:before="0"/>
      </w:pPr>
      <w:r>
        <w:rPr>
          <w:rFonts w:ascii="Yu Gothic" w:cs="Yu Gothic" w:eastAsia="Yu Gothic" w:hAnsi="Yu Gothic"/>
        </w:rPr>
        <w:t xml:space="preserve">成人した利用者が、ただ施設で一日を過ごすのではなく、一人の大人として、自分らしく充実した毎日を送れる生活介護をつくりたい。障害の程度に関係なく、一人ひとりの「できること」「やってみたいこと」「好きなこと」に目を向け、「障害が重いからできない」と決めつけるのではなく、「この人なら何ができるだろう？」「どうすれば挑戦できるだろう？」と考えることを出発点にする。</w:t>
      </w:r>
    </w:p>
    <w:p>
      <w:pPr>
        <w:pStyle w:val="Heading2"/>
        <w:spacing w:after="120" w:before="240"/>
      </w:pPr>
      <w:r>
        <w:rPr>
          <w:rFonts w:ascii="Yu Gothic" w:cs="Yu Gothic" w:eastAsia="Yu Gothic" w:hAnsi="Yu Gothic"/>
          <w:b/>
          <w:bCs/>
          <w:color w:val="1F4E78"/>
          <w:sz w:val="24"/>
          <w:szCs w:val="24"/>
        </w:rPr>
        <w:t xml:space="preserve">2-1. 大切にしたい4つのこと</w:t>
      </w:r>
    </w:p>
    <w:p>
      <w:pPr>
        <w:pStyle w:val="ListParagraph"/>
        <w:numPr>
          <w:ilvl w:val="0"/>
          <w:numId w:val="1"/>
        </w:numPr>
        <w:spacing w:after="80"/>
      </w:pPr>
      <w:r>
        <w:rPr>
          <w:rFonts w:ascii="Yu Gothic" w:cs="Yu Gothic" w:eastAsia="Yu Gothic" w:hAnsi="Yu Gothic"/>
        </w:rPr>
        <w:t xml:space="preserve">働く・役割を持つ：「仕事＝内職」だけで終わらせない。内職・生産活動に加え、掃除・調理・植物の世話・買い物・商品の準備・販売・納品・施設で必要な物の管理など、誰かの役に立つこと、役割を担うことも「仕事」と捉える。</w:t>
      </w:r>
    </w:p>
    <w:p>
      <w:pPr>
        <w:pStyle w:val="ListParagraph"/>
        <w:numPr>
          <w:ilvl w:val="0"/>
          <w:numId w:val="1"/>
        </w:numPr>
        <w:spacing w:after="80"/>
      </w:pPr>
      <w:r>
        <w:rPr>
          <w:rFonts w:ascii="Yu Gothic" w:cs="Yu Gothic" w:eastAsia="Yu Gothic" w:hAnsi="Yu Gothic"/>
        </w:rPr>
        <w:t xml:space="preserve">出かける・地域とつながる：外出は単なるレクリエーションではなく「地域で生活する経験」として位置づける。</w:t>
      </w:r>
    </w:p>
    <w:p>
      <w:pPr>
        <w:pStyle w:val="ListParagraph"/>
        <w:numPr>
          <w:ilvl w:val="0"/>
          <w:numId w:val="1"/>
        </w:numPr>
        <w:spacing w:after="80"/>
      </w:pPr>
      <w:r>
        <w:rPr>
          <w:rFonts w:ascii="Yu Gothic" w:cs="Yu Gothic" w:eastAsia="Yu Gothic" w:hAnsi="Yu Gothic"/>
        </w:rPr>
        <w:t xml:space="preserve">楽しむ・遊ぶ：最初からしっかり余暇の時間を確保する。</w:t>
      </w:r>
    </w:p>
    <w:p>
      <w:pPr>
        <w:pStyle w:val="ListParagraph"/>
        <w:numPr>
          <w:ilvl w:val="0"/>
          <w:numId w:val="1"/>
        </w:numPr>
        <w:spacing w:after="80"/>
      </w:pPr>
      <w:r>
        <w:rPr>
          <w:rFonts w:ascii="Yu Gothic" w:cs="Yu Gothic" w:eastAsia="Yu Gothic" w:hAnsi="Yu Gothic"/>
        </w:rPr>
        <w:t xml:space="preserve">挑戦する：「できない」で終わらせない。無理をさせるのではなく、その人に合わせた小さな挑戦を積み重ねる。</w:t>
      </w:r>
    </w:p>
    <w:p>
      <w:pPr>
        <w:pStyle w:val="Heading2"/>
        <w:spacing w:after="120" w:before="240"/>
      </w:pPr>
      <w:r>
        <w:rPr>
          <w:rFonts w:ascii="Yu Gothic" w:cs="Yu Gothic" w:eastAsia="Yu Gothic" w:hAnsi="Yu Gothic"/>
          <w:b/>
          <w:bCs/>
          <w:color w:val="1F4E78"/>
          <w:sz w:val="24"/>
          <w:szCs w:val="24"/>
        </w:rPr>
        <w:t xml:space="preserve">2-2. 理念と人員体制の関係(重要な設計判断)</w:t>
      </w:r>
    </w:p>
    <w:p>
      <w:pPr>
        <w:spacing w:after="160" w:before="80"/>
      </w:pPr>
      <w:r>
        <w:rPr>
          <w:rFonts w:ascii="Yu Gothic" w:cs="Yu Gothic" w:eastAsia="Yu Gothic" w:hAnsi="Yu Gothic"/>
          <w:b/>
          <w:bCs/>
          <w:color w:val="C00000"/>
          <w:sz w:val="20"/>
          <w:szCs w:val="20"/>
        </w:rPr>
        <w:t xml:space="preserve">⚠ 経営者レビューで最も強く指摘された点：週3日の地域外出等をすべての利用者に約束するには、生活支援員4名程度では物理的に不可能である。理念を実現するために必要な人員を、収支が許す範囲でどう確保するかが本計画の核心的な設計課題である。</w:t>
      </w:r>
    </w:p>
    <w:p>
      <w:pPr>
        <w:spacing w:after="120" w:before="0"/>
      </w:pPr>
      <w:r>
        <w:rPr>
          <w:rFonts w:ascii="Yu Gothic" w:cs="Yu Gothic" w:eastAsia="Yu Gothic" w:hAnsi="Yu Gothic"/>
        </w:rPr>
        <w:t xml:space="preserve">本計画では、この課題に対して「平均障害支援区分5(重度対応中心)を基本ケースとし、配置基準(3:1)に基づき生活支援員等6名を確保する」という方針で応えている(第6章)。区分の重い方を中心に受け入れることで、①基本報酬単価が上がり、②同時に手厚い人員配置が制度上必要になる(＝理念の実現に必要な人員を、報酬構造の中で正当に賄う)という設計である。それでもなお、週3日の地域外出を全利用者に一律で約束することは避け、当面は個別支援計画に基づき「小グループ制・優先順位づけ」で運用し、職員体制の拡充とともに頻度を引き上げる、という段階的な目標に改める。</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rPr>
          <w:tblHeader/>
        </w:trPr>
        <w:tc>
          <w:tcPr>
            <w:tcW w:type="dxa" w:w="2200"/>
            <w:shd w:fill="1F4E78" w:val="clear"/>
            <w:tcMar>
              <w:top w:type="dxa" w:w="60"/>
              <w:left w:type="dxa" w:w="100"/>
              <w:bottom w:type="dxa" w:w="60"/>
              <w:right w:type="dxa" w:w="100"/>
            </w:tcMar>
          </w:tcPr>
          <w:p>
            <w:pPr>
              <w:jc w:val="center"/>
            </w:pPr>
            <w:r>
              <w:rPr>
                <w:rFonts w:ascii="Yu Gothic" w:cs="Yu Gothic" w:eastAsia="Yu Gothic" w:hAnsi="Yu Gothic"/>
                <w:b/>
                <w:bCs/>
                <w:sz w:val="19"/>
                <w:szCs w:val="19"/>
              </w:rPr>
              <w:t xml:space="preserve">段階</w:t>
            </w:r>
          </w:p>
        </w:tc>
        <w:tc>
          <w:tcPr>
            <w:tcW w:type="dxa" w:w="7100"/>
            <w:shd w:fill="1F4E78" w:val="clear"/>
            <w:tcMar>
              <w:top w:type="dxa" w:w="60"/>
              <w:left w:type="dxa" w:w="100"/>
              <w:bottom w:type="dxa" w:w="60"/>
              <w:right w:type="dxa" w:w="100"/>
            </w:tcMar>
          </w:tcPr>
          <w:p>
            <w:pPr>
              <w:jc w:val="center"/>
            </w:pPr>
            <w:r>
              <w:rPr>
                <w:rFonts w:ascii="Yu Gothic" w:cs="Yu Gothic" w:eastAsia="Yu Gothic" w:hAnsi="Yu Gothic"/>
                <w:b/>
                <w:bCs/>
                <w:sz w:val="19"/>
                <w:szCs w:val="19"/>
              </w:rPr>
              <w:t xml:space="preserve">地域外出の目標(たたき台)</w:t>
            </w:r>
          </w:p>
        </w:tc>
      </w:tr>
      <w:tr>
        <w:tc>
          <w:tcPr>
            <w:tcW w:type="dxa" w:w="22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開所〜1年目</w:t>
            </w:r>
          </w:p>
        </w:tc>
        <w:tc>
          <w:tcPr>
            <w:tcW w:type="dxa" w:w="71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希望者を対象に、小グループ(3〜5名＋職員2名)で週1回程度から開始</w:t>
            </w:r>
          </w:p>
        </w:tc>
      </w:tr>
      <w:tr>
        <w:tc>
          <w:tcPr>
            <w:tcW w:type="dxa" w:w="22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2〜3年目</w:t>
            </w:r>
          </w:p>
        </w:tc>
        <w:tc>
          <w:tcPr>
            <w:tcW w:type="dxa" w:w="71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職員体制の定着状況を見て、対象者・頻度を拡大(週2回を目標)</w:t>
            </w:r>
          </w:p>
        </w:tc>
      </w:tr>
      <w:tr>
        <w:tc>
          <w:tcPr>
            <w:tcW w:type="dxa" w:w="22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4年目以降</w:t>
            </w:r>
          </w:p>
        </w:tc>
        <w:tc>
          <w:tcPr>
            <w:tcW w:type="dxa" w:w="71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収支・人員体制の余裕を見ながら、理念に掲げる「週3日程度」に近づける</w:t>
            </w:r>
          </w:p>
        </w:tc>
      </w:tr>
    </w:tbl>
    <w:p>
      <w:pPr>
        <w:spacing w:after="120" w:before="0"/>
      </w:pPr>
      <w:r>
        <w:rPr>
          <w:rFonts w:ascii="Yu Gothic" w:cs="Yu Gothic" w:eastAsia="Yu Gothic" w:hAnsi="Yu Gothic"/>
        </w:rPr>
        <w:t xml:space="preserve">達成できない約束を最初から掲げないことが、家族・相談支援専門員からの信頼、そして何より職員の定着にとって重要という指摘を踏まえた変更である。</w:t>
      </w:r>
    </w:p>
    <w:p>
      <w:pPr>
        <w:pStyle w:val="Heading2"/>
        <w:spacing w:after="120" w:before="240"/>
      </w:pPr>
      <w:r>
        <w:rPr>
          <w:rFonts w:ascii="Yu Gothic" w:cs="Yu Gothic" w:eastAsia="Yu Gothic" w:hAnsi="Yu Gothic"/>
          <w:b/>
          <w:bCs/>
          <w:color w:val="1F4E78"/>
          <w:sz w:val="24"/>
          <w:szCs w:val="24"/>
        </w:rPr>
        <w:t xml:space="preserve">2-3. 曜日ごとに「主活動」を設ける(将来構想)</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7800"/>
      </w:tblGrid>
      <w:tr>
        <w:trPr>
          <w:tblHeader/>
        </w:trPr>
        <w:tc>
          <w:tcPr>
            <w:tcW w:type="dxa" w:w="1500"/>
            <w:shd w:fill="1F4E78" w:val="clear"/>
            <w:tcMar>
              <w:top w:type="dxa" w:w="60"/>
              <w:left w:type="dxa" w:w="100"/>
              <w:bottom w:type="dxa" w:w="60"/>
              <w:right w:type="dxa" w:w="100"/>
            </w:tcMar>
          </w:tcPr>
          <w:p>
            <w:pPr>
              <w:jc w:val="center"/>
            </w:pPr>
            <w:r>
              <w:rPr>
                <w:rFonts w:ascii="Yu Gothic" w:cs="Yu Gothic" w:eastAsia="Yu Gothic" w:hAnsi="Yu Gothic"/>
                <w:b/>
                <w:bCs/>
                <w:sz w:val="19"/>
                <w:szCs w:val="19"/>
              </w:rPr>
              <w:t xml:space="preserve">曜日</w:t>
            </w:r>
          </w:p>
        </w:tc>
        <w:tc>
          <w:tcPr>
            <w:tcW w:type="dxa" w:w="7800"/>
            <w:shd w:fill="1F4E78" w:val="clear"/>
            <w:tcMar>
              <w:top w:type="dxa" w:w="60"/>
              <w:left w:type="dxa" w:w="100"/>
              <w:bottom w:type="dxa" w:w="60"/>
              <w:right w:type="dxa" w:w="100"/>
            </w:tcMar>
          </w:tcPr>
          <w:p>
            <w:pPr>
              <w:jc w:val="center"/>
            </w:pPr>
            <w:r>
              <w:rPr>
                <w:rFonts w:ascii="Yu Gothic" w:cs="Yu Gothic" w:eastAsia="Yu Gothic" w:hAnsi="Yu Gothic"/>
                <w:b/>
                <w:bCs/>
                <w:sz w:val="19"/>
                <w:szCs w:val="19"/>
              </w:rPr>
              <w:t xml:space="preserve">主活動の例</w:t>
            </w:r>
          </w:p>
        </w:tc>
      </w:tr>
      <w:tr>
        <w:tc>
          <w:tcPr>
            <w:tcW w:type="dxa" w:w="15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月</w:t>
            </w:r>
          </w:p>
        </w:tc>
        <w:tc>
          <w:tcPr>
            <w:tcW w:type="dxa" w:w="78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仕事・生産活動</w:t>
            </w:r>
          </w:p>
        </w:tc>
      </w:tr>
      <w:tr>
        <w:tc>
          <w:tcPr>
            <w:tcW w:type="dxa" w:w="15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火</w:t>
            </w:r>
          </w:p>
        </w:tc>
        <w:tc>
          <w:tcPr>
            <w:tcW w:type="dxa" w:w="78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外出・地域活動(対象者を限定した小グループ制)</w:t>
            </w:r>
          </w:p>
        </w:tc>
      </w:tr>
      <w:tr>
        <w:tc>
          <w:tcPr>
            <w:tcW w:type="dxa" w:w="15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水</w:t>
            </w:r>
          </w:p>
        </w:tc>
        <w:tc>
          <w:tcPr>
            <w:tcW w:type="dxa" w:w="78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仕事・役割活動</w:t>
            </w:r>
          </w:p>
        </w:tc>
      </w:tr>
      <w:tr>
        <w:tc>
          <w:tcPr>
            <w:tcW w:type="dxa" w:w="15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木</w:t>
            </w:r>
          </w:p>
        </w:tc>
        <w:tc>
          <w:tcPr>
            <w:tcW w:type="dxa" w:w="78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レクリエーション・運動</w:t>
            </w:r>
          </w:p>
        </w:tc>
      </w:tr>
      <w:tr>
        <w:tc>
          <w:tcPr>
            <w:tcW w:type="dxa" w:w="15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金</w:t>
            </w:r>
          </w:p>
        </w:tc>
        <w:tc>
          <w:tcPr>
            <w:tcW w:type="dxa" w:w="78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入浴実施日・個別活動</w:t>
            </w:r>
          </w:p>
        </w:tc>
      </w:tr>
    </w:tbl>
    <w:p>
      <w:pPr>
        <w:pStyle w:val="Heading2"/>
        <w:spacing w:after="120" w:before="240"/>
      </w:pPr>
      <w:r>
        <w:rPr>
          <w:rFonts w:ascii="Yu Gothic" w:cs="Yu Gothic" w:eastAsia="Yu Gothic" w:hAnsi="Yu Gothic"/>
          <w:b/>
          <w:bCs/>
          <w:color w:val="1F4E78"/>
          <w:sz w:val="24"/>
          <w:szCs w:val="24"/>
        </w:rPr>
        <w:t xml:space="preserve">2-4. 利用者像</w:t>
      </w:r>
    </w:p>
    <w:p>
      <w:pPr>
        <w:spacing w:after="120" w:before="0"/>
      </w:pPr>
      <w:r>
        <w:rPr>
          <w:rFonts w:ascii="Yu Gothic" w:cs="Yu Gothic" w:eastAsia="Yu Gothic" w:hAnsi="Yu Gothic"/>
        </w:rPr>
        <w:t xml:space="preserve">障害支援区分5・6を中心とする重度対応を基本方針としつつ、生活介護の利用要件(障害支援区分3以上、50歳以上は区分2以上)の範囲内で、障害種別を限定せず受け入れる。「活動的＝身体的にたくさん動ける人」という意味にはせず、重度の方にも、その人なりの仕事・外出・楽しみ・役割・挑戦を見つけていく。医療的ケア(喀痰吸引・経管栄養等)の受け入れ可否は、看護職員の体制(第6章)と照らして受け入れ可能な範囲を明文化し、対応できない場合は正直に伝える。</w:t>
      </w:r>
    </w:p>
    <w:p>
      <w:pPr>
        <w:pStyle w:val="Heading2"/>
        <w:spacing w:after="120" w:before="240"/>
      </w:pPr>
      <w:r>
        <w:rPr>
          <w:rFonts w:ascii="Yu Gothic" w:cs="Yu Gothic" w:eastAsia="Yu Gothic" w:hAnsi="Yu Gothic"/>
          <w:b/>
          <w:bCs/>
          <w:color w:val="1F4E78"/>
          <w:sz w:val="24"/>
          <w:szCs w:val="24"/>
        </w:rPr>
        <w:t xml:space="preserve">2-5. 職員にとっても、笑顔でいられる場所</w:t>
      </w:r>
    </w:p>
    <w:p>
      <w:pPr>
        <w:spacing w:after="120" w:before="0"/>
      </w:pPr>
      <w:r>
        <w:rPr>
          <w:rFonts w:ascii="Yu Gothic" w:cs="Yu Gothic" w:eastAsia="Yu Gothic" w:hAnsi="Yu Gothic"/>
        </w:rPr>
        <w:t xml:space="preserve">利用者だけでなく、職員ものびのび働ける職場を目指す。「現場の意見を聞く」「上の人だけで決めない」「意見を聞いたうえで、必要なことはきちんと決める」「決めたことは最後まで取り組む」――「上から作る施設ではなく、一緒に作る施設」を基本姿勢とする。</w:t>
      </w:r>
    </w:p>
    <w:p>
      <w:pPr>
        <w:pStyle w:val="Heading2"/>
        <w:spacing w:after="120" w:before="240"/>
      </w:pPr>
      <w:r>
        <w:rPr>
          <w:rFonts w:ascii="Yu Gothic" w:cs="Yu Gothic" w:eastAsia="Yu Gothic" w:hAnsi="Yu Gothic"/>
          <w:b/>
          <w:bCs/>
          <w:color w:val="1F4E78"/>
          <w:sz w:val="24"/>
          <w:szCs w:val="24"/>
        </w:rPr>
        <w:t xml:space="preserve">2-6. 基本方針(運営面)</w:t>
      </w:r>
    </w:p>
    <w:p>
      <w:pPr>
        <w:pStyle w:val="ListParagraph"/>
        <w:numPr>
          <w:ilvl w:val="0"/>
          <w:numId w:val="1"/>
        </w:numPr>
        <w:spacing w:after="80"/>
      </w:pPr>
      <w:r>
        <w:rPr>
          <w:rFonts w:ascii="Yu Gothic" w:cs="Yu Gothic" w:eastAsia="Yu Gothic" w:hAnsi="Yu Gothic"/>
        </w:rPr>
        <w:t xml:space="preserve">障害支援区分5・6を中心とする重度対応を基本方針としつつ、生活介護の利用要件(障害支援区分3以上、50歳以上は区分2以上)の範囲内で障害種別を限定しない「地域のセーフティネット」となる。</w:t>
      </w:r>
    </w:p>
    <w:p>
      <w:pPr>
        <w:pStyle w:val="ListParagraph"/>
        <w:numPr>
          <w:ilvl w:val="0"/>
          <w:numId w:val="1"/>
        </w:numPr>
        <w:spacing w:after="80"/>
      </w:pPr>
      <w:r>
        <w:rPr>
          <w:rFonts w:ascii="Yu Gothic" w:cs="Yu Gothic" w:eastAsia="Yu Gothic" w:hAnsi="Yu Gothic"/>
        </w:rPr>
        <w:t xml:space="preserve">個別支援計画に基づき、入浴・排せつ・食事等の介護、創作的活動・生産活動、機能訓練の機会を提供する。</w:t>
      </w:r>
    </w:p>
    <w:p>
      <w:pPr>
        <w:pStyle w:val="ListParagraph"/>
        <w:numPr>
          <w:ilvl w:val="0"/>
          <w:numId w:val="1"/>
        </w:numPr>
        <w:spacing w:after="80"/>
      </w:pPr>
      <w:r>
        <w:rPr>
          <w:rFonts w:ascii="Yu Gothic" w:cs="Yu Gothic" w:eastAsia="Yu Gothic" w:hAnsi="Yu Gothic"/>
        </w:rPr>
        <w:t xml:space="preserve">送迎サービスにより、通所が困難な利用者・家族の負担を軽減する。</w:t>
      </w:r>
    </w:p>
    <w:p>
      <w:pPr>
        <w:pStyle w:val="ListParagraph"/>
        <w:numPr>
          <w:ilvl w:val="0"/>
          <w:numId w:val="1"/>
        </w:numPr>
        <w:spacing w:after="80"/>
      </w:pPr>
      <w:r>
        <w:rPr>
          <w:rFonts w:ascii="Yu Gothic" w:cs="Yu Gothic" w:eastAsia="Yu Gothic" w:hAnsi="Yu Gothic"/>
        </w:rPr>
        <w:t xml:space="preserve">職員が働き続けられる職場環境(処遇改善加算の最大限活用、研修体制整備)を作り、支援の質と定着率を両立する。</w:t>
      </w:r>
    </w:p>
    <w:p>
      <w:pPr>
        <w:pStyle w:val="Heading1"/>
        <w:spacing w:after="160" w:before="360"/>
      </w:pPr>
      <w:r>
        <w:rPr>
          <w:rFonts w:ascii="Yu Gothic" w:cs="Yu Gothic" w:eastAsia="Yu Gothic" w:hAnsi="Yu Gothic"/>
          <w:b/>
          <w:bCs/>
          <w:color w:val="1F4E78"/>
          <w:sz w:val="30"/>
          <w:szCs w:val="30"/>
        </w:rPr>
        <w:t xml:space="preserve">3. 事業概要</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shd w:fill="1F4E78" w:val="clear"/>
            <w:tcMar>
              <w:top w:type="dxa" w:w="60"/>
              <w:left w:type="dxa" w:w="100"/>
              <w:bottom w:type="dxa" w:w="60"/>
              <w:right w:type="dxa" w:w="100"/>
            </w:tcMar>
          </w:tcPr>
          <w:p>
            <w:pPr>
              <w:jc w:val="center"/>
            </w:pPr>
            <w:r>
              <w:rPr>
                <w:rFonts w:ascii="Yu Gothic" w:cs="Yu Gothic" w:eastAsia="Yu Gothic" w:hAnsi="Yu Gothic"/>
                <w:b/>
                <w:bCs/>
                <w:sz w:val="19"/>
                <w:szCs w:val="19"/>
              </w:rPr>
              <w:t xml:space="preserve">項目</w:t>
            </w:r>
          </w:p>
        </w:tc>
        <w:tc>
          <w:tcPr>
            <w:tcW w:type="dxa" w:w="7000"/>
            <w:shd w:fill="1F4E78" w:val="clear"/>
            <w:tcMar>
              <w:top w:type="dxa" w:w="60"/>
              <w:left w:type="dxa" w:w="100"/>
              <w:bottom w:type="dxa" w:w="60"/>
              <w:right w:type="dxa" w:w="100"/>
            </w:tcMar>
          </w:tcPr>
          <w:p>
            <w:pPr>
              <w:jc w:val="center"/>
            </w:pPr>
            <w:r>
              <w:rPr>
                <w:rFonts w:ascii="Yu Gothic" w:cs="Yu Gothic" w:eastAsia="Yu Gothic" w:hAnsi="Yu Gothic"/>
                <w:b/>
                <w:bCs/>
                <w:sz w:val="19"/>
                <w:szCs w:val="19"/>
              </w:rPr>
              <w:t xml:space="preserve">内容</w:t>
            </w:r>
          </w:p>
        </w:tc>
      </w:tr>
      <w:tr>
        <w:tc>
          <w:tcPr>
            <w:tcW w:type="dxa" w:w="23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サービス種別</w:t>
            </w:r>
          </w:p>
        </w:tc>
        <w:tc>
          <w:tcPr>
            <w:tcW w:type="dxa" w:w="70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生活介護(定員20人以下区分)</w:t>
            </w:r>
          </w:p>
        </w:tc>
      </w:tr>
      <w:tr>
        <w:tc>
          <w:tcPr>
            <w:tcW w:type="dxa" w:w="23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利用定員</w:t>
            </w:r>
          </w:p>
        </w:tc>
        <w:tc>
          <w:tcPr>
            <w:tcW w:type="dxa" w:w="70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20名</w:t>
            </w:r>
          </w:p>
        </w:tc>
      </w:tr>
      <w:tr>
        <w:tc>
          <w:tcPr>
            <w:tcW w:type="dxa" w:w="23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主なサービス内容</w:t>
            </w:r>
          </w:p>
        </w:tc>
        <w:tc>
          <w:tcPr>
            <w:tcW w:type="dxa" w:w="70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入浴・排せつ・食事等の介護、家事支援、生活等に関する相談・助言、創作的活動又は生産活動の機会提供、機能訓練、健康管理</w:t>
            </w:r>
          </w:p>
        </w:tc>
      </w:tr>
      <w:tr>
        <w:tc>
          <w:tcPr>
            <w:tcW w:type="dxa" w:w="23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対象者(想定)</w:t>
            </w:r>
          </w:p>
        </w:tc>
        <w:tc>
          <w:tcPr>
            <w:tcW w:type="dxa" w:w="70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障害支援区分5・6を中心に、生活介護の利用要件(障害支援区分3以上、50歳以上は区分2以上)の範囲内で障害種別を限定せず受け入れ</w:t>
            </w:r>
          </w:p>
        </w:tc>
      </w:tr>
      <w:tr>
        <w:tc>
          <w:tcPr>
            <w:tcW w:type="dxa" w:w="23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サービス提供時間</w:t>
            </w:r>
          </w:p>
        </w:tc>
        <w:tc>
          <w:tcPr>
            <w:tcW w:type="dxa" w:w="70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9:30〜16:45(7時間15分)。送迎時間は別途(実質拘束は概ね8:00〜18:00、第6章シフト表参照)</w:t>
            </w:r>
          </w:p>
        </w:tc>
      </w:tr>
      <w:tr>
        <w:tc>
          <w:tcPr>
            <w:tcW w:type="dxa" w:w="23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年間開所日数(想定)</w:t>
            </w:r>
          </w:p>
        </w:tc>
        <w:tc>
          <w:tcPr>
            <w:tcW w:type="dxa" w:w="70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約250日(祝日は開所、年末年始等を除く想定。祝日開所を成立させるシフトは第6章で検証)</w:t>
            </w:r>
          </w:p>
        </w:tc>
      </w:tr>
      <w:tr>
        <w:tc>
          <w:tcPr>
            <w:tcW w:type="dxa" w:w="23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送迎サービス</w:t>
            </w:r>
          </w:p>
        </w:tc>
        <w:tc>
          <w:tcPr>
            <w:tcW w:type="dxa" w:w="70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自宅⇔事業所の送迎を実施(福祉車両2台、生活支援員等がシフト内で輪番対応)</w:t>
            </w:r>
          </w:p>
        </w:tc>
      </w:tr>
      <w:tr>
        <w:tc>
          <w:tcPr>
            <w:tcW w:type="dxa" w:w="23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入浴サービス</w:t>
            </w:r>
          </w:p>
        </w:tc>
        <w:tc>
          <w:tcPr>
            <w:tcW w:type="dxa" w:w="70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希望者のみ週2回を基本とし、設備投資・人員負荷を抑制</w:t>
            </w:r>
          </w:p>
        </w:tc>
      </w:tr>
      <w:tr>
        <w:tc>
          <w:tcPr>
            <w:tcW w:type="dxa" w:w="23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食事提供</w:t>
            </w:r>
          </w:p>
        </w:tc>
        <w:tc>
          <w:tcPr>
            <w:tcW w:type="dxa" w:w="70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外部委託を基本とし、調理を活動(役割・仕事)の一環としても組み合わせる。食事提供体制加算(経過措置)の要件を確認の上で算定</w:t>
            </w:r>
          </w:p>
        </w:tc>
      </w:tr>
      <w:tr>
        <w:tc>
          <w:tcPr>
            <w:tcW w:type="dxa" w:w="23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機能訓練</w:t>
            </w:r>
          </w:p>
        </w:tc>
        <w:tc>
          <w:tcPr>
            <w:tcW w:type="dxa" w:w="70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実施する方針とし、非常勤のPT/OTを配置(第6章)。実施しない場合は運営規程等から「機能訓練」の文言を削除する必要がある点に留意</w:t>
            </w:r>
          </w:p>
        </w:tc>
      </w:tr>
    </w:tbl>
    <w:p>
      <w:pPr>
        <w:pStyle w:val="Heading1"/>
        <w:spacing w:after="160" w:before="360"/>
      </w:pPr>
      <w:r>
        <w:rPr>
          <w:rFonts w:ascii="Yu Gothic" w:cs="Yu Gothic" w:eastAsia="Yu Gothic" w:hAnsi="Yu Gothic"/>
          <w:b/>
          <w:bCs/>
          <w:color w:val="1F4E78"/>
          <w:sz w:val="30"/>
          <w:szCs w:val="30"/>
        </w:rPr>
        <w:t xml:space="preserve">4. 市場・地域環境分析</w:t>
      </w:r>
    </w:p>
    <w:p>
      <w:pPr>
        <w:pStyle w:val="Heading2"/>
        <w:spacing w:after="120" w:before="240"/>
      </w:pPr>
      <w:r>
        <w:rPr>
          <w:rFonts w:ascii="Yu Gothic" w:cs="Yu Gothic" w:eastAsia="Yu Gothic" w:hAnsi="Yu Gothic"/>
          <w:b/>
          <w:bCs/>
          <w:color w:val="1F4E78"/>
          <w:sz w:val="24"/>
          <w:szCs w:val="24"/>
        </w:rPr>
        <w:t xml:space="preserve">4-1. 広島市の障害福祉を取り巻く状況</w:t>
      </w:r>
    </w:p>
    <w:p>
      <w:pPr>
        <w:spacing w:after="120" w:before="0"/>
      </w:pPr>
      <w:r>
        <w:rPr>
          <w:rFonts w:ascii="Yu Gothic" w:cs="Yu Gothic" w:eastAsia="Yu Gothic" w:hAnsi="Yu Gothic"/>
        </w:rPr>
        <w:t xml:space="preserve">広島市は政令指定都市であり、障害者総合支援法に基づく指定障害福祉サービス事業者の指定権限が広島市長に属するため、生活介護を含む施設系障害福祉サービスについて広島市自身が指定権者となる(広島県ではなく広島市 健康福祉局障害福祉部 障害自立支援課が窓口)。</w:t>
      </w:r>
    </w:p>
    <w:p>
      <w:pPr>
        <w:spacing w:after="120" w:before="0"/>
      </w:pPr>
      <w:r>
        <w:rPr>
          <w:rFonts w:ascii="Yu Gothic" w:cs="Yu Gothic" w:eastAsia="Yu Gothic" w:hAnsi="Yu Gothic"/>
        </w:rPr>
        <w:t xml:space="preserve">広島市内の障害者手帳所持者数、及び生活介護の利用者数・事業所数の推移は広島市公式サイトの統計ページで確認できる。開設エリアを絞り込んだ段階で、当該区の障害者手帳所持者数・既存生活介護事業所の定員充足状況を必ず確認し、本セクションに反映すること(未実施)。</w:t>
      </w:r>
    </w:p>
    <w:p>
      <w:pPr>
        <w:pStyle w:val="Heading2"/>
        <w:spacing w:after="120" w:before="240"/>
      </w:pPr>
      <w:r>
        <w:rPr>
          <w:rFonts w:ascii="Yu Gothic" w:cs="Yu Gothic" w:eastAsia="Yu Gothic" w:hAnsi="Yu Gothic"/>
          <w:b/>
          <w:bCs/>
          <w:color w:val="1F4E78"/>
          <w:sz w:val="24"/>
          <w:szCs w:val="24"/>
        </w:rPr>
        <w:t xml:space="preserve">4-2. 需給ギャップ・営業戦略(要調査・要具体化)</w:t>
      </w:r>
    </w:p>
    <w:p>
      <w:pPr>
        <w:spacing w:after="120" w:before="0"/>
      </w:pPr>
      <w:r>
        <w:rPr>
          <w:rFonts w:ascii="Yu Gothic" w:cs="Yu Gothic" w:eastAsia="Yu Gothic" w:hAnsi="Yu Gothic"/>
        </w:rPr>
        <w:t xml:space="preserve">経営者レビューで「挨拶回り」は戦略ではなく行動の名前であると指摘された。以下のフレームで具体化する必要がある(現時点では未着手であり、開所前の最優先タスクの一つ)。</w:t>
      </w:r>
    </w:p>
    <w:p>
      <w:pPr>
        <w:pStyle w:val="Heading2"/>
        <w:spacing w:after="120" w:before="240"/>
      </w:pPr>
      <w:r>
        <w:rPr>
          <w:rFonts w:ascii="Yu Gothic" w:cs="Yu Gothic" w:eastAsia="Yu Gothic" w:hAnsi="Yu Gothic"/>
          <w:b/>
          <w:bCs/>
          <w:color w:val="1F4E78"/>
          <w:sz w:val="24"/>
          <w:szCs w:val="24"/>
        </w:rPr>
        <w:t xml:space="preserve">4-3. 差別化ポイント(たたき台)</w:t>
      </w:r>
    </w:p>
    <w:p>
      <w:pPr>
        <w:pStyle w:val="ListParagraph"/>
        <w:numPr>
          <w:ilvl w:val="0"/>
          <w:numId w:val="1"/>
        </w:numPr>
        <w:spacing w:after="80"/>
      </w:pPr>
      <w:r>
        <w:rPr>
          <w:rFonts w:ascii="Yu Gothic" w:cs="Yu Gothic" w:eastAsia="Yu Gothic" w:hAnsi="Yu Gothic"/>
        </w:rPr>
        <w:t xml:space="preserve">「仕事＝内職」で終わらせない：内職・生産活動に加え、掃除・調理・販売・納品まで役割の幅を広げる。</w:t>
      </w:r>
    </w:p>
    <w:p>
      <w:pPr>
        <w:pStyle w:val="ListParagraph"/>
        <w:numPr>
          <w:ilvl w:val="0"/>
          <w:numId w:val="1"/>
        </w:numPr>
        <w:spacing w:after="80"/>
      </w:pPr>
      <w:r>
        <w:rPr>
          <w:rFonts w:ascii="Yu Gothic" w:cs="Yu Gothic" w:eastAsia="Yu Gothic" w:hAnsi="Yu Gothic"/>
        </w:rPr>
        <w:t xml:space="preserve">曜日ごとに主活動を設定：仕事の日、外出の日、レクリエーションの日を明確に分ける(第2-3章)。</w:t>
      </w:r>
    </w:p>
    <w:p>
      <w:pPr>
        <w:pStyle w:val="ListParagraph"/>
        <w:numPr>
          <w:ilvl w:val="0"/>
          <w:numId w:val="1"/>
        </w:numPr>
        <w:spacing w:after="80"/>
      </w:pPr>
      <w:r>
        <w:rPr>
          <w:rFonts w:ascii="Yu Gothic" w:cs="Yu Gothic" w:eastAsia="Yu Gothic" w:hAnsi="Yu Gothic"/>
        </w:rPr>
        <w:t xml:space="preserve">区分の重い方を中心に、その人なりの仕事・外出・楽しみ・挑戦を一緒に見つける：3:1の手厚い配置(第6章)を裏付けとして明確に打ち出す。</w:t>
      </w:r>
    </w:p>
    <w:p>
      <w:pPr>
        <w:pStyle w:val="Heading2"/>
        <w:spacing w:after="120" w:before="240"/>
      </w:pPr>
      <w:r>
        <w:rPr>
          <w:rFonts w:ascii="Yu Gothic" w:cs="Yu Gothic" w:eastAsia="Yu Gothic" w:hAnsi="Yu Gothic"/>
          <w:b/>
          <w:bCs/>
          <w:color w:val="1F4E78"/>
          <w:sz w:val="24"/>
          <w:szCs w:val="24"/>
        </w:rPr>
        <w:t xml:space="preserve">4-4. 競合分析(要調査)</w:t>
      </w:r>
    </w:p>
    <w:p>
      <w:pPr>
        <w:spacing w:after="120" w:before="0"/>
      </w:pPr>
      <w:r>
        <w:rPr>
          <w:rFonts w:ascii="Yu Gothic" w:cs="Yu Gothic" w:eastAsia="Yu Gothic" w:hAnsi="Yu Gothic"/>
        </w:rPr>
        <w:t xml:space="preserve">開設候補エリア(佐伯区・西区)半径2〜3km圏内の生活介護・多機能型事業所をリストアップし、定員・稼働率・送迎有無・特色を比較する(下表に調査結果を追記)。</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800"/>
        <w:gridCol w:w="800"/>
        <w:gridCol w:w="800"/>
        <w:gridCol w:w="2400"/>
        <w:gridCol w:w="2100"/>
      </w:tblGrid>
      <w:tr>
        <w:trPr>
          <w:tblHeader/>
        </w:trPr>
        <w:tc>
          <w:tcPr>
            <w:tcW w:type="dxa" w:w="1500"/>
            <w:shd w:fill="1F4E78" w:val="clear"/>
            <w:tcMar>
              <w:top w:type="dxa" w:w="60"/>
              <w:left w:type="dxa" w:w="100"/>
              <w:bottom w:type="dxa" w:w="60"/>
              <w:right w:type="dxa" w:w="100"/>
            </w:tcMar>
          </w:tcPr>
          <w:p>
            <w:pPr>
              <w:jc w:val="center"/>
            </w:pPr>
            <w:r>
              <w:rPr>
                <w:rFonts w:ascii="Yu Gothic" w:cs="Yu Gothic" w:eastAsia="Yu Gothic" w:hAnsi="Yu Gothic"/>
                <w:b/>
                <w:bCs/>
                <w:sz w:val="19"/>
                <w:szCs w:val="19"/>
              </w:rPr>
              <w:t xml:space="preserve">事業所名</w:t>
            </w:r>
          </w:p>
        </w:tc>
        <w:tc>
          <w:tcPr>
            <w:tcW w:type="dxa" w:w="900"/>
            <w:shd w:fill="1F4E78" w:val="clear"/>
            <w:tcMar>
              <w:top w:type="dxa" w:w="60"/>
              <w:left w:type="dxa" w:w="100"/>
              <w:bottom w:type="dxa" w:w="60"/>
              <w:right w:type="dxa" w:w="100"/>
            </w:tcMar>
          </w:tcPr>
          <w:p>
            <w:pPr>
              <w:jc w:val="center"/>
            </w:pPr>
            <w:r>
              <w:rPr>
                <w:rFonts w:ascii="Yu Gothic" w:cs="Yu Gothic" w:eastAsia="Yu Gothic" w:hAnsi="Yu Gothic"/>
                <w:b/>
                <w:bCs/>
                <w:sz w:val="19"/>
                <w:szCs w:val="19"/>
              </w:rPr>
              <w:t xml:space="preserve">所在区</w:t>
            </w:r>
          </w:p>
        </w:tc>
        <w:tc>
          <w:tcPr>
            <w:tcW w:type="dxa" w:w="800"/>
            <w:shd w:fill="1F4E78" w:val="clear"/>
            <w:tcMar>
              <w:top w:type="dxa" w:w="60"/>
              <w:left w:type="dxa" w:w="100"/>
              <w:bottom w:type="dxa" w:w="60"/>
              <w:right w:type="dxa" w:w="100"/>
            </w:tcMar>
          </w:tcPr>
          <w:p>
            <w:pPr>
              <w:jc w:val="center"/>
            </w:pPr>
            <w:r>
              <w:rPr>
                <w:rFonts w:ascii="Yu Gothic" w:cs="Yu Gothic" w:eastAsia="Yu Gothic" w:hAnsi="Yu Gothic"/>
                <w:b/>
                <w:bCs/>
                <w:sz w:val="19"/>
                <w:szCs w:val="19"/>
              </w:rPr>
              <w:t xml:space="preserve">定員</w:t>
            </w:r>
          </w:p>
        </w:tc>
        <w:tc>
          <w:tcPr>
            <w:tcW w:type="dxa" w:w="800"/>
            <w:shd w:fill="1F4E78" w:val="clear"/>
            <w:tcMar>
              <w:top w:type="dxa" w:w="60"/>
              <w:left w:type="dxa" w:w="100"/>
              <w:bottom w:type="dxa" w:w="60"/>
              <w:right w:type="dxa" w:w="100"/>
            </w:tcMar>
          </w:tcPr>
          <w:p>
            <w:pPr>
              <w:jc w:val="center"/>
            </w:pPr>
            <w:r>
              <w:rPr>
                <w:rFonts w:ascii="Yu Gothic" w:cs="Yu Gothic" w:eastAsia="Yu Gothic" w:hAnsi="Yu Gothic"/>
                <w:b/>
                <w:bCs/>
                <w:sz w:val="19"/>
                <w:szCs w:val="19"/>
              </w:rPr>
              <w:t xml:space="preserve">送迎</w:t>
            </w:r>
          </w:p>
        </w:tc>
        <w:tc>
          <w:tcPr>
            <w:tcW w:type="dxa" w:w="800"/>
            <w:shd w:fill="1F4E78" w:val="clear"/>
            <w:tcMar>
              <w:top w:type="dxa" w:w="60"/>
              <w:left w:type="dxa" w:w="100"/>
              <w:bottom w:type="dxa" w:w="60"/>
              <w:right w:type="dxa" w:w="100"/>
            </w:tcMar>
          </w:tcPr>
          <w:p>
            <w:pPr>
              <w:jc w:val="center"/>
            </w:pPr>
            <w:r>
              <w:rPr>
                <w:rFonts w:ascii="Yu Gothic" w:cs="Yu Gothic" w:eastAsia="Yu Gothic" w:hAnsi="Yu Gothic"/>
                <w:b/>
                <w:bCs/>
                <w:sz w:val="19"/>
                <w:szCs w:val="19"/>
              </w:rPr>
              <w:t xml:space="preserve">入浴</w:t>
            </w:r>
          </w:p>
        </w:tc>
        <w:tc>
          <w:tcPr>
            <w:tcW w:type="dxa" w:w="2400"/>
            <w:shd w:fill="1F4E78" w:val="clear"/>
            <w:tcMar>
              <w:top w:type="dxa" w:w="60"/>
              <w:left w:type="dxa" w:w="100"/>
              <w:bottom w:type="dxa" w:w="60"/>
              <w:right w:type="dxa" w:w="100"/>
            </w:tcMar>
          </w:tcPr>
          <w:p>
            <w:pPr>
              <w:jc w:val="center"/>
            </w:pPr>
            <w:r>
              <w:rPr>
                <w:rFonts w:ascii="Yu Gothic" w:cs="Yu Gothic" w:eastAsia="Yu Gothic" w:hAnsi="Yu Gothic"/>
                <w:b/>
                <w:bCs/>
                <w:sz w:val="19"/>
                <w:szCs w:val="19"/>
              </w:rPr>
              <w:t xml:space="preserve">受入対象(区分)</w:t>
            </w:r>
          </w:p>
        </w:tc>
        <w:tc>
          <w:tcPr>
            <w:tcW w:type="dxa" w:w="2100"/>
            <w:shd w:fill="1F4E78" w:val="clear"/>
            <w:tcMar>
              <w:top w:type="dxa" w:w="60"/>
              <w:left w:type="dxa" w:w="100"/>
              <w:bottom w:type="dxa" w:w="60"/>
              <w:right w:type="dxa" w:w="100"/>
            </w:tcMar>
          </w:tcPr>
          <w:p>
            <w:pPr>
              <w:jc w:val="center"/>
            </w:pPr>
            <w:r>
              <w:rPr>
                <w:rFonts w:ascii="Yu Gothic" w:cs="Yu Gothic" w:eastAsia="Yu Gothic" w:hAnsi="Yu Gothic"/>
                <w:b/>
                <w:bCs/>
                <w:sz w:val="19"/>
                <w:szCs w:val="19"/>
              </w:rPr>
              <w:t xml:space="preserve">空き状況</w:t>
            </w:r>
          </w:p>
        </w:tc>
      </w:tr>
      <w:tr>
        <w:tc>
          <w:tcPr>
            <w:tcW w:type="dxa" w:w="15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(調査中)</w:t>
            </w:r>
          </w:p>
        </w:tc>
        <w:tc>
          <w:tcPr>
            <w:tcW w:type="dxa" w:w="9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
            </w:r>
          </w:p>
        </w:tc>
        <w:tc>
          <w:tcPr>
            <w:tcW w:type="dxa" w:w="8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
            </w:r>
          </w:p>
        </w:tc>
        <w:tc>
          <w:tcPr>
            <w:tcW w:type="dxa" w:w="8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
            </w:r>
          </w:p>
        </w:tc>
        <w:tc>
          <w:tcPr>
            <w:tcW w:type="dxa" w:w="8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
            </w:r>
          </w:p>
        </w:tc>
        <w:tc>
          <w:tcPr>
            <w:tcW w:type="dxa" w:w="24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
            </w:r>
          </w:p>
        </w:tc>
        <w:tc>
          <w:tcPr>
            <w:tcW w:type="dxa" w:w="21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
            </w:r>
          </w:p>
        </w:tc>
      </w:tr>
    </w:tbl>
    <w:p>
      <w:pPr>
        <w:pStyle w:val="Heading1"/>
        <w:spacing w:after="160" w:before="360"/>
      </w:pPr>
      <w:r>
        <w:rPr>
          <w:rFonts w:ascii="Yu Gothic" w:cs="Yu Gothic" w:eastAsia="Yu Gothic" w:hAnsi="Yu Gothic"/>
          <w:b/>
          <w:bCs/>
          <w:color w:val="1F4E78"/>
          <w:sz w:val="30"/>
          <w:szCs w:val="30"/>
        </w:rPr>
        <w:t xml:space="preserve">5. 運営体制・運営法人の設立計画</w:t>
      </w:r>
    </w:p>
    <w:p>
      <w:pPr>
        <w:pStyle w:val="Heading2"/>
        <w:spacing w:after="120" w:before="240"/>
      </w:pPr>
      <w:r>
        <w:rPr>
          <w:rFonts w:ascii="Yu Gothic" w:cs="Yu Gothic" w:eastAsia="Yu Gothic" w:hAnsi="Yu Gothic"/>
          <w:b/>
          <w:bCs/>
          <w:color w:val="1F4E78"/>
          <w:sz w:val="24"/>
          <w:szCs w:val="24"/>
        </w:rPr>
        <w:t xml:space="preserve">5-0. 経営体制・役割分担</w:t>
      </w:r>
    </w:p>
    <w:p>
      <w:pPr>
        <w:spacing w:after="120" w:before="0"/>
      </w:pPr>
      <w:r>
        <w:rPr>
          <w:rFonts w:ascii="Yu Gothic" w:cs="Yu Gothic" w:eastAsia="Yu Gothic" w:hAnsi="Yu Gothic"/>
        </w:rPr>
        <w:t xml:space="preserve">本事業は、現場での利用者支援経験とサービス管理責任者資格を持つ丸山氏と、経営・資金調達・外部交渉の経験を持つ豊口祥平氏(丸山氏の元上司)の二人体制で立ち上げる。</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600"/>
        <w:gridCol w:w="2900"/>
        <w:gridCol w:w="2800"/>
      </w:tblGrid>
      <w:tr>
        <w:trPr>
          <w:tblHeader/>
        </w:trPr>
        <w:tc>
          <w:tcPr>
            <w:tcW w:type="dxa" w:w="3600"/>
            <w:shd w:fill="1F4E78" w:val="clear"/>
            <w:tcMar>
              <w:top w:type="dxa" w:w="60"/>
              <w:left w:type="dxa" w:w="100"/>
              <w:bottom w:type="dxa" w:w="60"/>
              <w:right w:type="dxa" w:w="100"/>
            </w:tcMar>
          </w:tcPr>
          <w:p>
            <w:pPr>
              <w:jc w:val="center"/>
            </w:pPr>
            <w:r>
              <w:rPr>
                <w:rFonts w:ascii="Yu Gothic" w:cs="Yu Gothic" w:eastAsia="Yu Gothic" w:hAnsi="Yu Gothic"/>
                <w:b/>
                <w:bCs/>
                <w:sz w:val="19"/>
                <w:szCs w:val="19"/>
              </w:rPr>
              <w:t xml:space="preserve">項目</w:t>
            </w:r>
          </w:p>
        </w:tc>
        <w:tc>
          <w:tcPr>
            <w:tcW w:type="dxa" w:w="2900"/>
            <w:shd w:fill="1F4E78" w:val="clear"/>
            <w:tcMar>
              <w:top w:type="dxa" w:w="60"/>
              <w:left w:type="dxa" w:w="100"/>
              <w:bottom w:type="dxa" w:w="60"/>
              <w:right w:type="dxa" w:w="100"/>
            </w:tcMar>
          </w:tcPr>
          <w:p>
            <w:pPr>
              <w:jc w:val="center"/>
            </w:pPr>
            <w:r>
              <w:rPr>
                <w:rFonts w:ascii="Yu Gothic" w:cs="Yu Gothic" w:eastAsia="Yu Gothic" w:hAnsi="Yu Gothic"/>
                <w:b/>
                <w:bCs/>
                <w:sz w:val="19"/>
                <w:szCs w:val="19"/>
              </w:rPr>
              <w:t xml:space="preserve">丸山氏(現場)</w:t>
            </w:r>
          </w:p>
        </w:tc>
        <w:tc>
          <w:tcPr>
            <w:tcW w:type="dxa" w:w="2800"/>
            <w:shd w:fill="1F4E78" w:val="clear"/>
            <w:tcMar>
              <w:top w:type="dxa" w:w="60"/>
              <w:left w:type="dxa" w:w="100"/>
              <w:bottom w:type="dxa" w:w="60"/>
              <w:right w:type="dxa" w:w="100"/>
            </w:tcMar>
          </w:tcPr>
          <w:p>
            <w:pPr>
              <w:jc w:val="center"/>
            </w:pPr>
            <w:r>
              <w:rPr>
                <w:rFonts w:ascii="Yu Gothic" w:cs="Yu Gothic" w:eastAsia="Yu Gothic" w:hAnsi="Yu Gothic"/>
                <w:b/>
                <w:bCs/>
                <w:sz w:val="19"/>
                <w:szCs w:val="19"/>
              </w:rPr>
              <w:t xml:space="preserve">豊口氏(経営)</w:t>
            </w:r>
          </w:p>
        </w:tc>
      </w:tr>
      <w:tr>
        <w:tc>
          <w:tcPr>
            <w:tcW w:type="dxa" w:w="36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生活介護の理念・方向性</w:t>
            </w:r>
          </w:p>
        </w:tc>
        <w:tc>
          <w:tcPr>
            <w:tcW w:type="dxa" w:w="29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w:t>
            </w:r>
          </w:p>
        </w:tc>
        <w:tc>
          <w:tcPr>
            <w:tcW w:type="dxa" w:w="28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w:t>
            </w:r>
          </w:p>
        </w:tc>
      </w:tr>
      <w:tr>
        <w:tc>
          <w:tcPr>
            <w:tcW w:type="dxa" w:w="36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利用者支援・日中活動・個別支援</w:t>
            </w:r>
          </w:p>
        </w:tc>
        <w:tc>
          <w:tcPr>
            <w:tcW w:type="dxa" w:w="29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w:t>
            </w:r>
          </w:p>
        </w:tc>
        <w:tc>
          <w:tcPr>
            <w:tcW w:type="dxa" w:w="28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w:t>
            </w:r>
          </w:p>
        </w:tc>
      </w:tr>
      <w:tr>
        <w:tc>
          <w:tcPr>
            <w:tcW w:type="dxa" w:w="36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職員育成・現場づくり</w:t>
            </w:r>
          </w:p>
        </w:tc>
        <w:tc>
          <w:tcPr>
            <w:tcW w:type="dxa" w:w="29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w:t>
            </w:r>
          </w:p>
        </w:tc>
        <w:tc>
          <w:tcPr>
            <w:tcW w:type="dxa" w:w="28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w:t>
            </w:r>
          </w:p>
        </w:tc>
      </w:tr>
      <w:tr>
        <w:tc>
          <w:tcPr>
            <w:tcW w:type="dxa" w:w="36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現場への参加</w:t>
            </w:r>
          </w:p>
        </w:tc>
        <w:tc>
          <w:tcPr>
            <w:tcW w:type="dxa" w:w="29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w:t>
            </w:r>
          </w:p>
        </w:tc>
        <w:tc>
          <w:tcPr>
            <w:tcW w:type="dxa" w:w="28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w:t>
            </w:r>
          </w:p>
        </w:tc>
      </w:tr>
      <w:tr>
        <w:tc>
          <w:tcPr>
            <w:tcW w:type="dxa" w:w="36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法人・経営</w:t>
            </w:r>
          </w:p>
        </w:tc>
        <w:tc>
          <w:tcPr>
            <w:tcW w:type="dxa" w:w="29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w:t>
            </w:r>
          </w:p>
        </w:tc>
        <w:tc>
          <w:tcPr>
            <w:tcW w:type="dxa" w:w="28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w:t>
            </w:r>
          </w:p>
        </w:tc>
      </w:tr>
      <w:tr>
        <w:tc>
          <w:tcPr>
            <w:tcW w:type="dxa" w:w="36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資金調達</w:t>
            </w:r>
          </w:p>
        </w:tc>
        <w:tc>
          <w:tcPr>
            <w:tcW w:type="dxa" w:w="29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w:t>
            </w:r>
          </w:p>
        </w:tc>
        <w:tc>
          <w:tcPr>
            <w:tcW w:type="dxa" w:w="28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w:t>
            </w:r>
          </w:p>
        </w:tc>
      </w:tr>
      <w:tr>
        <w:tc>
          <w:tcPr>
            <w:tcW w:type="dxa" w:w="36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外部との交渉</w:t>
            </w:r>
          </w:p>
        </w:tc>
        <w:tc>
          <w:tcPr>
            <w:tcW w:type="dxa" w:w="29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w:t>
            </w:r>
          </w:p>
        </w:tc>
        <w:tc>
          <w:tcPr>
            <w:tcW w:type="dxa" w:w="28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w:t>
            </w:r>
          </w:p>
        </w:tc>
      </w:tr>
      <w:tr>
        <w:tc>
          <w:tcPr>
            <w:tcW w:type="dxa" w:w="36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事業全体の最終判断</w:t>
            </w:r>
          </w:p>
        </w:tc>
        <w:tc>
          <w:tcPr>
            <w:tcW w:type="dxa" w:w="29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w:t>
            </w:r>
          </w:p>
        </w:tc>
        <w:tc>
          <w:tcPr>
            <w:tcW w:type="dxa" w:w="28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w:t>
            </w:r>
          </w:p>
        </w:tc>
      </w:tr>
    </w:tbl>
    <w:p>
      <w:pPr>
        <w:pStyle w:val="Heading2"/>
        <w:spacing w:after="120" w:before="240"/>
      </w:pPr>
      <w:r>
        <w:rPr>
          <w:rFonts w:ascii="Yu Gothic" w:cs="Yu Gothic" w:eastAsia="Yu Gothic" w:hAnsi="Yu Gothic"/>
          <w:b/>
          <w:bCs/>
          <w:color w:val="1F4E78"/>
          <w:sz w:val="24"/>
          <w:szCs w:val="24"/>
        </w:rPr>
        <w:t xml:space="preserve">5-1. ガバナンス設計(改訂：経営者レビューを踏まえ新設)</w:t>
      </w:r>
    </w:p>
    <w:p>
      <w:pPr>
        <w:spacing w:after="160" w:before="80"/>
      </w:pPr>
      <w:r>
        <w:rPr>
          <w:rFonts w:ascii="Yu Gothic" w:cs="Yu Gothic" w:eastAsia="Yu Gothic" w:hAnsi="Yu Gothic"/>
          <w:b/>
          <w:bCs/>
          <w:color w:val="C00000"/>
          <w:sz w:val="20"/>
          <w:szCs w:val="20"/>
        </w:rPr>
        <w:t xml:space="preserve">⚠ 経営者レビューで「出資比率・議決権・デッドロック解消・撤退基準が一切ない」ことが最重要懸念の一つとして指摘された。以下を、法人設立前に必ず二人の間で合意し、書面化(創業者間契約書)すること。</w:t>
      </w:r>
    </w:p>
    <w:p>
      <w:pPr>
        <w:pStyle w:val="ListParagraph"/>
        <w:numPr>
          <w:ilvl w:val="0"/>
          <w:numId w:val="1"/>
        </w:numPr>
        <w:spacing w:after="80"/>
      </w:pPr>
      <w:r>
        <w:rPr>
          <w:rFonts w:ascii="Yu Gothic" w:cs="Yu Gothic" w:eastAsia="Yu Gothic" w:hAnsi="Yu Gothic"/>
        </w:rPr>
        <w:t xml:space="preserve">出資比率(案)：現場を持つ側が過半を持つ方が福祉事業では運営が安定しやすいとされる。丸山氏55〜60%、豊口氏40〜45%を出発点に協議する(50:50はデッドロックの温床になりやすいため避ける)。</w:t>
      </w:r>
    </w:p>
    <w:p>
      <w:pPr>
        <w:pStyle w:val="ListParagraph"/>
        <w:numPr>
          <w:ilvl w:val="0"/>
          <w:numId w:val="1"/>
        </w:numPr>
        <w:spacing w:after="80"/>
      </w:pPr>
      <w:r>
        <w:rPr>
          <w:rFonts w:ascii="Yu Gothic" w:cs="Yu Gothic" w:eastAsia="Yu Gothic" w:hAnsi="Yu Gothic"/>
        </w:rPr>
        <w:t xml:space="preserve">重要事項の決裁ルール：借入・人事・設備投資(一定額以上)・役員報酬の変更等、重要事項の決定プロセスと決裁権限を明文化する。</w:t>
      </w:r>
    </w:p>
    <w:p>
      <w:pPr>
        <w:pStyle w:val="ListParagraph"/>
        <w:numPr>
          <w:ilvl w:val="0"/>
          <w:numId w:val="1"/>
        </w:numPr>
        <w:spacing w:after="80"/>
      </w:pPr>
      <w:r>
        <w:rPr>
          <w:rFonts w:ascii="Yu Gothic" w:cs="Yu Gothic" w:eastAsia="Yu Gothic" w:hAnsi="Yu Gothic"/>
        </w:rPr>
        <w:t xml:space="preserve">現場判断と経営判断が対立した場合の優先順位：利用者の受け入れ可否、個別の支援内容、職員配置等、福祉専門職としての現場判断(丸山氏)は経営判断(豊口氏)に優先することをあらかじめ合意しておく。指定基準上、管理者は従業者及び業務の実施状況を管理する立場であり、この整理は事故・虐待事案の予防の観点からも重要。</w:t>
      </w:r>
    </w:p>
    <w:p>
      <w:pPr>
        <w:pStyle w:val="ListParagraph"/>
        <w:numPr>
          <w:ilvl w:val="0"/>
          <w:numId w:val="1"/>
        </w:numPr>
        <w:spacing w:after="80"/>
      </w:pPr>
      <w:r>
        <w:rPr>
          <w:rFonts w:ascii="Yu Gothic" w:cs="Yu Gothic" w:eastAsia="Yu Gothic" w:hAnsi="Yu Gothic"/>
        </w:rPr>
        <w:t xml:space="preserve">デッドロック解消・離脱時の取り扱い：意見が割れた場合の解消方法、一方が離脱・死亡した場合の持分の買取条項を、創業者間契約書に定める。</w:t>
      </w:r>
    </w:p>
    <w:p>
      <w:pPr>
        <w:pStyle w:val="ListParagraph"/>
        <w:numPr>
          <w:ilvl w:val="0"/>
          <w:numId w:val="1"/>
        </w:numPr>
        <w:spacing w:after="80"/>
      </w:pPr>
      <w:r>
        <w:rPr>
          <w:rFonts w:ascii="Yu Gothic" w:cs="Yu Gothic" w:eastAsia="Yu Gothic" w:hAnsi="Yu Gothic"/>
        </w:rPr>
        <w:t xml:space="preserve">撤退基準(数値で定義)：例「開所12か月後に契約者○名未達、または累積損失が○○万円を超えた場合、事業の縮小・譲渡・撤退を協議する」。撤退基準を持つ計画は、金融機関からの信頼を得やすい。</w:t>
      </w:r>
    </w:p>
    <w:p>
      <w:pPr>
        <w:pStyle w:val="ListParagraph"/>
        <w:numPr>
          <w:ilvl w:val="0"/>
          <w:numId w:val="1"/>
        </w:numPr>
        <w:spacing w:after="80"/>
      </w:pPr>
      <w:r>
        <w:rPr>
          <w:rFonts w:ascii="Yu Gothic" w:cs="Yu Gothic" w:eastAsia="Yu Gothic" w:hAnsi="Yu Gothic"/>
        </w:rPr>
        <w:t xml:space="preserve">会長の位置づけ：主要な資金提供者になる以上、実質的な影響力を持つ。債権者(貸付)なのか、出資者なのか、経営顧問として関与するのかを明確化し、書面化する(第9章)。</w:t>
      </w:r>
    </w:p>
    <w:p>
      <w:pPr>
        <w:pStyle w:val="Heading2"/>
        <w:spacing w:after="120" w:before="240"/>
      </w:pPr>
      <w:r>
        <w:rPr>
          <w:rFonts w:ascii="Yu Gothic" w:cs="Yu Gothic" w:eastAsia="Yu Gothic" w:hAnsi="Yu Gothic"/>
          <w:b/>
          <w:bCs/>
          <w:color w:val="1F4E78"/>
          <w:sz w:val="24"/>
          <w:szCs w:val="24"/>
        </w:rPr>
        <w:t xml:space="preserve">5-2. 法人形態の比較</w:t>
      </w:r>
    </w:p>
    <w:p>
      <w:pPr>
        <w:spacing w:after="120" w:before="0"/>
      </w:pPr>
      <w:r>
        <w:rPr>
          <w:rFonts w:ascii="Yu Gothic" w:cs="Yu Gothic" w:eastAsia="Yu Gothic" w:hAnsi="Yu Gothic"/>
        </w:rPr>
        <w:t xml:space="preserve">生活介護は指定障害福祉サービス事業者として、都道府県知事又は指定都市(広島市)市長の指定を受ける必要があり、法人格が指定の必須要件である。</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600"/>
        <w:gridCol w:w="2500"/>
      </w:tblGrid>
      <w:tr>
        <w:trPr>
          <w:tblHeader/>
        </w:trPr>
        <w:tc>
          <w:tcPr>
            <w:tcW w:type="dxa" w:w="1600"/>
            <w:shd w:fill="1F4E78" w:val="clear"/>
            <w:tcMar>
              <w:top w:type="dxa" w:w="60"/>
              <w:left w:type="dxa" w:w="100"/>
              <w:bottom w:type="dxa" w:w="60"/>
              <w:right w:type="dxa" w:w="100"/>
            </w:tcMar>
          </w:tcPr>
          <w:p>
            <w:pPr>
              <w:jc w:val="center"/>
            </w:pPr>
            <w:r>
              <w:rPr>
                <w:rFonts w:ascii="Yu Gothic" w:cs="Yu Gothic" w:eastAsia="Yu Gothic" w:hAnsi="Yu Gothic"/>
                <w:b/>
                <w:bCs/>
                <w:sz w:val="19"/>
                <w:szCs w:val="19"/>
              </w:rPr>
              <w:t xml:space="preserve">法人形態</w:t>
            </w:r>
          </w:p>
        </w:tc>
        <w:tc>
          <w:tcPr>
            <w:tcW w:type="dxa" w:w="2600"/>
            <w:shd w:fill="1F4E78" w:val="clear"/>
            <w:tcMar>
              <w:top w:type="dxa" w:w="60"/>
              <w:left w:type="dxa" w:w="100"/>
              <w:bottom w:type="dxa" w:w="60"/>
              <w:right w:type="dxa" w:w="100"/>
            </w:tcMar>
          </w:tcPr>
          <w:p>
            <w:pPr>
              <w:jc w:val="center"/>
            </w:pPr>
            <w:r>
              <w:rPr>
                <w:rFonts w:ascii="Yu Gothic" w:cs="Yu Gothic" w:eastAsia="Yu Gothic" w:hAnsi="Yu Gothic"/>
                <w:b/>
                <w:bCs/>
                <w:sz w:val="19"/>
                <w:szCs w:val="19"/>
              </w:rPr>
              <w:t xml:space="preserve">設立コスト・期間</w:t>
            </w:r>
          </w:p>
        </w:tc>
        <w:tc>
          <w:tcPr>
            <w:tcW w:type="dxa" w:w="2600"/>
            <w:shd w:fill="1F4E78" w:val="clear"/>
            <w:tcMar>
              <w:top w:type="dxa" w:w="60"/>
              <w:left w:type="dxa" w:w="100"/>
              <w:bottom w:type="dxa" w:w="60"/>
              <w:right w:type="dxa" w:w="100"/>
            </w:tcMar>
          </w:tcPr>
          <w:p>
            <w:pPr>
              <w:jc w:val="center"/>
            </w:pPr>
            <w:r>
              <w:rPr>
                <w:rFonts w:ascii="Yu Gothic" w:cs="Yu Gothic" w:eastAsia="Yu Gothic" w:hAnsi="Yu Gothic"/>
                <w:b/>
                <w:bCs/>
                <w:sz w:val="19"/>
                <w:szCs w:val="19"/>
              </w:rPr>
              <w:t xml:space="preserve">信用力・補助金適性</w:t>
            </w:r>
          </w:p>
        </w:tc>
        <w:tc>
          <w:tcPr>
            <w:tcW w:type="dxa" w:w="2500"/>
            <w:shd w:fill="1F4E78" w:val="clear"/>
            <w:tcMar>
              <w:top w:type="dxa" w:w="60"/>
              <w:left w:type="dxa" w:w="100"/>
              <w:bottom w:type="dxa" w:w="60"/>
              <w:right w:type="dxa" w:w="100"/>
            </w:tcMar>
          </w:tcPr>
          <w:p>
            <w:pPr>
              <w:jc w:val="center"/>
            </w:pPr>
            <w:r>
              <w:rPr>
                <w:rFonts w:ascii="Yu Gothic" w:cs="Yu Gothic" w:eastAsia="Yu Gothic" w:hAnsi="Yu Gothic"/>
                <w:b/>
                <w:bCs/>
                <w:sz w:val="19"/>
                <w:szCs w:val="19"/>
              </w:rPr>
              <w:t xml:space="preserve">備考</w:t>
            </w:r>
          </w:p>
        </w:tc>
      </w:tr>
      <w:tr>
        <w:tc>
          <w:tcPr>
            <w:tcW w:type="dxa" w:w="16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株式会社</w:t>
            </w:r>
          </w:p>
        </w:tc>
        <w:tc>
          <w:tcPr>
            <w:tcW w:type="dxa" w:w="26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登録免許税15万円〜、司法書士報酬等で数万円、設立まで2〜3週間程度</w:t>
            </w:r>
          </w:p>
        </w:tc>
        <w:tc>
          <w:tcPr>
            <w:tcW w:type="dxa" w:w="26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融資は受けやすいが、社会福祉法人向け補助金は対象外のことが多い</w:t>
            </w:r>
          </w:p>
        </w:tc>
        <w:tc>
          <w:tcPr>
            <w:tcW w:type="dxa" w:w="25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意思決定が速く、資金調達の柔軟性が高い</w:t>
            </w:r>
          </w:p>
        </w:tc>
      </w:tr>
      <w:tr>
        <w:tc>
          <w:tcPr>
            <w:tcW w:type="dxa" w:w="16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合同会社(LLC)</w:t>
            </w:r>
          </w:p>
        </w:tc>
        <w:tc>
          <w:tcPr>
            <w:tcW w:type="dxa" w:w="26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登録免許税6万円〜、株式会社より低コスト・短期間</w:t>
            </w:r>
          </w:p>
        </w:tc>
        <w:tc>
          <w:tcPr>
            <w:tcW w:type="dxa" w:w="26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株式会社とほぼ同等だが対外的な信用力はやや劣る場合あり</w:t>
            </w:r>
          </w:p>
        </w:tc>
        <w:tc>
          <w:tcPr>
            <w:tcW w:type="dxa" w:w="25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スピード重視・小規模運営に向く</w:t>
            </w:r>
          </w:p>
        </w:tc>
      </w:tr>
      <w:tr>
        <w:tc>
          <w:tcPr>
            <w:tcW w:type="dxa" w:w="16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NPO法人</w:t>
            </w:r>
          </w:p>
        </w:tc>
        <w:tc>
          <w:tcPr>
            <w:tcW w:type="dxa" w:w="26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設立に所轄庁の認証が必要で4〜6か月程度かかる</w:t>
            </w:r>
          </w:p>
        </w:tc>
        <w:tc>
          <w:tcPr>
            <w:tcW w:type="dxa" w:w="26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福祉分野での対外的信頼感、一部補助金・助成金で有利な場合あり</w:t>
            </w:r>
          </w:p>
        </w:tc>
        <w:tc>
          <w:tcPr>
            <w:tcW w:type="dxa" w:w="25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スケジュール面で今回は非推奨</w:t>
            </w:r>
          </w:p>
        </w:tc>
      </w:tr>
      <w:tr>
        <w:tc>
          <w:tcPr>
            <w:tcW w:type="dxa" w:w="16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一般社団法人</w:t>
            </w:r>
          </w:p>
        </w:tc>
        <w:tc>
          <w:tcPr>
            <w:tcW w:type="dxa" w:w="26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登録免許税6万円〜、公証人認証費用等、設立まで数週間〜1か月程度</w:t>
            </w:r>
          </w:p>
        </w:tc>
        <w:tc>
          <w:tcPr>
            <w:tcW w:type="dxa" w:w="26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非営利性を示しやすい</w:t>
            </w:r>
          </w:p>
        </w:tc>
        <w:tc>
          <w:tcPr>
            <w:tcW w:type="dxa" w:w="25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剰余金分配ができない点に留意</w:t>
            </w:r>
          </w:p>
        </w:tc>
      </w:tr>
    </w:tbl>
    <w:p>
      <w:pPr>
        <w:spacing w:after="120" w:before="0"/>
      </w:pPr>
      <w:r>
        <w:rPr>
          <w:rFonts w:ascii="Yu Gothic" w:cs="Yu Gothic" w:eastAsia="Yu Gothic" w:hAnsi="Yu Gothic"/>
          <w:b/>
          <w:bCs/>
        </w:rPr>
        <w:t xml:space="preserve">推奨(案)：合同会社または株式会社での新設を軸に検討する。</w:t>
      </w:r>
    </w:p>
    <w:p>
      <w:pPr>
        <w:pStyle w:val="Heading2"/>
        <w:spacing w:after="120" w:before="240"/>
      </w:pPr>
      <w:r>
        <w:rPr>
          <w:rFonts w:ascii="Yu Gothic" w:cs="Yu Gothic" w:eastAsia="Yu Gothic" w:hAnsi="Yu Gothic"/>
          <w:b/>
          <w:bCs/>
          <w:color w:val="1F4E78"/>
          <w:sz w:val="24"/>
          <w:szCs w:val="24"/>
        </w:rPr>
        <w:t xml:space="preserve">5-3. 設立スケジュール(概算)</w:t>
      </w:r>
    </w:p>
    <w:p>
      <w:pPr>
        <w:pStyle w:val="ListParagraph"/>
        <w:numPr>
          <w:ilvl w:val="0"/>
          <w:numId w:val="1"/>
        </w:numPr>
        <w:spacing w:after="80"/>
      </w:pPr>
      <w:r>
        <w:rPr>
          <w:rFonts w:ascii="Yu Gothic" w:cs="Yu Gothic" w:eastAsia="Yu Gothic" w:hAnsi="Yu Gothic"/>
        </w:rPr>
        <w:t xml:space="preserve">定款作成・認証：1〜2週間。定款の「目的」欄に「障害者総合支援法に基づく障害福祉サービス事業(生活介護)の経営」を必ず明記する(欠落すると指定を受けられず、設立後の定款変更・変更登記で2〜4週間のロスが発生する)</w:t>
      </w:r>
    </w:p>
    <w:p>
      <w:pPr>
        <w:pStyle w:val="ListParagraph"/>
        <w:numPr>
          <w:ilvl w:val="0"/>
          <w:numId w:val="1"/>
        </w:numPr>
        <w:spacing w:after="80"/>
      </w:pPr>
      <w:r>
        <w:rPr>
          <w:rFonts w:ascii="Yu Gothic" w:cs="Yu Gothic" w:eastAsia="Yu Gothic" w:hAnsi="Yu Gothic"/>
        </w:rPr>
        <w:t xml:space="preserve">設立登記申請〜登記完了：1〜2週間</w:t>
      </w:r>
    </w:p>
    <w:p>
      <w:pPr>
        <w:pStyle w:val="ListParagraph"/>
        <w:numPr>
          <w:ilvl w:val="0"/>
          <w:numId w:val="1"/>
        </w:numPr>
        <w:spacing w:after="80"/>
      </w:pPr>
      <w:r>
        <w:rPr>
          <w:rFonts w:ascii="Yu Gothic" w:cs="Yu Gothic" w:eastAsia="Yu Gothic" w:hAnsi="Yu Gothic"/>
        </w:rPr>
        <w:t xml:space="preserve">税務署への届出：設立後2か月以内。都道府県・市への届出：概ね設立後1か月以内</w:t>
      </w:r>
    </w:p>
    <w:p>
      <w:pPr>
        <w:pStyle w:val="ListParagraph"/>
        <w:numPr>
          <w:ilvl w:val="0"/>
          <w:numId w:val="1"/>
        </w:numPr>
        <w:spacing w:after="80"/>
      </w:pPr>
      <w:r>
        <w:rPr>
          <w:rFonts w:ascii="Yu Gothic" w:cs="Yu Gothic" w:eastAsia="Yu Gothic" w:hAnsi="Yu Gothic"/>
        </w:rPr>
        <w:t xml:space="preserve">法人口座開設：登記完了後、金融機関により2〜4週間程度</w:t>
      </w:r>
    </w:p>
    <w:p>
      <w:pPr>
        <w:pStyle w:val="Heading1"/>
        <w:spacing w:after="160" w:before="360"/>
      </w:pPr>
      <w:r>
        <w:rPr>
          <w:rFonts w:ascii="Yu Gothic" w:cs="Yu Gothic" w:eastAsia="Yu Gothic" w:hAnsi="Yu Gothic"/>
          <w:b/>
          <w:bCs/>
          <w:color w:val="1F4E78"/>
          <w:sz w:val="30"/>
          <w:szCs w:val="30"/>
        </w:rPr>
        <w:t xml:space="preserve">6. 人員体制計画</w:t>
      </w:r>
    </w:p>
    <w:p>
      <w:pPr>
        <w:pStyle w:val="Heading2"/>
        <w:spacing w:after="120" w:before="240"/>
      </w:pPr>
      <w:r>
        <w:rPr>
          <w:rFonts w:ascii="Yu Gothic" w:cs="Yu Gothic" w:eastAsia="Yu Gothic" w:hAnsi="Yu Gothic"/>
          <w:b/>
          <w:bCs/>
          <w:color w:val="1F4E78"/>
          <w:sz w:val="24"/>
          <w:szCs w:val="24"/>
        </w:rPr>
        <w:t xml:space="preserve">6-1. 法定の人員配置基準(生活介護)</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400"/>
      </w:tblGrid>
      <w:tr>
        <w:trPr>
          <w:tblHeader/>
        </w:trPr>
        <w:tc>
          <w:tcPr>
            <w:tcW w:type="dxa" w:w="2600"/>
            <w:shd w:fill="1F4E78" w:val="clear"/>
            <w:tcMar>
              <w:top w:type="dxa" w:w="60"/>
              <w:left w:type="dxa" w:w="100"/>
              <w:bottom w:type="dxa" w:w="60"/>
              <w:right w:type="dxa" w:w="100"/>
            </w:tcMar>
          </w:tcPr>
          <w:p>
            <w:pPr>
              <w:jc w:val="center"/>
            </w:pPr>
            <w:r>
              <w:rPr>
                <w:rFonts w:ascii="Yu Gothic" w:cs="Yu Gothic" w:eastAsia="Yu Gothic" w:hAnsi="Yu Gothic"/>
                <w:b/>
                <w:bCs/>
                <w:sz w:val="19"/>
                <w:szCs w:val="19"/>
              </w:rPr>
              <w:t xml:space="preserve">職種</w:t>
            </w:r>
          </w:p>
        </w:tc>
        <w:tc>
          <w:tcPr>
            <w:tcW w:type="dxa" w:w="3300"/>
            <w:shd w:fill="1F4E78" w:val="clear"/>
            <w:tcMar>
              <w:top w:type="dxa" w:w="60"/>
              <w:left w:type="dxa" w:w="100"/>
              <w:bottom w:type="dxa" w:w="60"/>
              <w:right w:type="dxa" w:w="100"/>
            </w:tcMar>
          </w:tcPr>
          <w:p>
            <w:pPr>
              <w:jc w:val="center"/>
            </w:pPr>
            <w:r>
              <w:rPr>
                <w:rFonts w:ascii="Yu Gothic" w:cs="Yu Gothic" w:eastAsia="Yu Gothic" w:hAnsi="Yu Gothic"/>
                <w:b/>
                <w:bCs/>
                <w:sz w:val="19"/>
                <w:szCs w:val="19"/>
              </w:rPr>
              <w:t xml:space="preserve">配置基準</w:t>
            </w:r>
          </w:p>
        </w:tc>
        <w:tc>
          <w:tcPr>
            <w:tcW w:type="dxa" w:w="3400"/>
            <w:shd w:fill="1F4E78" w:val="clear"/>
            <w:tcMar>
              <w:top w:type="dxa" w:w="60"/>
              <w:left w:type="dxa" w:w="100"/>
              <w:bottom w:type="dxa" w:w="60"/>
              <w:right w:type="dxa" w:w="100"/>
            </w:tcMar>
          </w:tcPr>
          <w:p>
            <w:pPr>
              <w:jc w:val="center"/>
            </w:pPr>
            <w:r>
              <w:rPr>
                <w:rFonts w:ascii="Yu Gothic" w:cs="Yu Gothic" w:eastAsia="Yu Gothic" w:hAnsi="Yu Gothic"/>
                <w:b/>
                <w:bCs/>
                <w:sz w:val="19"/>
                <w:szCs w:val="19"/>
              </w:rPr>
              <w:t xml:space="preserve">備考</w:t>
            </w:r>
          </w:p>
        </w:tc>
      </w:tr>
      <w:tr>
        <w:tc>
          <w:tcPr>
            <w:tcW w:type="dxa" w:w="26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管理者</w:t>
            </w:r>
          </w:p>
        </w:tc>
        <w:tc>
          <w:tcPr>
            <w:tcW w:type="dxa" w:w="33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1名(常勤。原則専従、支障なければ他職務・他事業所との兼務可)</w:t>
            </w:r>
          </w:p>
        </w:tc>
        <w:tc>
          <w:tcPr>
            <w:tcW w:type="dxa" w:w="34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資格要件は原則なし</w:t>
            </w:r>
          </w:p>
        </w:tc>
      </w:tr>
      <w:tr>
        <w:tc>
          <w:tcPr>
            <w:tcW w:type="dxa" w:w="26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サービス管理責任者(サビ管)</w:t>
            </w:r>
          </w:p>
        </w:tc>
        <w:tc>
          <w:tcPr>
            <w:tcW w:type="dxa" w:w="33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利用者60名以下につき1名以上(常勤・専従が原則)</w:t>
            </w:r>
          </w:p>
        </w:tc>
        <w:tc>
          <w:tcPr>
            <w:tcW w:type="dxa" w:w="34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実務経験(3〜8年)＋基礎研修＋実践研修(基礎研修後、概ね6か月以上のOJTを経て受講)＋5年ごとの更新研修。旧研修体系での受講歴がある場合、更新研修の受講状況を要確認</w:t>
            </w:r>
          </w:p>
        </w:tc>
      </w:tr>
      <w:tr>
        <w:tc>
          <w:tcPr>
            <w:tcW w:type="dxa" w:w="26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生活支援員等</w:t>
            </w:r>
          </w:p>
        </w:tc>
        <w:tc>
          <w:tcPr>
            <w:tcW w:type="dxa" w:w="33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看護職員・PT/OT・生活支援員の総数が平均障害支援区分に応じた配置比率(6-2参照)を満たすこと。分母は前年度の平均利用者数。新規指定時は定員の90%とみなす</w:t>
            </w:r>
          </w:p>
        </w:tc>
        <w:tc>
          <w:tcPr>
            <w:tcW w:type="dxa" w:w="34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常勤換算で1名以上は常勤が必要。3職種は合算した総数で配置比率を判定する(別々に上乗せするものではない)</w:t>
            </w:r>
          </w:p>
        </w:tc>
      </w:tr>
      <w:tr>
        <w:tc>
          <w:tcPr>
            <w:tcW w:type="dxa" w:w="26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看護職員(看護師又は准看護師)</w:t>
            </w:r>
          </w:p>
        </w:tc>
        <w:tc>
          <w:tcPr>
            <w:tcW w:type="dxa" w:w="33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生活介護の単位ごとに1以上が必置(上記総数の内数)</w:t>
            </w:r>
          </w:p>
        </w:tc>
        <w:tc>
          <w:tcPr>
            <w:tcW w:type="dxa" w:w="34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医療的ケア対象者の有無にかかわらず必置。非常勤の組み合わせでの充足も可</w:t>
            </w:r>
          </w:p>
        </w:tc>
      </w:tr>
      <w:tr>
        <w:tc>
          <w:tcPr>
            <w:tcW w:type="dxa" w:w="26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理学療法士・作業療法士等(機能訓練指導員)</w:t>
            </w:r>
          </w:p>
        </w:tc>
        <w:tc>
          <w:tcPr>
            <w:tcW w:type="dxa" w:w="33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機能訓練を運営規程に位置付ける場合は配置が必須(上記総数の内数)</w:t>
            </w:r>
          </w:p>
        </w:tc>
        <w:tc>
          <w:tcPr>
            <w:tcW w:type="dxa" w:w="34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確保困難な場合、機能訓練を行う能力を有する看護師等での代替が可能(基準省令の明文規定)</w:t>
            </w:r>
          </w:p>
        </w:tc>
      </w:tr>
      <w:tr>
        <w:tc>
          <w:tcPr>
            <w:tcW w:type="dxa" w:w="26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医師</w:t>
            </w:r>
          </w:p>
        </w:tc>
        <w:tc>
          <w:tcPr>
            <w:tcW w:type="dxa" w:w="33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必要数(嘱託可)</w:t>
            </w:r>
          </w:p>
        </w:tc>
        <w:tc>
          <w:tcPr>
            <w:tcW w:type="dxa" w:w="34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非常勤・嘱託契約で対応可能。健康管理等の必要性が乏しい場合は配置しないことも可</w:t>
            </w:r>
          </w:p>
        </w:tc>
      </w:tr>
    </w:tbl>
    <w:p>
      <w:pPr>
        <w:pStyle w:val="Heading2"/>
        <w:spacing w:after="120" w:before="240"/>
      </w:pPr>
      <w:r>
        <w:rPr>
          <w:rFonts w:ascii="Yu Gothic" w:cs="Yu Gothic" w:eastAsia="Yu Gothic" w:hAnsi="Yu Gothic"/>
          <w:b/>
          <w:bCs/>
          <w:color w:val="1F4E78"/>
          <w:sz w:val="24"/>
          <w:szCs w:val="24"/>
        </w:rPr>
        <w:t xml:space="preserve">6-2. 平均障害支援区分別の必要人員(定員20名、分母は定員×90%=18名)</w:t>
      </w:r>
    </w:p>
    <w:p>
      <w:pPr>
        <w:spacing w:after="160" w:before="80"/>
      </w:pPr>
      <w:r>
        <w:rPr>
          <w:rFonts w:ascii="Yu Gothic" w:cs="Yu Gothic" w:eastAsia="Yu Gothic" w:hAnsi="Yu Gothic"/>
          <w:b/>
          <w:bCs/>
          <w:color w:val="C00000"/>
          <w:sz w:val="20"/>
          <w:szCs w:val="20"/>
        </w:rPr>
        <w:t xml:space="preserve">⚠ 改訂(重要)：以下の必要人数は「看護職員・PT/OT・生活支援員の総数」の最低ラインである。v2初版はこの総数と同じ人数を「生活支援員等」だけに個別配置し、看護職員・PT/OTをその外側に上乗せしていたが、これは基準省令の読み違いだった(専門家レビューで指摘)。6-3章で正しい構成に修正している。</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2900"/>
        <w:gridCol w:w="1900"/>
      </w:tblGrid>
      <w:tr>
        <w:trPr>
          <w:tblHeader/>
        </w:trPr>
        <w:tc>
          <w:tcPr>
            <w:tcW w:type="dxa" w:w="2900"/>
            <w:shd w:fill="1F4E78" w:val="clear"/>
            <w:tcMar>
              <w:top w:type="dxa" w:w="60"/>
              <w:left w:type="dxa" w:w="100"/>
              <w:bottom w:type="dxa" w:w="60"/>
              <w:right w:type="dxa" w:w="100"/>
            </w:tcMar>
          </w:tcPr>
          <w:p>
            <w:pPr>
              <w:jc w:val="center"/>
            </w:pPr>
            <w:r>
              <w:rPr>
                <w:rFonts w:ascii="Yu Gothic" w:cs="Yu Gothic" w:eastAsia="Yu Gothic" w:hAnsi="Yu Gothic"/>
                <w:b/>
                <w:bCs/>
                <w:sz w:val="19"/>
                <w:szCs w:val="19"/>
              </w:rPr>
              <w:t xml:space="preserve">平均障害支援区分</w:t>
            </w:r>
          </w:p>
        </w:tc>
        <w:tc>
          <w:tcPr>
            <w:tcW w:type="dxa" w:w="1600"/>
            <w:shd w:fill="1F4E78" w:val="clear"/>
            <w:tcMar>
              <w:top w:type="dxa" w:w="60"/>
              <w:left w:type="dxa" w:w="100"/>
              <w:bottom w:type="dxa" w:w="60"/>
              <w:right w:type="dxa" w:w="100"/>
            </w:tcMar>
          </w:tcPr>
          <w:p>
            <w:pPr>
              <w:jc w:val="center"/>
            </w:pPr>
            <w:r>
              <w:rPr>
                <w:rFonts w:ascii="Yu Gothic" w:cs="Yu Gothic" w:eastAsia="Yu Gothic" w:hAnsi="Yu Gothic"/>
                <w:b/>
                <w:bCs/>
                <w:sz w:val="19"/>
                <w:szCs w:val="19"/>
              </w:rPr>
              <w:t xml:space="preserve">配置基準</w:t>
            </w:r>
          </w:p>
        </w:tc>
        <w:tc>
          <w:tcPr>
            <w:tcW w:type="dxa" w:w="2900"/>
            <w:shd w:fill="1F4E78" w:val="clear"/>
            <w:tcMar>
              <w:top w:type="dxa" w:w="60"/>
              <w:left w:type="dxa" w:w="100"/>
              <w:bottom w:type="dxa" w:w="60"/>
              <w:right w:type="dxa" w:w="100"/>
            </w:tcMar>
          </w:tcPr>
          <w:p>
            <w:pPr>
              <w:jc w:val="center"/>
            </w:pPr>
            <w:r>
              <w:rPr>
                <w:rFonts w:ascii="Yu Gothic" w:cs="Yu Gothic" w:eastAsia="Yu Gothic" w:hAnsi="Yu Gothic"/>
                <w:b/>
                <w:bCs/>
                <w:sz w:val="19"/>
                <w:szCs w:val="19"/>
              </w:rPr>
              <w:t xml:space="preserve">定員20名の必要総数(看護＋PT/OT＋生活支援員、常勤換算)</w:t>
            </w:r>
          </w:p>
        </w:tc>
        <w:tc>
          <w:tcPr>
            <w:tcW w:type="dxa" w:w="1900"/>
            <w:shd w:fill="1F4E78" w:val="clear"/>
            <w:tcMar>
              <w:top w:type="dxa" w:w="60"/>
              <w:left w:type="dxa" w:w="100"/>
              <w:bottom w:type="dxa" w:w="60"/>
              <w:right w:type="dxa" w:w="100"/>
            </w:tcMar>
          </w:tcPr>
          <w:p>
            <w:pPr>
              <w:jc w:val="center"/>
            </w:pPr>
            <w:r>
              <w:rPr>
                <w:rFonts w:ascii="Yu Gothic" w:cs="Yu Gothic" w:eastAsia="Yu Gothic" w:hAnsi="Yu Gothic"/>
                <w:b/>
                <w:bCs/>
                <w:sz w:val="19"/>
                <w:szCs w:val="19"/>
              </w:rPr>
              <w:t xml:space="preserve">基本報酬単価(7時間以上8時間未満)</w:t>
            </w:r>
          </w:p>
        </w:tc>
      </w:tr>
      <w:tr>
        <w:tc>
          <w:tcPr>
            <w:tcW w:type="dxa" w:w="29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4未満(軽度中心)</w:t>
            </w:r>
          </w:p>
        </w:tc>
        <w:tc>
          <w:tcPr>
            <w:tcW w:type="dxa" w:w="16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6:1</w:t>
            </w:r>
          </w:p>
        </w:tc>
        <w:tc>
          <w:tcPr>
            <w:tcW w:type="dxa" w:w="29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18÷6 = 3.0名</w:t>
            </w:r>
          </w:p>
        </w:tc>
        <w:tc>
          <w:tcPr>
            <w:tcW w:type="dxa" w:w="19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区分3：599単位</w:t>
            </w:r>
          </w:p>
        </w:tc>
      </w:tr>
      <w:tr>
        <w:tc>
          <w:tcPr>
            <w:tcW w:type="dxa" w:w="29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4以上5未満</w:t>
            </w:r>
          </w:p>
        </w:tc>
        <w:tc>
          <w:tcPr>
            <w:tcW w:type="dxa" w:w="16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5:1</w:t>
            </w:r>
          </w:p>
        </w:tc>
        <w:tc>
          <w:tcPr>
            <w:tcW w:type="dxa" w:w="29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18÷5 = 3.6名</w:t>
            </w:r>
          </w:p>
        </w:tc>
        <w:tc>
          <w:tcPr>
            <w:tcW w:type="dxa" w:w="19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区分4：669単位</w:t>
            </w:r>
          </w:p>
        </w:tc>
      </w:tr>
      <w:tr>
        <w:tc>
          <w:tcPr>
            <w:tcW w:type="dxa" w:w="29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5以上(重度中心・本計画の基本ケース)</w:t>
            </w:r>
          </w:p>
        </w:tc>
        <w:tc>
          <w:tcPr>
            <w:tcW w:type="dxa" w:w="16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3:1</w:t>
            </w:r>
          </w:p>
        </w:tc>
        <w:tc>
          <w:tcPr>
            <w:tcW w:type="dxa" w:w="29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18÷3 = 6.0名(法定最低ライン)</w:t>
            </w:r>
          </w:p>
        </w:tc>
        <w:tc>
          <w:tcPr>
            <w:tcW w:type="dxa" w:w="19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区分5：964単位／区分6：1,288単位</w:t>
            </w:r>
          </w:p>
        </w:tc>
      </w:tr>
    </w:tbl>
    <w:p>
      <w:pPr>
        <w:spacing w:after="160"/>
      </w:pPr>
      <w:r>
        <w:rPr>
          <w:rFonts w:ascii="Yu Gothic" w:cs="Yu Gothic" w:eastAsia="Yu Gothic" w:hAnsi="Yu Gothic"/>
          <w:i/>
          <w:iCs/>
          <w:color w:val="806000"/>
          <w:sz w:val="18"/>
          <w:szCs w:val="18"/>
        </w:rPr>
        <w:t xml:space="preserve">※上記単位数は令和6年度報酬改定後の目安。開所時間9:30〜16:45(7時間15分)が「7時間以上8時間未満」区分に該当することを前提としている。申請前に厚生労働省告示・広島市提示の最新単価表で必ず再確認すること。</w:t>
      </w:r>
    </w:p>
    <w:p>
      <w:pPr>
        <w:pStyle w:val="Heading2"/>
        <w:spacing w:after="120" w:before="240"/>
      </w:pPr>
      <w:r>
        <w:rPr>
          <w:rFonts w:ascii="Yu Gothic" w:cs="Yu Gothic" w:eastAsia="Yu Gothic" w:hAnsi="Yu Gothic"/>
          <w:b/>
          <w:bCs/>
          <w:color w:val="1F4E78"/>
          <w:sz w:val="24"/>
          <w:szCs w:val="24"/>
        </w:rPr>
        <w:t xml:space="preserve">6-3. 想定スタッフ体制(平均区分5を基本ケース、別紙Excel「人件費」シートと連動)</w:t>
      </w:r>
    </w:p>
    <w:p>
      <w:pPr>
        <w:spacing w:after="120" w:before="0"/>
      </w:pPr>
      <w:r>
        <w:rPr>
          <w:rFonts w:ascii="Yu Gothic" w:cs="Yu Gothic" w:eastAsia="Yu Gothic" w:hAnsi="Yu Gothic"/>
        </w:rPr>
        <w:t xml:space="preserve">法定最低ラインは「看護職員・PT/OT・生活支援員の総数6.0名」である。本計画では、理念(重度対応・小グループでの地域外出等)を実現するため、法定最低ラインに1.4名を上乗せした総数7.4名を配置する設計とする。これは基準違反ではなく理念実現のための意図的な経営判断としての増員であり、人員配置体制加算(配置比率を基準より手厚くした場合に算定できる加算)の対象になり得る上乗せでもある(第10-4章参照。単位数は要確認)。</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900"/>
        <w:gridCol w:w="1600"/>
        <w:gridCol w:w="1200"/>
      </w:tblGrid>
      <w:tr>
        <w:trPr>
          <w:tblHeader/>
        </w:trPr>
        <w:tc>
          <w:tcPr>
            <w:tcW w:type="dxa" w:w="2600"/>
            <w:shd w:fill="1F4E78" w:val="clear"/>
            <w:tcMar>
              <w:top w:type="dxa" w:w="60"/>
              <w:left w:type="dxa" w:w="100"/>
              <w:bottom w:type="dxa" w:w="60"/>
              <w:right w:type="dxa" w:w="100"/>
            </w:tcMar>
          </w:tcPr>
          <w:p>
            <w:pPr>
              <w:jc w:val="center"/>
            </w:pPr>
            <w:r>
              <w:rPr>
                <w:rFonts w:ascii="Yu Gothic" w:cs="Yu Gothic" w:eastAsia="Yu Gothic" w:hAnsi="Yu Gothic"/>
                <w:b/>
                <w:bCs/>
                <w:sz w:val="19"/>
                <w:szCs w:val="19"/>
              </w:rPr>
              <w:t xml:space="preserve">職種</w:t>
            </w:r>
          </w:p>
        </w:tc>
        <w:tc>
          <w:tcPr>
            <w:tcW w:type="dxa" w:w="1600"/>
            <w:shd w:fill="1F4E78" w:val="clear"/>
            <w:tcMar>
              <w:top w:type="dxa" w:w="60"/>
              <w:left w:type="dxa" w:w="100"/>
              <w:bottom w:type="dxa" w:w="60"/>
              <w:right w:type="dxa" w:w="100"/>
            </w:tcMar>
          </w:tcPr>
          <w:p>
            <w:pPr>
              <w:jc w:val="center"/>
            </w:pPr>
            <w:r>
              <w:rPr>
                <w:rFonts w:ascii="Yu Gothic" w:cs="Yu Gothic" w:eastAsia="Yu Gothic" w:hAnsi="Yu Gothic"/>
                <w:b/>
                <w:bCs/>
                <w:sz w:val="19"/>
                <w:szCs w:val="19"/>
              </w:rPr>
              <w:t xml:space="preserve">人数(常勤換算)</w:t>
            </w:r>
          </w:p>
        </w:tc>
        <w:tc>
          <w:tcPr>
            <w:tcW w:type="dxa" w:w="1900"/>
            <w:shd w:fill="1F4E78" w:val="clear"/>
            <w:tcMar>
              <w:top w:type="dxa" w:w="60"/>
              <w:left w:type="dxa" w:w="100"/>
              <w:bottom w:type="dxa" w:w="60"/>
              <w:right w:type="dxa" w:w="100"/>
            </w:tcMar>
          </w:tcPr>
          <w:p>
            <w:pPr>
              <w:jc w:val="center"/>
            </w:pPr>
            <w:r>
              <w:rPr>
                <w:rFonts w:ascii="Yu Gothic" w:cs="Yu Gothic" w:eastAsia="Yu Gothic" w:hAnsi="Yu Gothic"/>
                <w:b/>
                <w:bCs/>
                <w:sz w:val="19"/>
                <w:szCs w:val="19"/>
              </w:rPr>
              <w:t xml:space="preserve">想定年収単価</w:t>
            </w:r>
          </w:p>
        </w:tc>
        <w:tc>
          <w:tcPr>
            <w:tcW w:type="dxa" w:w="1600"/>
            <w:shd w:fill="1F4E78" w:val="clear"/>
            <w:tcMar>
              <w:top w:type="dxa" w:w="60"/>
              <w:left w:type="dxa" w:w="100"/>
              <w:bottom w:type="dxa" w:w="60"/>
              <w:right w:type="dxa" w:w="100"/>
            </w:tcMar>
          </w:tcPr>
          <w:p>
            <w:pPr>
              <w:jc w:val="center"/>
            </w:pPr>
            <w:r>
              <w:rPr>
                <w:rFonts w:ascii="Yu Gothic" w:cs="Yu Gothic" w:eastAsia="Yu Gothic" w:hAnsi="Yu Gothic"/>
                <w:b/>
                <w:bCs/>
                <w:sz w:val="19"/>
                <w:szCs w:val="19"/>
              </w:rPr>
              <w:t xml:space="preserve">年間人件費</w:t>
            </w:r>
          </w:p>
        </w:tc>
        <w:tc>
          <w:tcPr>
            <w:tcW w:type="dxa" w:w="1200"/>
            <w:shd w:fill="1F4E78" w:val="clear"/>
            <w:tcMar>
              <w:top w:type="dxa" w:w="60"/>
              <w:left w:type="dxa" w:w="100"/>
              <w:bottom w:type="dxa" w:w="60"/>
              <w:right w:type="dxa" w:w="100"/>
            </w:tcMar>
          </w:tcPr>
          <w:p>
            <w:pPr>
              <w:jc w:val="center"/>
            </w:pPr>
            <w:r>
              <w:rPr>
                <w:rFonts w:ascii="Yu Gothic" w:cs="Yu Gothic" w:eastAsia="Yu Gothic" w:hAnsi="Yu Gothic"/>
                <w:b/>
                <w:bCs/>
                <w:sz w:val="19"/>
                <w:szCs w:val="19"/>
              </w:rPr>
              <w:t xml:space="preserve">備考</w:t>
            </w:r>
          </w:p>
        </w:tc>
      </w:tr>
      <w:tr>
        <w:tc>
          <w:tcPr>
            <w:tcW w:type="dxa" w:w="26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管理者兼サービス管理責任者(丸山氏)</w:t>
            </w:r>
          </w:p>
        </w:tc>
        <w:tc>
          <w:tcPr>
            <w:tcW w:type="dxa" w:w="16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1名</w:t>
            </w:r>
          </w:p>
        </w:tc>
        <w:tc>
          <w:tcPr>
            <w:tcW w:type="dxa" w:w="19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480万円</w:t>
            </w:r>
          </w:p>
        </w:tc>
        <w:tc>
          <w:tcPr>
            <w:tcW w:type="dxa" w:w="16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480万円</w:t>
            </w:r>
          </w:p>
        </w:tc>
        <w:tc>
          <w:tcPr>
            <w:tcW w:type="dxa" w:w="12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常勤・専従が原則。専従性の扱いは広島市の事前相談で要確認</w:t>
            </w:r>
          </w:p>
        </w:tc>
      </w:tr>
      <w:tr>
        <w:tc>
          <w:tcPr>
            <w:tcW w:type="dxa" w:w="26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生活支援員等</w:t>
            </w:r>
          </w:p>
        </w:tc>
        <w:tc>
          <w:tcPr>
            <w:tcW w:type="dxa" w:w="16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6名</w:t>
            </w:r>
          </w:p>
        </w:tc>
        <w:tc>
          <w:tcPr>
            <w:tcW w:type="dxa" w:w="19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360万円</w:t>
            </w:r>
          </w:p>
        </w:tc>
        <w:tc>
          <w:tcPr>
            <w:tcW w:type="dxa" w:w="16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2,160万円</w:t>
            </w:r>
          </w:p>
        </w:tc>
        <w:tc>
          <w:tcPr>
            <w:tcW w:type="dxa" w:w="12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送迎はシフト内で輪番対応</w:t>
            </w:r>
          </w:p>
        </w:tc>
      </w:tr>
      <w:tr>
        <w:tc>
          <w:tcPr>
            <w:tcW w:type="dxa" w:w="26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看護職員(看護師・准看護師、必置)</w:t>
            </w:r>
          </w:p>
        </w:tc>
        <w:tc>
          <w:tcPr>
            <w:tcW w:type="dxa" w:w="16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1名</w:t>
            </w:r>
          </w:p>
        </w:tc>
        <w:tc>
          <w:tcPr>
            <w:tcW w:type="dxa" w:w="19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420万円</w:t>
            </w:r>
          </w:p>
        </w:tc>
        <w:tc>
          <w:tcPr>
            <w:tcW w:type="dxa" w:w="16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420万円</w:t>
            </w:r>
          </w:p>
        </w:tc>
        <w:tc>
          <w:tcPr>
            <w:tcW w:type="dxa" w:w="12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非常勤の組み合わせでも可</w:t>
            </w:r>
          </w:p>
        </w:tc>
      </w:tr>
      <w:tr>
        <w:tc>
          <w:tcPr>
            <w:tcW w:type="dxa" w:w="26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機能訓練指導員(PT/OT、非常勤)</w:t>
            </w:r>
          </w:p>
        </w:tc>
        <w:tc>
          <w:tcPr>
            <w:tcW w:type="dxa" w:w="16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0.4名</w:t>
            </w:r>
          </w:p>
        </w:tc>
        <w:tc>
          <w:tcPr>
            <w:tcW w:type="dxa" w:w="19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(按分)420万円単価</w:t>
            </w:r>
          </w:p>
        </w:tc>
        <w:tc>
          <w:tcPr>
            <w:tcW w:type="dxa" w:w="16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168万円</w:t>
            </w:r>
          </w:p>
        </w:tc>
        <w:tc>
          <w:tcPr>
            <w:tcW w:type="dxa" w:w="12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週2日程度を想定</w:t>
            </w:r>
          </w:p>
        </w:tc>
      </w:tr>
      <w:tr>
        <w:tc>
          <w:tcPr>
            <w:tcW w:type="dxa" w:w="26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事務員(パート)</w:t>
            </w:r>
          </w:p>
        </w:tc>
        <w:tc>
          <w:tcPr>
            <w:tcW w:type="dxa" w:w="16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0.5名</w:t>
            </w:r>
          </w:p>
        </w:tc>
        <w:tc>
          <w:tcPr>
            <w:tcW w:type="dxa" w:w="19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320万円単価</w:t>
            </w:r>
          </w:p>
        </w:tc>
        <w:tc>
          <w:tcPr>
            <w:tcW w:type="dxa" w:w="16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160万円</w:t>
            </w:r>
          </w:p>
        </w:tc>
        <w:tc>
          <w:tcPr>
            <w:tcW w:type="dxa" w:w="12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経理・請求事務等</w:t>
            </w:r>
          </w:p>
        </w:tc>
      </w:tr>
      <w:tr>
        <w:tc>
          <w:tcPr>
            <w:tcW w:type="dxa" w:w="26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送迎対応 割増手当(固定)</w:t>
            </w:r>
          </w:p>
        </w:tc>
        <w:tc>
          <w:tcPr>
            <w:tcW w:type="dxa" w:w="16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w:t>
            </w:r>
          </w:p>
        </w:tc>
        <w:tc>
          <w:tcPr>
            <w:tcW w:type="dxa" w:w="19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w:t>
            </w:r>
          </w:p>
        </w:tc>
        <w:tc>
          <w:tcPr>
            <w:tcW w:type="dxa" w:w="16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60万円</w:t>
            </w:r>
          </w:p>
        </w:tc>
        <w:tc>
          <w:tcPr>
            <w:tcW w:type="dxa" w:w="12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生活支援員等の輪番対応への割増手当</w:t>
            </w:r>
          </w:p>
        </w:tc>
      </w:tr>
      <w:tr>
        <w:tc>
          <w:tcPr>
            <w:tcW w:type="dxa" w:w="26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小計(看護・PT/OT・生活支援員の総数7.4名＋管理者・事務員等)</w:t>
            </w:r>
          </w:p>
        </w:tc>
        <w:tc>
          <w:tcPr>
            <w:tcW w:type="dxa" w:w="16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約8.9名</w:t>
            </w:r>
          </w:p>
        </w:tc>
        <w:tc>
          <w:tcPr>
            <w:tcW w:type="dxa" w:w="19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
            </w:r>
          </w:p>
        </w:tc>
        <w:tc>
          <w:tcPr>
            <w:tcW w:type="dxa" w:w="16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3,448万円</w:t>
            </w:r>
          </w:p>
        </w:tc>
        <w:tc>
          <w:tcPr>
            <w:tcW w:type="dxa" w:w="12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総数7.4名(法定最低6.0名+上乗せ1.4名)＋管理者兼サビ管1名＋事務員0.5名</w:t>
            </w:r>
          </w:p>
        </w:tc>
      </w:tr>
      <w:tr>
        <w:tc>
          <w:tcPr>
            <w:tcW w:type="dxa" w:w="26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法定福利費等(概算15%)</w:t>
            </w:r>
          </w:p>
        </w:tc>
        <w:tc>
          <w:tcPr>
            <w:tcW w:type="dxa" w:w="16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
            </w:r>
          </w:p>
        </w:tc>
        <w:tc>
          <w:tcPr>
            <w:tcW w:type="dxa" w:w="19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
            </w:r>
          </w:p>
        </w:tc>
        <w:tc>
          <w:tcPr>
            <w:tcW w:type="dxa" w:w="16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517万円</w:t>
            </w:r>
          </w:p>
        </w:tc>
        <w:tc>
          <w:tcPr>
            <w:tcW w:type="dxa" w:w="12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
            </w:r>
          </w:p>
        </w:tc>
      </w:tr>
      <w:tr>
        <w:tc>
          <w:tcPr>
            <w:tcW w:type="dxa" w:w="26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人件費 合計(法定福利費込)</w:t>
            </w:r>
          </w:p>
        </w:tc>
        <w:tc>
          <w:tcPr>
            <w:tcW w:type="dxa" w:w="16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
            </w:r>
          </w:p>
        </w:tc>
        <w:tc>
          <w:tcPr>
            <w:tcW w:type="dxa" w:w="19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
            </w:r>
          </w:p>
        </w:tc>
        <w:tc>
          <w:tcPr>
            <w:tcW w:type="dxa" w:w="16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約3,965万円</w:t>
            </w:r>
          </w:p>
        </w:tc>
        <w:tc>
          <w:tcPr>
            <w:tcW w:type="dxa" w:w="12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
            </w:r>
          </w:p>
        </w:tc>
      </w:tr>
    </w:tbl>
    <w:p>
      <w:pPr>
        <w:spacing w:after="160"/>
      </w:pPr>
      <w:r>
        <w:rPr>
          <w:rFonts w:ascii="Yu Gothic" w:cs="Yu Gothic" w:eastAsia="Yu Gothic" w:hAnsi="Yu Gothic"/>
          <w:i/>
          <w:iCs/>
          <w:color w:val="806000"/>
          <w:sz w:val="18"/>
          <w:szCs w:val="18"/>
        </w:rPr>
        <w:t xml:space="preserve">※上記に加えて、豊口氏の役員報酬(Year1-2は月10万円、Year3以降は月30万円を想定)を別建てで計上(第10章)。この人件費構成・金額は法定最低ラインに対する上乗せ配置を前提としており、収支を圧迫する主因の一つでもある。上乗せ幅の圧縮は赤字幅を縮小させる現実的な選択肢として第10-4章で検討する。</w:t>
      </w:r>
    </w:p>
    <w:p>
      <w:pPr>
        <w:pStyle w:val="Heading2"/>
        <w:spacing w:after="120" w:before="240"/>
      </w:pPr>
      <w:r>
        <w:rPr>
          <w:rFonts w:ascii="Yu Gothic" w:cs="Yu Gothic" w:eastAsia="Yu Gothic" w:hAnsi="Yu Gothic"/>
          <w:b/>
          <w:bCs/>
          <w:color w:val="1F4E78"/>
          <w:sz w:val="24"/>
          <w:szCs w:val="24"/>
        </w:rPr>
        <w:t xml:space="preserve">6-4. 1日の職員配置シフト(たたき台)</w:t>
      </w:r>
    </w:p>
    <w:p>
      <w:pPr>
        <w:spacing w:after="120" w:before="0"/>
      </w:pPr>
      <w:r>
        <w:rPr>
          <w:rFonts w:ascii="Yu Gothic" w:cs="Yu Gothic" w:eastAsia="Yu Gothic" w:hAnsi="Yu Gothic"/>
        </w:rPr>
        <w:t xml:space="preserve">経営者・審査担当者の双方から、送迎時間帯に事業所内の支援体制が手薄にならないかの検証を求められた。生活支援員等6名体制での想定を以下に示す(実際の物件・利用者構成が固まった段階で確定させること)。</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400"/>
      </w:tblGrid>
      <w:tr>
        <w:trPr>
          <w:tblHeader/>
        </w:trPr>
        <w:tc>
          <w:tcPr>
            <w:tcW w:type="dxa" w:w="2000"/>
            <w:shd w:fill="1F4E78" w:val="clear"/>
            <w:tcMar>
              <w:top w:type="dxa" w:w="60"/>
              <w:left w:type="dxa" w:w="100"/>
              <w:bottom w:type="dxa" w:w="60"/>
              <w:right w:type="dxa" w:w="100"/>
            </w:tcMar>
          </w:tcPr>
          <w:p>
            <w:pPr>
              <w:jc w:val="center"/>
            </w:pPr>
            <w:r>
              <w:rPr>
                <w:rFonts w:ascii="Yu Gothic" w:cs="Yu Gothic" w:eastAsia="Yu Gothic" w:hAnsi="Yu Gothic"/>
                <w:b/>
                <w:bCs/>
                <w:sz w:val="19"/>
                <w:szCs w:val="19"/>
              </w:rPr>
              <w:t xml:space="preserve">時間帯</w:t>
            </w:r>
          </w:p>
        </w:tc>
        <w:tc>
          <w:tcPr>
            <w:tcW w:type="dxa" w:w="3600"/>
            <w:shd w:fill="1F4E78" w:val="clear"/>
            <w:tcMar>
              <w:top w:type="dxa" w:w="60"/>
              <w:left w:type="dxa" w:w="100"/>
              <w:bottom w:type="dxa" w:w="60"/>
              <w:right w:type="dxa" w:w="100"/>
            </w:tcMar>
          </w:tcPr>
          <w:p>
            <w:pPr>
              <w:jc w:val="center"/>
            </w:pPr>
            <w:r>
              <w:rPr>
                <w:rFonts w:ascii="Yu Gothic" w:cs="Yu Gothic" w:eastAsia="Yu Gothic" w:hAnsi="Yu Gothic"/>
                <w:b/>
                <w:bCs/>
                <w:sz w:val="19"/>
                <w:szCs w:val="19"/>
              </w:rPr>
              <w:t xml:space="preserve">内容</w:t>
            </w:r>
          </w:p>
        </w:tc>
        <w:tc>
          <w:tcPr>
            <w:tcW w:type="dxa" w:w="3400"/>
            <w:shd w:fill="1F4E78" w:val="clear"/>
            <w:tcMar>
              <w:top w:type="dxa" w:w="60"/>
              <w:left w:type="dxa" w:w="100"/>
              <w:bottom w:type="dxa" w:w="60"/>
              <w:right w:type="dxa" w:w="100"/>
            </w:tcMar>
          </w:tcPr>
          <w:p>
            <w:pPr>
              <w:jc w:val="center"/>
            </w:pPr>
            <w:r>
              <w:rPr>
                <w:rFonts w:ascii="Yu Gothic" w:cs="Yu Gothic" w:eastAsia="Yu Gothic" w:hAnsi="Yu Gothic"/>
                <w:b/>
                <w:bCs/>
                <w:sz w:val="19"/>
                <w:szCs w:val="19"/>
              </w:rPr>
              <w:t xml:space="preserve">配置人数の目安</w:t>
            </w:r>
          </w:p>
        </w:tc>
      </w:tr>
      <w:tr>
        <w:tc>
          <w:tcPr>
            <w:tcW w:type="dxa" w:w="20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8:00〜9:30</w:t>
            </w:r>
          </w:p>
        </w:tc>
        <w:tc>
          <w:tcPr>
            <w:tcW w:type="dxa" w:w="36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送迎(朝)</w:t>
            </w:r>
          </w:p>
        </w:tc>
        <w:tc>
          <w:tcPr>
            <w:tcW w:type="dxa" w:w="34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生活支援員2〜3名が送迎、残り3〜4名+看護職員が施設内で早着者を受け入れ</w:t>
            </w:r>
          </w:p>
        </w:tc>
      </w:tr>
      <w:tr>
        <w:tc>
          <w:tcPr>
            <w:tcW w:type="dxa" w:w="20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9:30〜16:45</w:t>
            </w:r>
          </w:p>
        </w:tc>
        <w:tc>
          <w:tcPr>
            <w:tcW w:type="dxa" w:w="36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サービス提供(主活動・入浴・機能訓練等)</w:t>
            </w:r>
          </w:p>
        </w:tc>
        <w:tc>
          <w:tcPr>
            <w:tcW w:type="dxa" w:w="34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生活支援員等ほぼ全員+看護職員+(実施日は)機能訓練指導員</w:t>
            </w:r>
          </w:p>
        </w:tc>
      </w:tr>
      <w:tr>
        <w:tc>
          <w:tcPr>
            <w:tcW w:type="dxa" w:w="20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16:45〜18:15</w:t>
            </w:r>
          </w:p>
        </w:tc>
        <w:tc>
          <w:tcPr>
            <w:tcW w:type="dxa" w:w="36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送迎(夕)</w:t>
            </w:r>
          </w:p>
        </w:tc>
        <w:tc>
          <w:tcPr>
            <w:tcW w:type="dxa" w:w="34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生活支援員2〜3名が送迎、残りが施設内対応・記録業務</w:t>
            </w:r>
          </w:p>
        </w:tc>
      </w:tr>
      <w:tr>
        <w:tc>
          <w:tcPr>
            <w:tcW w:type="dxa" w:w="20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随時</w:t>
            </w:r>
          </w:p>
        </w:tc>
        <w:tc>
          <w:tcPr>
            <w:tcW w:type="dxa" w:w="36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管理者兼サビ管(丸山氏)</w:t>
            </w:r>
          </w:p>
        </w:tc>
        <w:tc>
          <w:tcPr>
            <w:tcW w:type="dxa" w:w="34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個別支援計画の作成・モニタリング、職員管理を中心に、可能な範囲で現場支援に参加</w:t>
            </w:r>
          </w:p>
        </w:tc>
      </w:tr>
    </w:tbl>
    <w:p>
      <w:pPr>
        <w:spacing w:after="160" w:before="80"/>
      </w:pPr>
      <w:r>
        <w:rPr>
          <w:rFonts w:ascii="Yu Gothic" w:cs="Yu Gothic" w:eastAsia="Yu Gothic" w:hAnsi="Yu Gothic"/>
          <w:b/>
          <w:bCs/>
          <w:color w:val="C00000"/>
          <w:sz w:val="20"/>
          <w:szCs w:val="20"/>
        </w:rPr>
        <w:t xml:space="preserve">⚠ 夕送迎の開始をサービス提供終了時刻(16:45)以降に修正した。改訂前は送迎(夕)が16:00開始となっており、16:00に退所する利用者のサービス提供時間が6時間30分にとどまり、964単位を算定できないという自己矛盾があった。このシフトでは生活支援員の勤務終了が18:15前後になるため、実際の週間勤務シフト(早番・遅番、休憩、有給・研修日)を開所前に作成し、常勤換算6.0名(総数7.4名)で法定基準を満たしたまま回せるかを検証すること。</w:t>
      </w:r>
    </w:p>
    <w:p>
      <w:pPr>
        <w:pStyle w:val="Heading2"/>
        <w:spacing w:after="120" w:before="240"/>
      </w:pPr>
      <w:r>
        <w:rPr>
          <w:rFonts w:ascii="Yu Gothic" w:cs="Yu Gothic" w:eastAsia="Yu Gothic" w:hAnsi="Yu Gothic"/>
          <w:b/>
          <w:bCs/>
          <w:color w:val="1F4E78"/>
          <w:sz w:val="24"/>
          <w:szCs w:val="24"/>
        </w:rPr>
        <w:t xml:space="preserve">6-5. 採用計画上の留意点</w:t>
      </w:r>
    </w:p>
    <w:p>
      <w:pPr>
        <w:pStyle w:val="ListParagraph"/>
        <w:numPr>
          <w:ilvl w:val="0"/>
          <w:numId w:val="1"/>
        </w:numPr>
        <w:spacing w:after="80"/>
      </w:pPr>
      <w:r>
        <w:rPr>
          <w:rFonts w:ascii="Yu Gothic" w:cs="Yu Gothic" w:eastAsia="Yu Gothic" w:hAnsi="Yu Gothic"/>
        </w:rPr>
        <w:t xml:space="preserve">サービス管理責任者は丸山氏が資格要件を満たしており確保済み(要件充足を証明する研修修了証・実務経験証明書等の現物確認をアクションプランの最優先事項とする、第13章)。看護職員・機能訓練指導員・生活支援員等の採用は別途必要であり、開所スケジュールの律速要因になり得る。</w:t>
      </w:r>
    </w:p>
    <w:p>
      <w:pPr>
        <w:pStyle w:val="ListParagraph"/>
        <w:numPr>
          <w:ilvl w:val="0"/>
          <w:numId w:val="1"/>
        </w:numPr>
        <w:spacing w:after="80"/>
      </w:pPr>
      <w:r>
        <w:rPr>
          <w:rFonts w:ascii="Yu Gothic" w:cs="Yu Gothic" w:eastAsia="Yu Gothic" w:hAnsi="Yu Gothic"/>
        </w:rPr>
        <w:t xml:space="preserve">生活支援員等・看護職員は求人媒体・ハローワーク・福祉人材センター、介護福祉士養成校・特別支援学校進路指導部との関係構築を通じて、開所6か月以上前から募集を開始する(指定申請書には従業者の勤務体制一覧に氏名を記載する必要があり、申請の1〜2か月前には主要職種の内定が必要)。</w:t>
      </w:r>
    </w:p>
    <w:p>
      <w:pPr>
        <w:pStyle w:val="ListParagraph"/>
        <w:numPr>
          <w:ilvl w:val="0"/>
          <w:numId w:val="1"/>
        </w:numPr>
        <w:spacing w:after="80"/>
      </w:pPr>
      <w:r>
        <w:rPr>
          <w:rFonts w:ascii="Yu Gothic" w:cs="Yu Gothic" w:eastAsia="Yu Gothic" w:hAnsi="Yu Gothic"/>
        </w:rPr>
        <w:t xml:space="preserve">採用費は生活支援員等5〜6名分として400万円程度を見込む(第9章、初期投資に計上)。</w:t>
      </w:r>
    </w:p>
    <w:p>
      <w:pPr>
        <w:pStyle w:val="ListParagraph"/>
        <w:numPr>
          <w:ilvl w:val="0"/>
          <w:numId w:val="1"/>
        </w:numPr>
        <w:spacing w:after="80"/>
      </w:pPr>
      <w:r>
        <w:rPr>
          <w:rFonts w:ascii="Yu Gothic" w:cs="Yu Gothic" w:eastAsia="Yu Gothic" w:hAnsi="Yu Gothic"/>
        </w:rPr>
        <w:t xml:space="preserve">給与テーブル、年間休日日数、シフトモデルを整備し、処遇改善加算の取得を前提とした賃金設計とすることで、採用競争力を確保する。</w:t>
      </w:r>
    </w:p>
    <w:p>
      <w:pPr>
        <w:pStyle w:val="ListParagraph"/>
        <w:numPr>
          <w:ilvl w:val="0"/>
          <w:numId w:val="1"/>
        </w:numPr>
        <w:spacing w:after="80"/>
      </w:pPr>
      <w:r>
        <w:rPr>
          <w:rFonts w:ascii="Yu Gothic" w:cs="Yu Gothic" w:eastAsia="Yu Gothic" w:hAnsi="Yu Gothic"/>
        </w:rPr>
        <w:t xml:space="preserve">欠員リスクに備え、生活支援員等について登録型の非常勤リストを確保し、常勤換算の余裕(+0.5〜1.0名程度)を持たせることを検討する。</w:t>
      </w:r>
    </w:p>
    <w:p>
      <w:pPr>
        <w:pStyle w:val="Heading1"/>
        <w:spacing w:after="160" w:before="360"/>
      </w:pPr>
      <w:r>
        <w:rPr>
          <w:rFonts w:ascii="Yu Gothic" w:cs="Yu Gothic" w:eastAsia="Yu Gothic" w:hAnsi="Yu Gothic"/>
          <w:b/>
          <w:bCs/>
          <w:color w:val="1F4E78"/>
          <w:sz w:val="30"/>
          <w:szCs w:val="30"/>
        </w:rPr>
        <w:t xml:space="preserve">7. 施設・設備計画</w:t>
      </w:r>
    </w:p>
    <w:p>
      <w:pPr>
        <w:pStyle w:val="Heading2"/>
        <w:spacing w:after="120" w:before="240"/>
      </w:pPr>
      <w:r>
        <w:rPr>
          <w:rFonts w:ascii="Yu Gothic" w:cs="Yu Gothic" w:eastAsia="Yu Gothic" w:hAnsi="Yu Gothic"/>
          <w:b/>
          <w:bCs/>
          <w:color w:val="1F4E78"/>
          <w:sz w:val="24"/>
          <w:szCs w:val="24"/>
        </w:rPr>
        <w:t xml:space="preserve">7-1. 主な設備基準(要件は広島市の手引きで最終確認)</w:t>
      </w:r>
    </w:p>
    <w:p>
      <w:pPr>
        <w:pStyle w:val="ListParagraph"/>
        <w:numPr>
          <w:ilvl w:val="0"/>
          <w:numId w:val="1"/>
        </w:numPr>
        <w:spacing w:after="80"/>
      </w:pPr>
      <w:r>
        <w:rPr>
          <w:rFonts w:ascii="Yu Gothic" w:cs="Yu Gothic" w:eastAsia="Yu Gothic" w:hAnsi="Yu Gothic"/>
        </w:rPr>
        <w:t xml:space="preserve">訓練・作業室：利用定員×3.0㎡が最低限の目安だが、車椅子利用者や重度の方を中心に受け入れる本計画では実務上4〜5㎡/人程度を見込むべきであり、定員20名なら概ね80〜100㎡</w:t>
      </w:r>
    </w:p>
    <w:p>
      <w:pPr>
        <w:pStyle w:val="ListParagraph"/>
        <w:numPr>
          <w:ilvl w:val="0"/>
          <w:numId w:val="1"/>
        </w:numPr>
        <w:spacing w:after="80"/>
      </w:pPr>
      <w:r>
        <w:rPr>
          <w:rFonts w:ascii="Yu Gothic" w:cs="Yu Gothic" w:eastAsia="Yu Gothic" w:hAnsi="Yu Gothic"/>
        </w:rPr>
        <w:t xml:space="preserve">相談室：独立した個室、又は天井まで達する間仕切りにより談話の漏えいを防ぐ構造</w:t>
      </w:r>
    </w:p>
    <w:p>
      <w:pPr>
        <w:pStyle w:val="ListParagraph"/>
        <w:numPr>
          <w:ilvl w:val="0"/>
          <w:numId w:val="1"/>
        </w:numPr>
        <w:spacing w:after="80"/>
      </w:pPr>
      <w:r>
        <w:rPr>
          <w:rFonts w:ascii="Yu Gothic" w:cs="Yu Gothic" w:eastAsia="Yu Gothic" w:hAnsi="Yu Gothic"/>
        </w:rPr>
        <w:t xml:space="preserve">洗面所・便所：車椅子対応の多目的トイレを複数箇所</w:t>
      </w:r>
    </w:p>
    <w:p>
      <w:pPr>
        <w:pStyle w:val="ListParagraph"/>
        <w:numPr>
          <w:ilvl w:val="0"/>
          <w:numId w:val="1"/>
        </w:numPr>
        <w:spacing w:after="80"/>
      </w:pPr>
      <w:r>
        <w:rPr>
          <w:rFonts w:ascii="Yu Gothic" w:cs="Yu Gothic" w:eastAsia="Yu Gothic" w:hAnsi="Yu Gothic"/>
        </w:rPr>
        <w:t xml:space="preserve">多目的室・静養室：体調不良時に休める場所</w:t>
      </w:r>
    </w:p>
    <w:p>
      <w:pPr>
        <w:pStyle w:val="ListParagraph"/>
        <w:numPr>
          <w:ilvl w:val="0"/>
          <w:numId w:val="1"/>
        </w:numPr>
        <w:spacing w:after="80"/>
      </w:pPr>
      <w:r>
        <w:rPr>
          <w:rFonts w:ascii="Yu Gothic" w:cs="Yu Gothic" w:eastAsia="Yu Gothic" w:hAnsi="Yu Gothic"/>
        </w:rPr>
        <w:t xml:space="preserve">事務室</w:t>
      </w:r>
    </w:p>
    <w:p>
      <w:pPr>
        <w:pStyle w:val="ListParagraph"/>
        <w:numPr>
          <w:ilvl w:val="0"/>
          <w:numId w:val="1"/>
        </w:numPr>
        <w:spacing w:after="80"/>
      </w:pPr>
      <w:r>
        <w:rPr>
          <w:rFonts w:ascii="Yu Gothic" w:cs="Yu Gothic" w:eastAsia="Yu Gothic" w:hAnsi="Yu Gothic"/>
        </w:rPr>
        <w:t xml:space="preserve">浴室・脱衣所：入浴を希望者週2回実施する前提で、バリアフリー浴槽・リフト等を検討</w:t>
      </w:r>
    </w:p>
    <w:p>
      <w:pPr>
        <w:pStyle w:val="ListParagraph"/>
        <w:numPr>
          <w:ilvl w:val="0"/>
          <w:numId w:val="1"/>
        </w:numPr>
        <w:spacing w:after="80"/>
      </w:pPr>
      <w:r>
        <w:rPr>
          <w:rFonts w:ascii="Yu Gothic" w:cs="Yu Gothic" w:eastAsia="Yu Gothic" w:hAnsi="Yu Gothic"/>
        </w:rPr>
        <w:t xml:space="preserve">調理関連スペース：食事は外部委託を基本とするが、盛付・配膳・保管のスペースは必要(保健所への集団給食施設の届出要否を要確認)</w:t>
      </w:r>
    </w:p>
    <w:p>
      <w:pPr>
        <w:pStyle w:val="Heading2"/>
        <w:spacing w:after="120" w:before="240"/>
      </w:pPr>
      <w:r>
        <w:rPr>
          <w:rFonts w:ascii="Yu Gothic" w:cs="Yu Gothic" w:eastAsia="Yu Gothic" w:hAnsi="Yu Gothic"/>
          <w:b/>
          <w:bCs/>
          <w:color w:val="1F4E78"/>
          <w:sz w:val="24"/>
          <w:szCs w:val="24"/>
        </w:rPr>
        <w:t xml:space="preserve">7-2. 物件条件(改訂：面積・賃料を実勢水準に是正)</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shd w:fill="1F4E78" w:val="clear"/>
            <w:tcMar>
              <w:top w:type="dxa" w:w="60"/>
              <w:left w:type="dxa" w:w="100"/>
              <w:bottom w:type="dxa" w:w="60"/>
              <w:right w:type="dxa" w:w="100"/>
            </w:tcMar>
          </w:tcPr>
          <w:p>
            <w:pPr>
              <w:jc w:val="center"/>
            </w:pPr>
            <w:r>
              <w:rPr>
                <w:rFonts w:ascii="Yu Gothic" w:cs="Yu Gothic" w:eastAsia="Yu Gothic" w:hAnsi="Yu Gothic"/>
                <w:b/>
                <w:bCs/>
                <w:sz w:val="19"/>
                <w:szCs w:val="19"/>
              </w:rPr>
              <w:t xml:space="preserve">項目</w:t>
            </w:r>
          </w:p>
        </w:tc>
        <w:tc>
          <w:tcPr>
            <w:tcW w:type="dxa" w:w="7000"/>
            <w:shd w:fill="1F4E78" w:val="clear"/>
            <w:tcMar>
              <w:top w:type="dxa" w:w="60"/>
              <w:left w:type="dxa" w:w="100"/>
              <w:bottom w:type="dxa" w:w="60"/>
              <w:right w:type="dxa" w:w="100"/>
            </w:tcMar>
          </w:tcPr>
          <w:p>
            <w:pPr>
              <w:jc w:val="center"/>
            </w:pPr>
            <w:r>
              <w:rPr>
                <w:rFonts w:ascii="Yu Gothic" w:cs="Yu Gothic" w:eastAsia="Yu Gothic" w:hAnsi="Yu Gothic"/>
                <w:b/>
                <w:bCs/>
                <w:sz w:val="19"/>
                <w:szCs w:val="19"/>
              </w:rPr>
              <w:t xml:space="preserve">想定</w:t>
            </w:r>
          </w:p>
        </w:tc>
      </w:tr>
      <w:tr>
        <w:tc>
          <w:tcPr>
            <w:tcW w:type="dxa" w:w="23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延床面積</w:t>
            </w:r>
          </w:p>
        </w:tc>
        <w:tc>
          <w:tcPr>
            <w:tcW w:type="dxa" w:w="70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250〜350㎡程度(定員20名・車椅子利用者を含む重度対応・事務/相談/静養スペースを踏まえた実務標準。改訂前の120〜180㎡は明らかに不足)</w:t>
            </w:r>
          </w:p>
        </w:tc>
      </w:tr>
      <w:tr>
        <w:tc>
          <w:tcPr>
            <w:tcW w:type="dxa" w:w="23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立地条件</w:t>
            </w:r>
          </w:p>
        </w:tc>
        <w:tc>
          <w:tcPr>
            <w:tcW w:type="dxa" w:w="70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送迎車両が停車しやすい前面道路、平面駐車場(最低10台分程度)</w:t>
            </w:r>
          </w:p>
        </w:tc>
      </w:tr>
      <w:tr>
        <w:tc>
          <w:tcPr>
            <w:tcW w:type="dxa" w:w="23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建物形態</w:t>
            </w:r>
          </w:p>
        </w:tc>
        <w:tc>
          <w:tcPr>
            <w:tcW w:type="dxa" w:w="70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元デイサービス・元クリニック等の「居抜き物件」を最優先で探索。次点で貸店舗・貸倉庫等の一般物件からの改修</w:t>
            </w:r>
          </w:p>
        </w:tc>
      </w:tr>
      <w:tr>
        <w:tc>
          <w:tcPr>
            <w:tcW w:type="dxa" w:w="23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想定賃料</w:t>
            </w:r>
          </w:p>
        </w:tc>
        <w:tc>
          <w:tcPr>
            <w:tcW w:type="dxa" w:w="70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月40万円程度(佐伯区・西区、延床250〜350㎡、坪3,500〜4,500円相当で試算。要現地調査)</w:t>
            </w:r>
          </w:p>
        </w:tc>
      </w:tr>
    </w:tbl>
    <w:p>
      <w:pPr>
        <w:pStyle w:val="Heading2"/>
        <w:spacing w:after="120" w:before="240"/>
      </w:pPr>
      <w:r>
        <w:rPr>
          <w:rFonts w:ascii="Yu Gothic" w:cs="Yu Gothic" w:eastAsia="Yu Gothic" w:hAnsi="Yu Gothic"/>
          <w:b/>
          <w:bCs/>
          <w:color w:val="1F4E78"/>
          <w:sz w:val="24"/>
          <w:szCs w:val="24"/>
        </w:rPr>
        <w:t xml:space="preserve">7-3. 法令適合チェックリスト(新設：経営者・審査担当者双方から必須指摘)</w:t>
      </w:r>
    </w:p>
    <w:p>
      <w:pPr>
        <w:spacing w:after="120" w:before="0"/>
      </w:pPr>
      <w:r>
        <w:rPr>
          <w:rFonts w:ascii="Yu Gothic" w:cs="Yu Gothic" w:eastAsia="Yu Gothic" w:hAnsi="Yu Gothic"/>
        </w:rPr>
        <w:t xml:space="preserve">物件を契約する前に、以下を必ず確認する。「契約してから用途変更できないと判明」は業界で最も多い失敗の一つ。</w:t>
      </w:r>
    </w:p>
    <w:p>
      <w:pPr>
        <w:spacing w:after="120" w:before="0"/>
      </w:pPr>
      <w:r>
        <w:rPr>
          <w:rFonts w:ascii="Yu Gothic" w:cs="Yu Gothic" w:eastAsia="Yu Gothic" w:hAnsi="Yu Gothic"/>
          <w:b/>
          <w:bCs/>
        </w:rPr>
        <w:t xml:space="preserve">建築士(できれば福祉施設の実績がある事務所)への事前相談を、物件の内見段階から並行させること。</w:t>
      </w:r>
    </w:p>
    <w:p>
      <w:pPr>
        <w:pStyle w:val="Heading2"/>
        <w:spacing w:after="120" w:before="240"/>
      </w:pPr>
      <w:r>
        <w:rPr>
          <w:rFonts w:ascii="Yu Gothic" w:cs="Yu Gothic" w:eastAsia="Yu Gothic" w:hAnsi="Yu Gothic"/>
          <w:b/>
          <w:bCs/>
          <w:color w:val="1F4E78"/>
          <w:sz w:val="24"/>
          <w:szCs w:val="24"/>
        </w:rPr>
        <w:t xml:space="preserve">7-4. 送迎車両</w:t>
      </w:r>
    </w:p>
    <w:p>
      <w:pPr>
        <w:pStyle w:val="ListParagraph"/>
        <w:numPr>
          <w:ilvl w:val="0"/>
          <w:numId w:val="1"/>
        </w:numPr>
        <w:spacing w:after="80"/>
      </w:pPr>
      <w:r>
        <w:rPr>
          <w:rFonts w:ascii="Yu Gothic" w:cs="Yu Gothic" w:eastAsia="Yu Gothic" w:hAnsi="Yu Gothic"/>
        </w:rPr>
        <w:t xml:space="preserve">福祉車両(車椅子対応リフト・スロープ付き)を2台程度用意(購入前提、維持費は年間90万円程度)</w:t>
      </w:r>
    </w:p>
    <w:p>
      <w:pPr>
        <w:pStyle w:val="ListParagraph"/>
        <w:numPr>
          <w:ilvl w:val="0"/>
          <w:numId w:val="1"/>
        </w:numPr>
        <w:spacing w:after="80"/>
      </w:pPr>
      <w:r>
        <w:rPr>
          <w:rFonts w:ascii="Yu Gothic" w:cs="Yu Gothic" w:eastAsia="Yu Gothic" w:hAnsi="Yu Gothic"/>
        </w:rPr>
        <w:t xml:space="preserve">定員11人以上の車両を使用する場合は安全運転管理者の選任・アルコール検知器によるチェックが義務化される点に留意</w:t>
      </w:r>
    </w:p>
    <w:p>
      <w:pPr>
        <w:pStyle w:val="Heading1"/>
        <w:spacing w:after="160" w:before="360"/>
      </w:pPr>
      <w:r>
        <w:rPr>
          <w:rFonts w:ascii="Yu Gothic" w:cs="Yu Gothic" w:eastAsia="Yu Gothic" w:hAnsi="Yu Gothic"/>
          <w:b/>
          <w:bCs/>
          <w:color w:val="1F4E78"/>
          <w:sz w:val="30"/>
          <w:szCs w:val="30"/>
        </w:rPr>
        <w:t xml:space="preserve">8. 指定申請スケジュール</w:t>
      </w:r>
    </w:p>
    <w:p>
      <w:pPr>
        <w:spacing w:after="120" w:before="0"/>
      </w:pPr>
      <w:r>
        <w:rPr>
          <w:rFonts w:ascii="Yu Gothic" w:cs="Yu Gothic" w:eastAsia="Yu Gothic" w:hAnsi="Yu Gothic"/>
        </w:rPr>
        <w:t xml:space="preserve">広島市(政令指定都市のため広島市自身が指定権者)への事前相談・指定申請の一般的な流れは以下のとおり。申請受付締切日・審査期間・様式・上乗せ基準は必ず広島市 健康福祉局障害福祉部 障害自立支援課 事業者指導・指定係(TEL：082-504-2841)に確認すること。</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00"/>
      </w:tblGrid>
      <w:tr>
        <w:trPr>
          <w:tblHeader/>
        </w:trPr>
        <w:tc>
          <w:tcPr>
            <w:tcW w:type="dxa" w:w="2400"/>
            <w:shd w:fill="1F4E78" w:val="clear"/>
            <w:tcMar>
              <w:top w:type="dxa" w:w="60"/>
              <w:left w:type="dxa" w:w="100"/>
              <w:bottom w:type="dxa" w:w="60"/>
              <w:right w:type="dxa" w:w="100"/>
            </w:tcMar>
          </w:tcPr>
          <w:p>
            <w:pPr>
              <w:jc w:val="center"/>
            </w:pPr>
            <w:r>
              <w:rPr>
                <w:rFonts w:ascii="Yu Gothic" w:cs="Yu Gothic" w:eastAsia="Yu Gothic" w:hAnsi="Yu Gothic"/>
                <w:b/>
                <w:bCs/>
                <w:sz w:val="19"/>
                <w:szCs w:val="19"/>
              </w:rPr>
              <w:t xml:space="preserve">フェーズ</w:t>
            </w:r>
          </w:p>
        </w:tc>
        <w:tc>
          <w:tcPr>
            <w:tcW w:type="dxa" w:w="4400"/>
            <w:shd w:fill="1F4E78" w:val="clear"/>
            <w:tcMar>
              <w:top w:type="dxa" w:w="60"/>
              <w:left w:type="dxa" w:w="100"/>
              <w:bottom w:type="dxa" w:w="60"/>
              <w:right w:type="dxa" w:w="100"/>
            </w:tcMar>
          </w:tcPr>
          <w:p>
            <w:pPr>
              <w:jc w:val="center"/>
            </w:pPr>
            <w:r>
              <w:rPr>
                <w:rFonts w:ascii="Yu Gothic" w:cs="Yu Gothic" w:eastAsia="Yu Gothic" w:hAnsi="Yu Gothic"/>
                <w:b/>
                <w:bCs/>
                <w:sz w:val="19"/>
                <w:szCs w:val="19"/>
              </w:rPr>
              <w:t xml:space="preserve">内容</w:t>
            </w:r>
          </w:p>
        </w:tc>
        <w:tc>
          <w:tcPr>
            <w:tcW w:type="dxa" w:w="2500"/>
            <w:shd w:fill="1F4E78" w:val="clear"/>
            <w:tcMar>
              <w:top w:type="dxa" w:w="60"/>
              <w:left w:type="dxa" w:w="100"/>
              <w:bottom w:type="dxa" w:w="60"/>
              <w:right w:type="dxa" w:w="100"/>
            </w:tcMar>
          </w:tcPr>
          <w:p>
            <w:pPr>
              <w:jc w:val="center"/>
            </w:pPr>
            <w:r>
              <w:rPr>
                <w:rFonts w:ascii="Yu Gothic" w:cs="Yu Gothic" w:eastAsia="Yu Gothic" w:hAnsi="Yu Gothic"/>
                <w:b/>
                <w:bCs/>
                <w:sz w:val="19"/>
                <w:szCs w:val="19"/>
              </w:rPr>
              <w:t xml:space="preserve">目安期間</w:t>
            </w:r>
          </w:p>
        </w:tc>
      </w:tr>
      <w:tr>
        <w:tc>
          <w:tcPr>
            <w:tcW w:type="dxa" w:w="24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① 事前相談</w:t>
            </w:r>
          </w:p>
        </w:tc>
        <w:tc>
          <w:tcPr>
            <w:tcW w:type="dxa" w:w="44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従業者配置計画書等を持参し、広島市障害自立支援課へ事前相談</w:t>
            </w:r>
          </w:p>
        </w:tc>
        <w:tc>
          <w:tcPr>
            <w:tcW w:type="dxa" w:w="25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開設の9〜12か月前</w:t>
            </w:r>
          </w:p>
        </w:tc>
      </w:tr>
      <w:tr>
        <w:tc>
          <w:tcPr>
            <w:tcW w:type="dxa" w:w="24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② 法人設立</w:t>
            </w:r>
          </w:p>
        </w:tc>
        <w:tc>
          <w:tcPr>
            <w:tcW w:type="dxa" w:w="44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定款作成(目的欄に事業内容を明記)〜登記完了</w:t>
            </w:r>
          </w:p>
        </w:tc>
        <w:tc>
          <w:tcPr>
            <w:tcW w:type="dxa" w:w="25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事前相談と並行、2〜4週間</w:t>
            </w:r>
          </w:p>
        </w:tc>
      </w:tr>
      <w:tr>
        <w:tc>
          <w:tcPr>
            <w:tcW w:type="dxa" w:w="24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③ 物件探索・法令適合確認</w:t>
            </w:r>
          </w:p>
        </w:tc>
        <w:tc>
          <w:tcPr>
            <w:tcW w:type="dxa" w:w="44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居抜き物件を優先探索。建築士・消防署予防課への事前相談を並行</w:t>
            </w:r>
          </w:p>
        </w:tc>
        <w:tc>
          <w:tcPr>
            <w:tcW w:type="dxa" w:w="25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2〜4か月</w:t>
            </w:r>
          </w:p>
        </w:tc>
      </w:tr>
      <w:tr>
        <w:tc>
          <w:tcPr>
            <w:tcW w:type="dxa" w:w="24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④ 物件契約〜用途変更確認申請</w:t>
            </w:r>
          </w:p>
        </w:tc>
        <w:tc>
          <w:tcPr>
            <w:tcW w:type="dxa" w:w="44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用途変更確認申請、消防法令適合通知の取得</w:t>
            </w:r>
          </w:p>
        </w:tc>
        <w:tc>
          <w:tcPr>
            <w:tcW w:type="dxa" w:w="25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1.5〜3か月</w:t>
            </w:r>
          </w:p>
        </w:tc>
      </w:tr>
      <w:tr>
        <w:tc>
          <w:tcPr>
            <w:tcW w:type="dxa" w:w="24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⑤ 内装工事</w:t>
            </w:r>
          </w:p>
        </w:tc>
        <w:tc>
          <w:tcPr>
            <w:tcW w:type="dxa" w:w="44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バリアフリー改修・消防設備工事</w:t>
            </w:r>
          </w:p>
        </w:tc>
        <w:tc>
          <w:tcPr>
            <w:tcW w:type="dxa" w:w="25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1〜2.5か月(居抜きは短縮)</w:t>
            </w:r>
          </w:p>
        </w:tc>
      </w:tr>
      <w:tr>
        <w:tc>
          <w:tcPr>
            <w:tcW w:type="dxa" w:w="24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⑥ 人材採用</w:t>
            </w:r>
          </w:p>
        </w:tc>
        <w:tc>
          <w:tcPr>
            <w:tcW w:type="dxa" w:w="44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サビ管(丸山氏)は確保済み。看護職員・機能訓練指導員・生活支援員等の採用</w:t>
            </w:r>
          </w:p>
        </w:tc>
        <w:tc>
          <w:tcPr>
            <w:tcW w:type="dxa" w:w="25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開設6か月以上前から着手</w:t>
            </w:r>
          </w:p>
        </w:tc>
      </w:tr>
      <w:tr>
        <w:tc>
          <w:tcPr>
            <w:tcW w:type="dxa" w:w="24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⑦ 指定申請書提出</w:t>
            </w:r>
          </w:p>
        </w:tc>
        <w:tc>
          <w:tcPr>
            <w:tcW w:type="dxa" w:w="44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申請様式一式・従業者の勤務体制一覧(氏名記載)等の提出</w:t>
            </w:r>
          </w:p>
        </w:tc>
        <w:tc>
          <w:tcPr>
            <w:tcW w:type="dxa" w:w="25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開設希望月の前々月〜前月頭</w:t>
            </w:r>
          </w:p>
        </w:tc>
      </w:tr>
      <w:tr>
        <w:tc>
          <w:tcPr>
            <w:tcW w:type="dxa" w:w="24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⑧ 審査</w:t>
            </w:r>
          </w:p>
        </w:tc>
        <w:tc>
          <w:tcPr>
            <w:tcW w:type="dxa" w:w="44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書類審査・実地確認等</w:t>
            </w:r>
          </w:p>
        </w:tc>
        <w:tc>
          <w:tcPr>
            <w:tcW w:type="dxa" w:w="25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提出から1〜2か月</w:t>
            </w:r>
          </w:p>
        </w:tc>
      </w:tr>
      <w:tr>
        <w:tc>
          <w:tcPr>
            <w:tcW w:type="dxa" w:w="24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⑨ 指定</w:t>
            </w:r>
          </w:p>
        </w:tc>
        <w:tc>
          <w:tcPr>
            <w:tcW w:type="dxa" w:w="44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原則、月初(1日付)指定</w:t>
            </w:r>
          </w:p>
        </w:tc>
        <w:tc>
          <w:tcPr>
            <w:tcW w:type="dxa" w:w="25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審査完了後の翌月1日等</w:t>
            </w:r>
          </w:p>
        </w:tc>
      </w:tr>
      <w:tr>
        <w:tc>
          <w:tcPr>
            <w:tcW w:type="dxa" w:w="24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⑩ 開所</w:t>
            </w:r>
          </w:p>
        </w:tc>
        <w:tc>
          <w:tcPr>
            <w:tcW w:type="dxa" w:w="44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指定日から事業開始</w:t>
            </w:r>
          </w:p>
        </w:tc>
        <w:tc>
          <w:tcPr>
            <w:tcW w:type="dxa" w:w="25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w:t>
            </w:r>
          </w:p>
        </w:tc>
      </w:tr>
    </w:tbl>
    <w:p>
      <w:pPr>
        <w:pStyle w:val="Heading2"/>
        <w:spacing w:after="120" w:before="240"/>
      </w:pPr>
      <w:r>
        <w:rPr>
          <w:rFonts w:ascii="Yu Gothic" w:cs="Yu Gothic" w:eastAsia="Yu Gothic" w:hAnsi="Yu Gothic"/>
          <w:b/>
          <w:bCs/>
          <w:color w:val="1F4E78"/>
          <w:sz w:val="24"/>
          <w:szCs w:val="24"/>
        </w:rPr>
        <w:t xml:space="preserve">8-1. 開設時期についての現実的な評価(改訂)</w:t>
      </w:r>
    </w:p>
    <w:p>
      <w:pPr>
        <w:spacing w:after="120" w:before="0"/>
      </w:pPr>
      <w:r>
        <w:rPr>
          <w:rFonts w:ascii="Yu Gothic" w:cs="Yu Gothic" w:eastAsia="Yu Gothic" w:hAnsi="Yu Gothic"/>
        </w:rPr>
        <w:t xml:space="preserve">改訂前の計画は「半年以内(2027年2月)」を目標としつつ、本文中で「8〜10か月」「6か月は射程内」という3つの異なる結論が同一文書内に併存しており、指摘を受けた。以下に統一する。</w:t>
      </w:r>
    </w:p>
    <w:p>
      <w:pPr>
        <w:pStyle w:val="ListParagraph"/>
        <w:numPr>
          <w:ilvl w:val="0"/>
          <w:numId w:val="1"/>
        </w:numPr>
        <w:spacing w:after="80"/>
      </w:pPr>
      <w:r>
        <w:rPr>
          <w:rFonts w:ascii="Yu Gothic" w:cs="Yu Gothic" w:eastAsia="Yu Gothic" w:hAnsi="Yu Gothic"/>
        </w:rPr>
        <w:t xml:space="preserve">サービス管理責任者(丸山氏)の確保は強みであり、他の新設案件と比べてこの点のスケジュールリスクは低い。</w:t>
      </w:r>
    </w:p>
    <w:p>
      <w:pPr>
        <w:pStyle w:val="ListParagraph"/>
        <w:numPr>
          <w:ilvl w:val="0"/>
          <w:numId w:val="1"/>
        </w:numPr>
        <w:spacing w:after="80"/>
      </w:pPr>
      <w:r>
        <w:rPr>
          <w:rFonts w:ascii="Yu Gothic" w:cs="Yu Gothic" w:eastAsia="Yu Gothic" w:hAnsi="Yu Gothic"/>
        </w:rPr>
        <w:t xml:space="preserve">一方、用途変更確認申請(必要な場合、1〜3か月)・消防法令適合の確認・物件探索・看護職員等の採用が新たな律速要因として明確になった。事前相談(開設の9〜12か月前が目安)から逆算すると、最短でも9か月、現実的には10〜12か月を見込むべきである。</w:t>
      </w:r>
    </w:p>
    <w:p>
      <w:pPr>
        <w:pStyle w:val="ListParagraph"/>
        <w:numPr>
          <w:ilvl w:val="0"/>
          <w:numId w:val="1"/>
        </w:numPr>
        <w:spacing w:after="80"/>
      </w:pPr>
      <w:r>
        <w:rPr>
          <w:rFonts w:ascii="Yu Gothic" w:cs="Yu Gothic" w:eastAsia="Yu Gothic" w:hAnsi="Yu Gothic"/>
        </w:rPr>
        <w:t xml:space="preserve">特別支援学校卒業生の進路決定サイクル(前年秋〜冬)に合わせるなら、開所は4月が最も稼働率確保に有利。2027年2月開所では2027年4月入所組の進路決定に間に合わない。</w:t>
      </w:r>
    </w:p>
    <w:p>
      <w:pPr>
        <w:pStyle w:val="ListParagraph"/>
        <w:numPr>
          <w:ilvl w:val="0"/>
          <w:numId w:val="1"/>
        </w:numPr>
        <w:spacing w:after="80"/>
      </w:pPr>
      <w:r>
        <w:rPr>
          <w:rFonts w:ascii="Yu Gothic" w:cs="Yu Gothic" w:eastAsia="Yu Gothic" w:hAnsi="Yu Gothic"/>
        </w:rPr>
        <w:t xml:space="preserve">以上を踏まえ、開設目標時期を2027年6〜8月(現実的な最短ライン)、営業活動を2028年4月入所組を主対象として組み立てることを推奨する。</w:t>
      </w:r>
    </w:p>
    <w:p>
      <w:pPr>
        <w:pStyle w:val="Heading1"/>
        <w:spacing w:after="160" w:before="360"/>
      </w:pPr>
      <w:r>
        <w:rPr>
          <w:rFonts w:ascii="Yu Gothic" w:cs="Yu Gothic" w:eastAsia="Yu Gothic" w:hAnsi="Yu Gothic"/>
          <w:b/>
          <w:bCs/>
          <w:color w:val="1F4E78"/>
          <w:sz w:val="30"/>
          <w:szCs w:val="30"/>
        </w:rPr>
        <w:t xml:space="preserve">9. 資金計画(開設資金)</w:t>
      </w:r>
    </w:p>
    <w:p>
      <w:pPr>
        <w:pStyle w:val="Heading2"/>
        <w:spacing w:after="120" w:before="240"/>
      </w:pPr>
      <w:r>
        <w:rPr>
          <w:rFonts w:ascii="Yu Gothic" w:cs="Yu Gothic" w:eastAsia="Yu Gothic" w:hAnsi="Yu Gothic"/>
          <w:b/>
          <w:bCs/>
          <w:color w:val="1F4E78"/>
          <w:sz w:val="24"/>
          <w:szCs w:val="24"/>
        </w:rPr>
        <w:t xml:space="preserve">9-1. 初期投資(改訂：面積是正・消費税・用途変更費等を反映)</w:t>
      </w:r>
    </w:p>
    <w:p>
      <w:pPr>
        <w:spacing w:after="120" w:before="0"/>
      </w:pPr>
      <w:r>
        <w:rPr>
          <w:rFonts w:ascii="Yu Gothic" w:cs="Yu Gothic" w:eastAsia="Yu Gothic" w:hAnsi="Yu Gothic"/>
        </w:rPr>
        <w:t xml:space="preserve">以下は別紙Excel「初期投資」シートと連動した概算(税込)。居抜き物件を優先活用するケースA(推奨)を基本とする。</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00"/>
      </w:tblGrid>
      <w:tr>
        <w:trPr>
          <w:tblHeader/>
        </w:trPr>
        <w:tc>
          <w:tcPr>
            <w:tcW w:type="dxa" w:w="3000"/>
            <w:shd w:fill="1F4E78" w:val="clear"/>
            <w:tcMar>
              <w:top w:type="dxa" w:w="60"/>
              <w:left w:type="dxa" w:w="100"/>
              <w:bottom w:type="dxa" w:w="60"/>
              <w:right w:type="dxa" w:w="100"/>
            </w:tcMar>
          </w:tcPr>
          <w:p>
            <w:pPr>
              <w:jc w:val="center"/>
            </w:pPr>
            <w:r>
              <w:rPr>
                <w:rFonts w:ascii="Yu Gothic" w:cs="Yu Gothic" w:eastAsia="Yu Gothic" w:hAnsi="Yu Gothic"/>
                <w:b/>
                <w:bCs/>
                <w:sz w:val="19"/>
                <w:szCs w:val="19"/>
              </w:rPr>
              <w:t xml:space="preserve">項目</w:t>
            </w:r>
          </w:p>
        </w:tc>
        <w:tc>
          <w:tcPr>
            <w:tcW w:type="dxa" w:w="2500"/>
            <w:shd w:fill="1F4E78" w:val="clear"/>
            <w:tcMar>
              <w:top w:type="dxa" w:w="60"/>
              <w:left w:type="dxa" w:w="100"/>
              <w:bottom w:type="dxa" w:w="60"/>
              <w:right w:type="dxa" w:w="100"/>
            </w:tcMar>
          </w:tcPr>
          <w:p>
            <w:pPr>
              <w:jc w:val="center"/>
            </w:pPr>
            <w:r>
              <w:rPr>
                <w:rFonts w:ascii="Yu Gothic" w:cs="Yu Gothic" w:eastAsia="Yu Gothic" w:hAnsi="Yu Gothic"/>
                <w:b/>
                <w:bCs/>
                <w:sz w:val="19"/>
                <w:szCs w:val="19"/>
              </w:rPr>
              <w:t xml:space="preserve">想定額(税込)</w:t>
            </w:r>
          </w:p>
        </w:tc>
        <w:tc>
          <w:tcPr>
            <w:tcW w:type="dxa" w:w="3800"/>
            <w:shd w:fill="1F4E78" w:val="clear"/>
            <w:tcMar>
              <w:top w:type="dxa" w:w="60"/>
              <w:left w:type="dxa" w:w="100"/>
              <w:bottom w:type="dxa" w:w="60"/>
              <w:right w:type="dxa" w:w="100"/>
            </w:tcMar>
          </w:tcPr>
          <w:p>
            <w:pPr>
              <w:jc w:val="center"/>
            </w:pPr>
            <w:r>
              <w:rPr>
                <w:rFonts w:ascii="Yu Gothic" w:cs="Yu Gothic" w:eastAsia="Yu Gothic" w:hAnsi="Yu Gothic"/>
                <w:b/>
                <w:bCs/>
                <w:sz w:val="19"/>
                <w:szCs w:val="19"/>
              </w:rPr>
              <w:t xml:space="preserve">備考</w:t>
            </w:r>
          </w:p>
        </w:tc>
      </w:tr>
      <w:tr>
        <w:tc>
          <w:tcPr>
            <w:tcW w:type="dxa" w:w="30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物件取得費(保証金・仲介手数料等)</w:t>
            </w:r>
          </w:p>
        </w:tc>
        <w:tc>
          <w:tcPr>
            <w:tcW w:type="dxa" w:w="25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400万円</w:t>
            </w:r>
          </w:p>
        </w:tc>
        <w:tc>
          <w:tcPr>
            <w:tcW w:type="dxa" w:w="38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延床250〜350㎡の賃貸物件を想定</w:t>
            </w:r>
          </w:p>
        </w:tc>
      </w:tr>
      <w:tr>
        <w:tc>
          <w:tcPr>
            <w:tcW w:type="dxa" w:w="30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内装・バリアフリー改修工事費</w:t>
            </w:r>
          </w:p>
        </w:tc>
        <w:tc>
          <w:tcPr>
            <w:tcW w:type="dxa" w:w="25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800万円</w:t>
            </w:r>
          </w:p>
        </w:tc>
        <w:tc>
          <w:tcPr>
            <w:tcW w:type="dxa" w:w="38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居抜き物件活用が前提(一般物件の場合は1,800万〜2,700万円に上振れ)</w:t>
            </w:r>
          </w:p>
        </w:tc>
      </w:tr>
      <w:tr>
        <w:tc>
          <w:tcPr>
            <w:tcW w:type="dxa" w:w="30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用途変更確認申請・設計費</w:t>
            </w:r>
          </w:p>
        </w:tc>
        <w:tc>
          <w:tcPr>
            <w:tcW w:type="dxa" w:w="25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100万円</w:t>
            </w:r>
          </w:p>
        </w:tc>
        <w:tc>
          <w:tcPr>
            <w:tcW w:type="dxa" w:w="38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延床200㎡超は原則必要だが、転用元が類似用途の場合は不要となる余地あり(建築士の判定待ち)</w:t>
            </w:r>
          </w:p>
        </w:tc>
      </w:tr>
      <w:tr>
        <w:tc>
          <w:tcPr>
            <w:tcW w:type="dxa" w:w="30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消防用設備工事費</w:t>
            </w:r>
          </w:p>
        </w:tc>
        <w:tc>
          <w:tcPr>
            <w:tcW w:type="dxa" w:w="25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100万円</w:t>
            </w:r>
          </w:p>
        </w:tc>
        <w:tc>
          <w:tcPr>
            <w:tcW w:type="dxa" w:w="38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居抜きで既存設備を流用できる場合の想定</w:t>
            </w:r>
          </w:p>
        </w:tc>
      </w:tr>
      <w:tr>
        <w:tc>
          <w:tcPr>
            <w:tcW w:type="dxa" w:w="30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什器・備品費</w:t>
            </w:r>
          </w:p>
        </w:tc>
        <w:tc>
          <w:tcPr>
            <w:tcW w:type="dxa" w:w="25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250万円</w:t>
            </w:r>
          </w:p>
        </w:tc>
        <w:tc>
          <w:tcPr>
            <w:tcW w:type="dxa" w:w="38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
            </w:r>
          </w:p>
        </w:tc>
      </w:tr>
      <w:tr>
        <w:tc>
          <w:tcPr>
            <w:tcW w:type="dxa" w:w="30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送迎車両(福祉車両2台・購入)</w:t>
            </w:r>
          </w:p>
        </w:tc>
        <w:tc>
          <w:tcPr>
            <w:tcW w:type="dxa" w:w="25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600万円</w:t>
            </w:r>
          </w:p>
        </w:tc>
        <w:tc>
          <w:tcPr>
            <w:tcW w:type="dxa" w:w="38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
            </w:r>
          </w:p>
        </w:tc>
      </w:tr>
      <w:tr>
        <w:tc>
          <w:tcPr>
            <w:tcW w:type="dxa" w:w="30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開業前人件費・採用費・研修費</w:t>
            </w:r>
          </w:p>
        </w:tc>
        <w:tc>
          <w:tcPr>
            <w:tcW w:type="dxa" w:w="25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400万円</w:t>
            </w:r>
          </w:p>
        </w:tc>
        <w:tc>
          <w:tcPr>
            <w:tcW w:type="dxa" w:w="38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生活支援員等5〜6名の採用費を含む</w:t>
            </w:r>
          </w:p>
        </w:tc>
      </w:tr>
      <w:tr>
        <w:tc>
          <w:tcPr>
            <w:tcW w:type="dxa" w:w="30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法人設立費用</w:t>
            </w:r>
          </w:p>
        </w:tc>
        <w:tc>
          <w:tcPr>
            <w:tcW w:type="dxa" w:w="25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30万円</w:t>
            </w:r>
          </w:p>
        </w:tc>
        <w:tc>
          <w:tcPr>
            <w:tcW w:type="dxa" w:w="38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
            </w:r>
          </w:p>
        </w:tc>
      </w:tr>
      <w:tr>
        <w:tc>
          <w:tcPr>
            <w:tcW w:type="dxa" w:w="30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予備費</w:t>
            </w:r>
          </w:p>
        </w:tc>
        <w:tc>
          <w:tcPr>
            <w:tcW w:type="dxa" w:w="25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200万円</w:t>
            </w:r>
          </w:p>
        </w:tc>
        <w:tc>
          <w:tcPr>
            <w:tcW w:type="dxa" w:w="38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
            </w:r>
          </w:p>
        </w:tc>
      </w:tr>
      <w:tr>
        <w:tc>
          <w:tcPr>
            <w:tcW w:type="dxa" w:w="30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控除対象外消費税(設備投資分の概算10%)</w:t>
            </w:r>
          </w:p>
        </w:tc>
        <w:tc>
          <w:tcPr>
            <w:tcW w:type="dxa" w:w="25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185万円</w:t>
            </w:r>
          </w:p>
        </w:tc>
        <w:tc>
          <w:tcPr>
            <w:tcW w:type="dxa" w:w="38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障害福祉サービスは非課税売上のため、設備投資の消費税は仕入税額控除できない</w:t>
            </w:r>
          </w:p>
        </w:tc>
      </w:tr>
      <w:tr>
        <w:tc>
          <w:tcPr>
            <w:tcW w:type="dxa" w:w="30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運転資金(Year1の月次資金繰りシミュレーションに基づく実測値)</w:t>
            </w:r>
          </w:p>
        </w:tc>
        <w:tc>
          <w:tcPr>
            <w:tcW w:type="dxa" w:w="25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約3,321万円</w:t>
            </w:r>
          </w:p>
        </w:tc>
        <w:tc>
          <w:tcPr>
            <w:tcW w:type="dxa" w:w="38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資金が最も枯渇する時点の累積不足額。単純な「2〜3か月分」の目安では大幅に不足することが判明したため実測ベースに変更</w:t>
            </w:r>
          </w:p>
        </w:tc>
      </w:tr>
      <w:tr>
        <w:tc>
          <w:tcPr>
            <w:tcW w:type="dxa" w:w="30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初期投資合計</w:t>
            </w:r>
          </w:p>
        </w:tc>
        <w:tc>
          <w:tcPr>
            <w:tcW w:type="dxa" w:w="25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約6,386万円</w:t>
            </w:r>
          </w:p>
        </w:tc>
        <w:tc>
          <w:tcPr>
            <w:tcW w:type="dxa" w:w="38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
            </w:r>
          </w:p>
        </w:tc>
      </w:tr>
    </w:tbl>
    <w:p>
      <w:pPr>
        <w:spacing w:after="160" w:before="80"/>
      </w:pPr>
      <w:r>
        <w:rPr>
          <w:rFonts w:ascii="Yu Gothic" w:cs="Yu Gothic" w:eastAsia="Yu Gothic" w:hAnsi="Yu Gothic"/>
          <w:b/>
          <w:bCs/>
          <w:color w:val="C00000"/>
          <w:sz w:val="20"/>
          <w:szCs w:val="20"/>
        </w:rPr>
        <w:t xml:space="preserve">⚠ 運転資金が突出して大きいのは、生活支援員等6名を含む配置基準上必要な人員体制を開所当初から維持する必要がある一方、Year1の契約者数は月を追って積み上がる(月1:3名→月12:15名)ため、収入が追いつくまでの期間が長いことによる。これは会計上の見積り誤りではなく、労働集約型・許認可型の福祉事業に共通する構造的な特徴である。</w:t>
      </w:r>
    </w:p>
    <w:p>
      <w:pPr>
        <w:pStyle w:val="Heading2"/>
        <w:spacing w:after="120" w:before="240"/>
      </w:pPr>
      <w:r>
        <w:rPr>
          <w:rFonts w:ascii="Yu Gothic" w:cs="Yu Gothic" w:eastAsia="Yu Gothic" w:hAnsi="Yu Gothic"/>
          <w:b/>
          <w:bCs/>
          <w:color w:val="1F4E78"/>
          <w:sz w:val="24"/>
          <w:szCs w:val="24"/>
        </w:rPr>
        <w:t xml:space="preserve">9-2. 資金調達計画(新設：使途と調達を突合)</w:t>
      </w:r>
    </w:p>
    <w:p>
      <w:pPr>
        <w:spacing w:after="160" w:before="80"/>
      </w:pPr>
      <w:r>
        <w:rPr>
          <w:rFonts w:ascii="Yu Gothic" w:cs="Yu Gothic" w:eastAsia="Yu Gothic" w:hAnsi="Yu Gothic"/>
          <w:b/>
          <w:bCs/>
          <w:color w:val="C00000"/>
          <w:sz w:val="20"/>
          <w:szCs w:val="20"/>
        </w:rPr>
        <w:t xml:space="preserve">⚠ 改訂(最重要)：v2初版は「運転資金＝Year1の資金繰りが最も枯渇する時点の不足額」として初期投資合計を約6,402万円、資金ギャップを約2,400万円としていた。しかし第10章の5ヵ年収支計画によれば、Year2以降も営業赤字・現金流出が続き、5年間の累積キャッシュフローは約▲7,946万円に達する(別紙Excel「収支計画5年」参照)。Year1の運転資金だけでは、開所後およそ15〜16か月目(Year2の半ば)で資金が尽きる計算になる。</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800"/>
      </w:tblGrid>
      <w:tr>
        <w:trPr>
          <w:tblHeader/>
        </w:trPr>
        <w:tc>
          <w:tcPr>
            <w:tcW w:type="dxa" w:w="4000"/>
            <w:shd w:fill="1F4E78" w:val="clear"/>
            <w:tcMar>
              <w:top w:type="dxa" w:w="60"/>
              <w:left w:type="dxa" w:w="100"/>
              <w:bottom w:type="dxa" w:w="60"/>
              <w:right w:type="dxa" w:w="100"/>
            </w:tcMar>
          </w:tcPr>
          <w:p>
            <w:pPr>
              <w:jc w:val="center"/>
            </w:pPr>
            <w:r>
              <w:rPr>
                <w:rFonts w:ascii="Yu Gothic" w:cs="Yu Gothic" w:eastAsia="Yu Gothic" w:hAnsi="Yu Gothic"/>
                <w:b/>
                <w:bCs/>
                <w:sz w:val="19"/>
                <w:szCs w:val="19"/>
              </w:rPr>
              <w:t xml:space="preserve">資金使途</w:t>
            </w:r>
          </w:p>
        </w:tc>
        <w:tc>
          <w:tcPr>
            <w:tcW w:type="dxa" w:w="2500"/>
            <w:shd w:fill="1F4E78" w:val="clear"/>
            <w:tcMar>
              <w:top w:type="dxa" w:w="60"/>
              <w:left w:type="dxa" w:w="100"/>
              <w:bottom w:type="dxa" w:w="60"/>
              <w:right w:type="dxa" w:w="100"/>
            </w:tcMar>
          </w:tcPr>
          <w:p>
            <w:pPr>
              <w:jc w:val="center"/>
            </w:pPr>
            <w:r>
              <w:rPr>
                <w:rFonts w:ascii="Yu Gothic" w:cs="Yu Gothic" w:eastAsia="Yu Gothic" w:hAnsi="Yu Gothic"/>
                <w:b/>
                <w:bCs/>
                <w:sz w:val="19"/>
                <w:szCs w:val="19"/>
              </w:rPr>
              <w:t xml:space="preserve">金額</w:t>
            </w:r>
          </w:p>
        </w:tc>
        <w:tc>
          <w:tcPr>
            <w:tcW w:type="dxa" w:w="2800"/>
            <w:shd w:fill="1F4E78" w:val="clear"/>
            <w:tcMar>
              <w:top w:type="dxa" w:w="60"/>
              <w:left w:type="dxa" w:w="100"/>
              <w:bottom w:type="dxa" w:w="60"/>
              <w:right w:type="dxa" w:w="100"/>
            </w:tcMar>
          </w:tcPr>
          <w:p>
            <w:pPr>
              <w:jc w:val="center"/>
            </w:pPr>
            <w:r>
              <w:rPr>
                <w:rFonts w:ascii="Yu Gothic" w:cs="Yu Gothic" w:eastAsia="Yu Gothic" w:hAnsi="Yu Gothic"/>
                <w:b/>
                <w:bCs/>
                <w:sz w:val="19"/>
                <w:szCs w:val="19"/>
              </w:rPr>
              <w:t xml:space="preserve">備考</w:t>
            </w:r>
          </w:p>
        </w:tc>
      </w:tr>
      <w:tr>
        <w:tc>
          <w:tcPr>
            <w:tcW w:type="dxa" w:w="40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設備投資等(初期投資合計から運転資金を除いた額)</w:t>
            </w:r>
          </w:p>
        </w:tc>
        <w:tc>
          <w:tcPr>
            <w:tcW w:type="dxa" w:w="25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約3,065万円</w:t>
            </w:r>
          </w:p>
        </w:tc>
        <w:tc>
          <w:tcPr>
            <w:tcW w:type="dxa" w:w="28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物件取得・内装・用途変更・消防設備・什器・車両・採用費・法人設立費・予備費・消費税</w:t>
            </w:r>
          </w:p>
        </w:tc>
      </w:tr>
      <w:tr>
        <w:tc>
          <w:tcPr>
            <w:tcW w:type="dxa" w:w="40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5ヵ年累積キャッシュフロー不足(Year1〜5)</w:t>
            </w:r>
          </w:p>
        </w:tc>
        <w:tc>
          <w:tcPr>
            <w:tcW w:type="dxa" w:w="25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約7,946万円</w:t>
            </w:r>
          </w:p>
        </w:tc>
        <w:tc>
          <w:tcPr>
            <w:tcW w:type="dxa" w:w="28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稼働率85%到達後も年間約753万円の営業赤字が続く前提</w:t>
            </w:r>
          </w:p>
        </w:tc>
      </w:tr>
      <w:tr>
        <w:tc>
          <w:tcPr>
            <w:tcW w:type="dxa" w:w="40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真の必要資金総額</w:t>
            </w:r>
          </w:p>
        </w:tc>
        <w:tc>
          <w:tcPr>
            <w:tcW w:type="dxa" w:w="25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約1億1,011万円</w:t>
            </w:r>
          </w:p>
        </w:tc>
        <w:tc>
          <w:tcPr>
            <w:tcW w:type="dxa" w:w="28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
            </w:r>
          </w:p>
        </w:tc>
      </w:tr>
    </w:tbl>
    <w:p>
      <w:pPr>
        <w:spacing w:after="120" w:before="0"/>
      </w:pPr>
      <w:r>
        <w:rPr>
          <w:rFonts w:ascii="Yu Gothic" w:cs="Yu Gothic" w:eastAsia="Yu Gothic" w:hAnsi="Yu Gothic"/>
        </w:rP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2900"/>
        <w:gridCol w:w="3400"/>
      </w:tblGrid>
      <w:tr>
        <w:trPr>
          <w:tblHeader/>
        </w:trPr>
        <w:tc>
          <w:tcPr>
            <w:tcW w:type="dxa" w:w="3000"/>
            <w:shd w:fill="1F4E78" w:val="clear"/>
            <w:tcMar>
              <w:top w:type="dxa" w:w="60"/>
              <w:left w:type="dxa" w:w="100"/>
              <w:bottom w:type="dxa" w:w="60"/>
              <w:right w:type="dxa" w:w="100"/>
            </w:tcMar>
          </w:tcPr>
          <w:p>
            <w:pPr>
              <w:jc w:val="center"/>
            </w:pPr>
            <w:r>
              <w:rPr>
                <w:rFonts w:ascii="Yu Gothic" w:cs="Yu Gothic" w:eastAsia="Yu Gothic" w:hAnsi="Yu Gothic"/>
                <w:b/>
                <w:bCs/>
                <w:sz w:val="19"/>
                <w:szCs w:val="19"/>
              </w:rPr>
              <w:t xml:space="preserve">資金調達</w:t>
            </w:r>
          </w:p>
        </w:tc>
        <w:tc>
          <w:tcPr>
            <w:tcW w:type="dxa" w:w="2900"/>
            <w:shd w:fill="1F4E78" w:val="clear"/>
            <w:tcMar>
              <w:top w:type="dxa" w:w="60"/>
              <w:left w:type="dxa" w:w="100"/>
              <w:bottom w:type="dxa" w:w="60"/>
              <w:right w:type="dxa" w:w="100"/>
            </w:tcMar>
          </w:tcPr>
          <w:p>
            <w:pPr>
              <w:jc w:val="center"/>
            </w:pPr>
            <w:r>
              <w:rPr>
                <w:rFonts w:ascii="Yu Gothic" w:cs="Yu Gothic" w:eastAsia="Yu Gothic" w:hAnsi="Yu Gothic"/>
                <w:b/>
                <w:bCs/>
                <w:sz w:val="19"/>
                <w:szCs w:val="19"/>
              </w:rPr>
              <w:t xml:space="preserve">金額</w:t>
            </w:r>
          </w:p>
        </w:tc>
        <w:tc>
          <w:tcPr>
            <w:tcW w:type="dxa" w:w="3400"/>
            <w:shd w:fill="1F4E78" w:val="clear"/>
            <w:tcMar>
              <w:top w:type="dxa" w:w="60"/>
              <w:left w:type="dxa" w:w="100"/>
              <w:bottom w:type="dxa" w:w="60"/>
              <w:right w:type="dxa" w:w="100"/>
            </w:tcMar>
          </w:tcPr>
          <w:p>
            <w:pPr>
              <w:jc w:val="center"/>
            </w:pPr>
            <w:r>
              <w:rPr>
                <w:rFonts w:ascii="Yu Gothic" w:cs="Yu Gothic" w:eastAsia="Yu Gothic" w:hAnsi="Yu Gothic"/>
                <w:b/>
                <w:bCs/>
                <w:sz w:val="19"/>
                <w:szCs w:val="19"/>
              </w:rPr>
              <w:t xml:space="preserve">備考</w:t>
            </w:r>
          </w:p>
        </w:tc>
      </w:tr>
      <w:tr>
        <w:tc>
          <w:tcPr>
            <w:tcW w:type="dxa" w:w="30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自己資金(丸山氏・豊口氏合計)</w:t>
            </w:r>
          </w:p>
        </w:tc>
        <w:tc>
          <w:tcPr>
            <w:tcW w:type="dxa" w:w="29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500万円(要確定)</w:t>
            </w:r>
          </w:p>
        </w:tc>
        <w:tc>
          <w:tcPr>
            <w:tcW w:type="dxa" w:w="34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内訳・比率を確定し明記すること</w:t>
            </w:r>
          </w:p>
        </w:tc>
      </w:tr>
      <w:tr>
        <w:tc>
          <w:tcPr>
            <w:tcW w:type="dxa" w:w="30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日本政策金融公庫 創業融資</w:t>
            </w:r>
          </w:p>
        </w:tc>
        <w:tc>
          <w:tcPr>
            <w:tcW w:type="dxa" w:w="29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1,500万円(要申込・審査)</w:t>
            </w:r>
          </w:p>
        </w:tc>
        <w:tc>
          <w:tcPr>
            <w:tcW w:type="dxa" w:w="34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自己資金比率が低く5年間営業赤字が続く計画のままでは楽観的すぎる可能性が高い</w:t>
            </w:r>
          </w:p>
        </w:tc>
      </w:tr>
      <w:tr>
        <w:tc>
          <w:tcPr>
            <w:tcW w:type="dxa" w:w="30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会長からの借入(下記9-3参照)</w:t>
            </w:r>
          </w:p>
        </w:tc>
        <w:tc>
          <w:tcPr>
            <w:tcW w:type="dxa" w:w="29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1,500万円(要交渉)</w:t>
            </w:r>
          </w:p>
        </w:tc>
        <w:tc>
          <w:tcPr>
            <w:tcW w:type="dxa" w:w="34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金額・金利は未確定</w:t>
            </w:r>
          </w:p>
        </w:tc>
      </w:tr>
      <w:tr>
        <w:tc>
          <w:tcPr>
            <w:tcW w:type="dxa" w:w="30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地方銀行・信用金庫 制度融資</w:t>
            </w:r>
          </w:p>
        </w:tc>
        <w:tc>
          <w:tcPr>
            <w:tcW w:type="dxa" w:w="29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500万円(要申込・審査)</w:t>
            </w:r>
          </w:p>
        </w:tc>
        <w:tc>
          <w:tcPr>
            <w:tcW w:type="dxa" w:w="34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公庫と併用可能な制度融資の活用を検討</w:t>
            </w:r>
          </w:p>
        </w:tc>
      </w:tr>
      <w:tr>
        <w:tc>
          <w:tcPr>
            <w:tcW w:type="dxa" w:w="30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調達合計</w:t>
            </w:r>
          </w:p>
        </w:tc>
        <w:tc>
          <w:tcPr>
            <w:tcW w:type="dxa" w:w="29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4,000万円</w:t>
            </w:r>
          </w:p>
        </w:tc>
        <w:tc>
          <w:tcPr>
            <w:tcW w:type="dxa" w:w="34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
            </w:r>
          </w:p>
        </w:tc>
      </w:tr>
      <w:tr>
        <w:tc>
          <w:tcPr>
            <w:tcW w:type="dxa" w:w="30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真の資金ギャップ(真の必要資金総額－調達合計)</w:t>
            </w:r>
          </w:p>
        </w:tc>
        <w:tc>
          <w:tcPr>
            <w:tcW w:type="dxa" w:w="29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約▲7,011万円</w:t>
            </w:r>
          </w:p>
        </w:tc>
        <w:tc>
          <w:tcPr>
            <w:tcW w:type="dxa" w:w="34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(参考)Year1の運転資金のみを基準にした過去の試算では約▲2,400万円としていたが、過小評価だった</w:t>
            </w:r>
          </w:p>
        </w:tc>
      </w:tr>
    </w:tbl>
    <w:p>
      <w:pPr>
        <w:spacing w:after="160" w:before="80"/>
      </w:pPr>
      <w:r>
        <w:rPr>
          <w:rFonts w:ascii="Yu Gothic" w:cs="Yu Gothic" w:eastAsia="Yu Gothic" w:hAnsi="Yu Gothic"/>
          <w:b/>
          <w:bCs/>
          <w:color w:val="C00000"/>
          <w:sz w:val="20"/>
          <w:szCs w:val="20"/>
        </w:rPr>
        <w:t xml:space="preserve">⚠ 真の資金ギャップは約7,011万円であり、「2,400万円を埋める」という規模の課題ではない。以下の優先順で対応を検討する。</w:t>
      </w:r>
    </w:p>
    <w:p>
      <w:pPr>
        <w:pStyle w:val="ListParagraph"/>
        <w:numPr>
          <w:ilvl w:val="0"/>
          <w:numId w:val="1"/>
        </w:numPr>
        <w:spacing w:after="80"/>
      </w:pPr>
      <w:r>
        <w:rPr>
          <w:rFonts w:ascii="Yu Gothic" w:cs="Yu Gothic" w:eastAsia="Yu Gothic" w:hAnsi="Yu Gothic"/>
        </w:rPr>
        <w:t xml:space="preserve">収支構造そのものを見直す(最優先)：第10-4章のとおり、法定最低ラインへの人員配置の近接、取り漏れている加算の取得を反映すれば、5年間の累積不足額そのものが大きく縮小する可能性が高い。資金調達の交渉に進む前に、この再計算を必ず行う。</w:t>
      </w:r>
    </w:p>
    <w:p>
      <w:pPr>
        <w:pStyle w:val="ListParagraph"/>
        <w:numPr>
          <w:ilvl w:val="0"/>
          <w:numId w:val="1"/>
        </w:numPr>
        <w:spacing w:after="80"/>
      </w:pPr>
      <w:r>
        <w:rPr>
          <w:rFonts w:ascii="Yu Gothic" w:cs="Yu Gothic" w:eastAsia="Yu Gothic" w:hAnsi="Yu Gothic"/>
        </w:rPr>
        <w:t xml:space="preserve">居抜き物件の徹底活用による内装・消防・用途変更費の圧縮。</w:t>
      </w:r>
    </w:p>
    <w:p>
      <w:pPr>
        <w:pStyle w:val="ListParagraph"/>
        <w:numPr>
          <w:ilvl w:val="0"/>
          <w:numId w:val="1"/>
        </w:numPr>
        <w:spacing w:after="80"/>
      </w:pPr>
      <w:r>
        <w:rPr>
          <w:rFonts w:ascii="Yu Gothic" w:cs="Yu Gothic" w:eastAsia="Yu Gothic" w:hAnsi="Yu Gothic"/>
        </w:rPr>
        <w:t xml:space="preserve">多機能型化の早期検討：定員20名の生活介護単独の最低定員要件(20人以上)に反するため、定員縮小(例:定員18名)という選択肢は制度上存在しない。就労継続支援B型等との組み合わせで固定費を分散する構成を検討する。</w:t>
      </w:r>
    </w:p>
    <w:p>
      <w:pPr>
        <w:pStyle w:val="ListParagraph"/>
        <w:numPr>
          <w:ilvl w:val="0"/>
          <w:numId w:val="1"/>
        </w:numPr>
        <w:spacing w:after="80"/>
      </w:pPr>
      <w:r>
        <w:rPr>
          <w:rFonts w:ascii="Yu Gothic" w:cs="Yu Gothic" w:eastAsia="Yu Gothic" w:hAnsi="Yu Gothic"/>
        </w:rPr>
        <w:t xml:space="preserve">自己資金の積み増し、会長借入・地方銀行融資の増額交渉。</w:t>
      </w:r>
    </w:p>
    <w:p>
      <w:pPr>
        <w:pStyle w:val="ListParagraph"/>
        <w:numPr>
          <w:ilvl w:val="0"/>
          <w:numId w:val="1"/>
        </w:numPr>
        <w:spacing w:after="80"/>
      </w:pPr>
      <w:r>
        <w:rPr>
          <w:rFonts w:ascii="Yu Gothic" w:cs="Yu Gothic" w:eastAsia="Yu Gothic" w:hAnsi="Yu Gothic"/>
        </w:rPr>
        <w:t xml:space="preserve">これらを反映しても資金ギャップが解消しない場合は、開業そのものの延期、または事業構想の抜本的な見直しを選択肢に含める。</w:t>
      </w:r>
    </w:p>
    <w:p>
      <w:pPr>
        <w:pStyle w:val="Heading2"/>
        <w:spacing w:after="120" w:before="240"/>
      </w:pPr>
      <w:r>
        <w:rPr>
          <w:rFonts w:ascii="Yu Gothic" w:cs="Yu Gothic" w:eastAsia="Yu Gothic" w:hAnsi="Yu Gothic"/>
          <w:b/>
          <w:bCs/>
          <w:color w:val="1F4E78"/>
          <w:sz w:val="24"/>
          <w:szCs w:val="24"/>
        </w:rPr>
        <w:t xml:space="preserve">9-3. 会長への借入提案(検討中のたたき台。金利を是正)</w:t>
      </w:r>
    </w:p>
    <w:p>
      <w:pPr>
        <w:spacing w:after="120" w:before="0"/>
      </w:pPr>
      <w:r>
        <w:rPr>
          <w:rFonts w:ascii="Yu Gothic" w:cs="Yu Gothic" w:eastAsia="Yu Gothic" w:hAnsi="Yu Gothic"/>
        </w:rPr>
        <w:t xml:space="preserve">改訂前は年2%(無担保)としていたが、5年間営業赤字が続く新設事業への無担保個人貸付としてはリスクに見合わない水準との指摘を受け、年3〜5%に見直した。条件を甘くすることではなく、リスクに見合った条件を正しく設定することが、会長との信頼関係の基礎になるという考え方に基づく。</w:t>
      </w:r>
    </w:p>
    <w:p>
      <w:pPr>
        <w:spacing w:after="120" w:before="0"/>
      </w:pPr>
      <w:r>
        <w:rPr>
          <w:rFonts w:ascii="Yu Gothic" w:cs="Yu Gothic" w:eastAsia="Yu Gothic" w:hAnsi="Yu Gothic"/>
          <w:b/>
          <w:bCs/>
        </w:rPr>
        <w:t xml:space="preserve">シナリオA：開設資金の一部(1,000万円)をお願いする場合</w:t>
      </w:r>
    </w:p>
    <w:p>
      <w:pPr>
        <w:spacing w:after="120" w:before="0"/>
      </w:pPr>
      <w:r>
        <w:rPr>
          <w:rFonts w:ascii="Yu Gothic" w:cs="Yu Gothic" w:eastAsia="Yu Gothic" w:hAnsi="Yu Gothic"/>
        </w:rPr>
        <w:t xml:space="preserve">借入額1,000万円／据置1年間(利息のみ)／据置後5年間・元金均等返済／想定金利 年3%</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900"/>
        <w:gridCol w:w="2000"/>
        <w:gridCol w:w="1900"/>
      </w:tblGrid>
      <w:tr>
        <w:trPr>
          <w:tblHeader/>
        </w:trPr>
        <w:tc>
          <w:tcPr>
            <w:tcW w:type="dxa" w:w="1500"/>
            <w:shd w:fill="1F4E78" w:val="clear"/>
            <w:tcMar>
              <w:top w:type="dxa" w:w="60"/>
              <w:left w:type="dxa" w:w="100"/>
              <w:bottom w:type="dxa" w:w="60"/>
              <w:right w:type="dxa" w:w="100"/>
            </w:tcMar>
          </w:tcPr>
          <w:p>
            <w:pPr>
              <w:jc w:val="center"/>
            </w:pPr>
            <w:r>
              <w:rPr>
                <w:rFonts w:ascii="Yu Gothic" w:cs="Yu Gothic" w:eastAsia="Yu Gothic" w:hAnsi="Yu Gothic"/>
                <w:b/>
                <w:bCs/>
                <w:sz w:val="19"/>
                <w:szCs w:val="19"/>
              </w:rPr>
              <w:t xml:space="preserve">年目</w:t>
            </w:r>
          </w:p>
        </w:tc>
        <w:tc>
          <w:tcPr>
            <w:tcW w:type="dxa" w:w="1900"/>
            <w:shd w:fill="1F4E78" w:val="clear"/>
            <w:tcMar>
              <w:top w:type="dxa" w:w="60"/>
              <w:left w:type="dxa" w:w="100"/>
              <w:bottom w:type="dxa" w:w="60"/>
              <w:right w:type="dxa" w:w="100"/>
            </w:tcMar>
          </w:tcPr>
          <w:p>
            <w:pPr>
              <w:jc w:val="center"/>
            </w:pPr>
            <w:r>
              <w:rPr>
                <w:rFonts w:ascii="Yu Gothic" w:cs="Yu Gothic" w:eastAsia="Yu Gothic" w:hAnsi="Yu Gothic"/>
                <w:b/>
                <w:bCs/>
                <w:sz w:val="19"/>
                <w:szCs w:val="19"/>
              </w:rPr>
              <w:t xml:space="preserve">元金</w:t>
            </w:r>
          </w:p>
        </w:tc>
        <w:tc>
          <w:tcPr>
            <w:tcW w:type="dxa" w:w="1900"/>
            <w:shd w:fill="1F4E78" w:val="clear"/>
            <w:tcMar>
              <w:top w:type="dxa" w:w="60"/>
              <w:left w:type="dxa" w:w="100"/>
              <w:bottom w:type="dxa" w:w="60"/>
              <w:right w:type="dxa" w:w="100"/>
            </w:tcMar>
          </w:tcPr>
          <w:p>
            <w:pPr>
              <w:jc w:val="center"/>
            </w:pPr>
            <w:r>
              <w:rPr>
                <w:rFonts w:ascii="Yu Gothic" w:cs="Yu Gothic" w:eastAsia="Yu Gothic" w:hAnsi="Yu Gothic"/>
                <w:b/>
                <w:bCs/>
                <w:sz w:val="19"/>
                <w:szCs w:val="19"/>
              </w:rPr>
              <w:t xml:space="preserve">利息</w:t>
            </w:r>
          </w:p>
        </w:tc>
        <w:tc>
          <w:tcPr>
            <w:tcW w:type="dxa" w:w="2000"/>
            <w:shd w:fill="1F4E78" w:val="clear"/>
            <w:tcMar>
              <w:top w:type="dxa" w:w="60"/>
              <w:left w:type="dxa" w:w="100"/>
              <w:bottom w:type="dxa" w:w="60"/>
              <w:right w:type="dxa" w:w="100"/>
            </w:tcMar>
          </w:tcPr>
          <w:p>
            <w:pPr>
              <w:jc w:val="center"/>
            </w:pPr>
            <w:r>
              <w:rPr>
                <w:rFonts w:ascii="Yu Gothic" w:cs="Yu Gothic" w:eastAsia="Yu Gothic" w:hAnsi="Yu Gothic"/>
                <w:b/>
                <w:bCs/>
                <w:sz w:val="19"/>
                <w:szCs w:val="19"/>
              </w:rPr>
              <w:t xml:space="preserve">年間支払</w:t>
            </w:r>
          </w:p>
        </w:tc>
        <w:tc>
          <w:tcPr>
            <w:tcW w:type="dxa" w:w="1900"/>
            <w:shd w:fill="1F4E78" w:val="clear"/>
            <w:tcMar>
              <w:top w:type="dxa" w:w="60"/>
              <w:left w:type="dxa" w:w="100"/>
              <w:bottom w:type="dxa" w:w="60"/>
              <w:right w:type="dxa" w:w="100"/>
            </w:tcMar>
          </w:tcPr>
          <w:p>
            <w:pPr>
              <w:jc w:val="center"/>
            </w:pPr>
            <w:r>
              <w:rPr>
                <w:rFonts w:ascii="Yu Gothic" w:cs="Yu Gothic" w:eastAsia="Yu Gothic" w:hAnsi="Yu Gothic"/>
                <w:b/>
                <w:bCs/>
                <w:sz w:val="19"/>
                <w:szCs w:val="19"/>
              </w:rPr>
              <w:t xml:space="preserve">年末残高</w:t>
            </w:r>
          </w:p>
        </w:tc>
      </w:tr>
      <w:tr>
        <w:tc>
          <w:tcPr>
            <w:tcW w:type="dxa" w:w="15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1年目</w:t>
            </w:r>
          </w:p>
        </w:tc>
        <w:tc>
          <w:tcPr>
            <w:tcW w:type="dxa" w:w="19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0円</w:t>
            </w:r>
          </w:p>
        </w:tc>
        <w:tc>
          <w:tcPr>
            <w:tcW w:type="dxa" w:w="19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30万円</w:t>
            </w:r>
          </w:p>
        </w:tc>
        <w:tc>
          <w:tcPr>
            <w:tcW w:type="dxa" w:w="20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30万円</w:t>
            </w:r>
          </w:p>
        </w:tc>
        <w:tc>
          <w:tcPr>
            <w:tcW w:type="dxa" w:w="19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1,000万円</w:t>
            </w:r>
          </w:p>
        </w:tc>
      </w:tr>
      <w:tr>
        <w:tc>
          <w:tcPr>
            <w:tcW w:type="dxa" w:w="15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2年目</w:t>
            </w:r>
          </w:p>
        </w:tc>
        <w:tc>
          <w:tcPr>
            <w:tcW w:type="dxa" w:w="19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200万円</w:t>
            </w:r>
          </w:p>
        </w:tc>
        <w:tc>
          <w:tcPr>
            <w:tcW w:type="dxa" w:w="19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30万円</w:t>
            </w:r>
          </w:p>
        </w:tc>
        <w:tc>
          <w:tcPr>
            <w:tcW w:type="dxa" w:w="20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230万円</w:t>
            </w:r>
          </w:p>
        </w:tc>
        <w:tc>
          <w:tcPr>
            <w:tcW w:type="dxa" w:w="19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800万円</w:t>
            </w:r>
          </w:p>
        </w:tc>
      </w:tr>
      <w:tr>
        <w:tc>
          <w:tcPr>
            <w:tcW w:type="dxa" w:w="15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3年目</w:t>
            </w:r>
          </w:p>
        </w:tc>
        <w:tc>
          <w:tcPr>
            <w:tcW w:type="dxa" w:w="19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200万円</w:t>
            </w:r>
          </w:p>
        </w:tc>
        <w:tc>
          <w:tcPr>
            <w:tcW w:type="dxa" w:w="19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24万円</w:t>
            </w:r>
          </w:p>
        </w:tc>
        <w:tc>
          <w:tcPr>
            <w:tcW w:type="dxa" w:w="20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224万円</w:t>
            </w:r>
          </w:p>
        </w:tc>
        <w:tc>
          <w:tcPr>
            <w:tcW w:type="dxa" w:w="19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600万円</w:t>
            </w:r>
          </w:p>
        </w:tc>
      </w:tr>
      <w:tr>
        <w:tc>
          <w:tcPr>
            <w:tcW w:type="dxa" w:w="15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4年目</w:t>
            </w:r>
          </w:p>
        </w:tc>
        <w:tc>
          <w:tcPr>
            <w:tcW w:type="dxa" w:w="19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200万円</w:t>
            </w:r>
          </w:p>
        </w:tc>
        <w:tc>
          <w:tcPr>
            <w:tcW w:type="dxa" w:w="19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18万円</w:t>
            </w:r>
          </w:p>
        </w:tc>
        <w:tc>
          <w:tcPr>
            <w:tcW w:type="dxa" w:w="20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218万円</w:t>
            </w:r>
          </w:p>
        </w:tc>
        <w:tc>
          <w:tcPr>
            <w:tcW w:type="dxa" w:w="19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400万円</w:t>
            </w:r>
          </w:p>
        </w:tc>
      </w:tr>
      <w:tr>
        <w:tc>
          <w:tcPr>
            <w:tcW w:type="dxa" w:w="15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5年目</w:t>
            </w:r>
          </w:p>
        </w:tc>
        <w:tc>
          <w:tcPr>
            <w:tcW w:type="dxa" w:w="19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200万円</w:t>
            </w:r>
          </w:p>
        </w:tc>
        <w:tc>
          <w:tcPr>
            <w:tcW w:type="dxa" w:w="19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12万円</w:t>
            </w:r>
          </w:p>
        </w:tc>
        <w:tc>
          <w:tcPr>
            <w:tcW w:type="dxa" w:w="20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212万円</w:t>
            </w:r>
          </w:p>
        </w:tc>
        <w:tc>
          <w:tcPr>
            <w:tcW w:type="dxa" w:w="19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200万円</w:t>
            </w:r>
          </w:p>
        </w:tc>
      </w:tr>
      <w:tr>
        <w:tc>
          <w:tcPr>
            <w:tcW w:type="dxa" w:w="15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6年目</w:t>
            </w:r>
          </w:p>
        </w:tc>
        <w:tc>
          <w:tcPr>
            <w:tcW w:type="dxa" w:w="19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200万円</w:t>
            </w:r>
          </w:p>
        </w:tc>
        <w:tc>
          <w:tcPr>
            <w:tcW w:type="dxa" w:w="19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6万円</w:t>
            </w:r>
          </w:p>
        </w:tc>
        <w:tc>
          <w:tcPr>
            <w:tcW w:type="dxa" w:w="20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206万円</w:t>
            </w:r>
          </w:p>
        </w:tc>
        <w:tc>
          <w:tcPr>
            <w:tcW w:type="dxa" w:w="19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0円</w:t>
            </w:r>
          </w:p>
        </w:tc>
      </w:tr>
    </w:tbl>
    <w:p>
      <w:pPr>
        <w:spacing w:after="120" w:before="0"/>
      </w:pPr>
      <w:r>
        <w:rPr>
          <w:rFonts w:ascii="Yu Gothic" w:cs="Yu Gothic" w:eastAsia="Yu Gothic" w:hAnsi="Yu Gothic"/>
        </w:rPr>
        <w:t xml:space="preserve">返済総額：1,120万円(うち利息120万円)。</w:t>
      </w:r>
    </w:p>
    <w:p>
      <w:pPr>
        <w:spacing w:after="120" w:before="0"/>
      </w:pPr>
      <w:r>
        <w:rPr>
          <w:rFonts w:ascii="Yu Gothic" w:cs="Yu Gothic" w:eastAsia="Yu Gothic" w:hAnsi="Yu Gothic"/>
          <w:b/>
          <w:bCs/>
        </w:rPr>
        <w:t xml:space="preserve">シナリオB：開設資金の一部(1,500万円)をお願いする場合</w:t>
      </w:r>
    </w:p>
    <w:p>
      <w:pPr>
        <w:spacing w:after="120" w:before="0"/>
      </w:pPr>
      <w:r>
        <w:rPr>
          <w:rFonts w:ascii="Yu Gothic" w:cs="Yu Gothic" w:eastAsia="Yu Gothic" w:hAnsi="Yu Gothic"/>
        </w:rPr>
        <w:t xml:space="preserve">借入額1,500万円／据置1年間(利息のみ)／据置後6年間・元金均等返済／想定金利 年3.5%</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900"/>
        <w:gridCol w:w="2000"/>
        <w:gridCol w:w="1900"/>
      </w:tblGrid>
      <w:tr>
        <w:trPr>
          <w:tblHeader/>
        </w:trPr>
        <w:tc>
          <w:tcPr>
            <w:tcW w:type="dxa" w:w="1500"/>
            <w:shd w:fill="1F4E78" w:val="clear"/>
            <w:tcMar>
              <w:top w:type="dxa" w:w="60"/>
              <w:left w:type="dxa" w:w="100"/>
              <w:bottom w:type="dxa" w:w="60"/>
              <w:right w:type="dxa" w:w="100"/>
            </w:tcMar>
          </w:tcPr>
          <w:p>
            <w:pPr>
              <w:jc w:val="center"/>
            </w:pPr>
            <w:r>
              <w:rPr>
                <w:rFonts w:ascii="Yu Gothic" w:cs="Yu Gothic" w:eastAsia="Yu Gothic" w:hAnsi="Yu Gothic"/>
                <w:b/>
                <w:bCs/>
                <w:sz w:val="19"/>
                <w:szCs w:val="19"/>
              </w:rPr>
              <w:t xml:space="preserve">年目</w:t>
            </w:r>
          </w:p>
        </w:tc>
        <w:tc>
          <w:tcPr>
            <w:tcW w:type="dxa" w:w="1900"/>
            <w:shd w:fill="1F4E78" w:val="clear"/>
            <w:tcMar>
              <w:top w:type="dxa" w:w="60"/>
              <w:left w:type="dxa" w:w="100"/>
              <w:bottom w:type="dxa" w:w="60"/>
              <w:right w:type="dxa" w:w="100"/>
            </w:tcMar>
          </w:tcPr>
          <w:p>
            <w:pPr>
              <w:jc w:val="center"/>
            </w:pPr>
            <w:r>
              <w:rPr>
                <w:rFonts w:ascii="Yu Gothic" w:cs="Yu Gothic" w:eastAsia="Yu Gothic" w:hAnsi="Yu Gothic"/>
                <w:b/>
                <w:bCs/>
                <w:sz w:val="19"/>
                <w:szCs w:val="19"/>
              </w:rPr>
              <w:t xml:space="preserve">元金</w:t>
            </w:r>
          </w:p>
        </w:tc>
        <w:tc>
          <w:tcPr>
            <w:tcW w:type="dxa" w:w="1900"/>
            <w:shd w:fill="1F4E78" w:val="clear"/>
            <w:tcMar>
              <w:top w:type="dxa" w:w="60"/>
              <w:left w:type="dxa" w:w="100"/>
              <w:bottom w:type="dxa" w:w="60"/>
              <w:right w:type="dxa" w:w="100"/>
            </w:tcMar>
          </w:tcPr>
          <w:p>
            <w:pPr>
              <w:jc w:val="center"/>
            </w:pPr>
            <w:r>
              <w:rPr>
                <w:rFonts w:ascii="Yu Gothic" w:cs="Yu Gothic" w:eastAsia="Yu Gothic" w:hAnsi="Yu Gothic"/>
                <w:b/>
                <w:bCs/>
                <w:sz w:val="19"/>
                <w:szCs w:val="19"/>
              </w:rPr>
              <w:t xml:space="preserve">利息</w:t>
            </w:r>
          </w:p>
        </w:tc>
        <w:tc>
          <w:tcPr>
            <w:tcW w:type="dxa" w:w="2000"/>
            <w:shd w:fill="1F4E78" w:val="clear"/>
            <w:tcMar>
              <w:top w:type="dxa" w:w="60"/>
              <w:left w:type="dxa" w:w="100"/>
              <w:bottom w:type="dxa" w:w="60"/>
              <w:right w:type="dxa" w:w="100"/>
            </w:tcMar>
          </w:tcPr>
          <w:p>
            <w:pPr>
              <w:jc w:val="center"/>
            </w:pPr>
            <w:r>
              <w:rPr>
                <w:rFonts w:ascii="Yu Gothic" w:cs="Yu Gothic" w:eastAsia="Yu Gothic" w:hAnsi="Yu Gothic"/>
                <w:b/>
                <w:bCs/>
                <w:sz w:val="19"/>
                <w:szCs w:val="19"/>
              </w:rPr>
              <w:t xml:space="preserve">年間支払</w:t>
            </w:r>
          </w:p>
        </w:tc>
        <w:tc>
          <w:tcPr>
            <w:tcW w:type="dxa" w:w="1900"/>
            <w:shd w:fill="1F4E78" w:val="clear"/>
            <w:tcMar>
              <w:top w:type="dxa" w:w="60"/>
              <w:left w:type="dxa" w:w="100"/>
              <w:bottom w:type="dxa" w:w="60"/>
              <w:right w:type="dxa" w:w="100"/>
            </w:tcMar>
          </w:tcPr>
          <w:p>
            <w:pPr>
              <w:jc w:val="center"/>
            </w:pPr>
            <w:r>
              <w:rPr>
                <w:rFonts w:ascii="Yu Gothic" w:cs="Yu Gothic" w:eastAsia="Yu Gothic" w:hAnsi="Yu Gothic"/>
                <w:b/>
                <w:bCs/>
                <w:sz w:val="19"/>
                <w:szCs w:val="19"/>
              </w:rPr>
              <w:t xml:space="preserve">年末残高</w:t>
            </w:r>
          </w:p>
        </w:tc>
      </w:tr>
      <w:tr>
        <w:tc>
          <w:tcPr>
            <w:tcW w:type="dxa" w:w="15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1年目</w:t>
            </w:r>
          </w:p>
        </w:tc>
        <w:tc>
          <w:tcPr>
            <w:tcW w:type="dxa" w:w="19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0円</w:t>
            </w:r>
          </w:p>
        </w:tc>
        <w:tc>
          <w:tcPr>
            <w:tcW w:type="dxa" w:w="19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52.5万円</w:t>
            </w:r>
          </w:p>
        </w:tc>
        <w:tc>
          <w:tcPr>
            <w:tcW w:type="dxa" w:w="20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52.5万円</w:t>
            </w:r>
          </w:p>
        </w:tc>
        <w:tc>
          <w:tcPr>
            <w:tcW w:type="dxa" w:w="19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1,500万円</w:t>
            </w:r>
          </w:p>
        </w:tc>
      </w:tr>
      <w:tr>
        <w:tc>
          <w:tcPr>
            <w:tcW w:type="dxa" w:w="15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2年目</w:t>
            </w:r>
          </w:p>
        </w:tc>
        <w:tc>
          <w:tcPr>
            <w:tcW w:type="dxa" w:w="19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250万円</w:t>
            </w:r>
          </w:p>
        </w:tc>
        <w:tc>
          <w:tcPr>
            <w:tcW w:type="dxa" w:w="19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52.5万円</w:t>
            </w:r>
          </w:p>
        </w:tc>
        <w:tc>
          <w:tcPr>
            <w:tcW w:type="dxa" w:w="20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302.5万円</w:t>
            </w:r>
          </w:p>
        </w:tc>
        <w:tc>
          <w:tcPr>
            <w:tcW w:type="dxa" w:w="19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1,250万円</w:t>
            </w:r>
          </w:p>
        </w:tc>
      </w:tr>
      <w:tr>
        <w:tc>
          <w:tcPr>
            <w:tcW w:type="dxa" w:w="15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3年目</w:t>
            </w:r>
          </w:p>
        </w:tc>
        <w:tc>
          <w:tcPr>
            <w:tcW w:type="dxa" w:w="19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250万円</w:t>
            </w:r>
          </w:p>
        </w:tc>
        <w:tc>
          <w:tcPr>
            <w:tcW w:type="dxa" w:w="19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43.75万円</w:t>
            </w:r>
          </w:p>
        </w:tc>
        <w:tc>
          <w:tcPr>
            <w:tcW w:type="dxa" w:w="20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293.75万円</w:t>
            </w:r>
          </w:p>
        </w:tc>
        <w:tc>
          <w:tcPr>
            <w:tcW w:type="dxa" w:w="19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1,000万円</w:t>
            </w:r>
          </w:p>
        </w:tc>
      </w:tr>
      <w:tr>
        <w:tc>
          <w:tcPr>
            <w:tcW w:type="dxa" w:w="15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4年目</w:t>
            </w:r>
          </w:p>
        </w:tc>
        <w:tc>
          <w:tcPr>
            <w:tcW w:type="dxa" w:w="19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250万円</w:t>
            </w:r>
          </w:p>
        </w:tc>
        <w:tc>
          <w:tcPr>
            <w:tcW w:type="dxa" w:w="19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35万円</w:t>
            </w:r>
          </w:p>
        </w:tc>
        <w:tc>
          <w:tcPr>
            <w:tcW w:type="dxa" w:w="20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285万円</w:t>
            </w:r>
          </w:p>
        </w:tc>
        <w:tc>
          <w:tcPr>
            <w:tcW w:type="dxa" w:w="19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750万円</w:t>
            </w:r>
          </w:p>
        </w:tc>
      </w:tr>
      <w:tr>
        <w:tc>
          <w:tcPr>
            <w:tcW w:type="dxa" w:w="15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5年目</w:t>
            </w:r>
          </w:p>
        </w:tc>
        <w:tc>
          <w:tcPr>
            <w:tcW w:type="dxa" w:w="19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250万円</w:t>
            </w:r>
          </w:p>
        </w:tc>
        <w:tc>
          <w:tcPr>
            <w:tcW w:type="dxa" w:w="19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26.25万円</w:t>
            </w:r>
          </w:p>
        </w:tc>
        <w:tc>
          <w:tcPr>
            <w:tcW w:type="dxa" w:w="20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276.25万円</w:t>
            </w:r>
          </w:p>
        </w:tc>
        <w:tc>
          <w:tcPr>
            <w:tcW w:type="dxa" w:w="19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500万円</w:t>
            </w:r>
          </w:p>
        </w:tc>
      </w:tr>
      <w:tr>
        <w:tc>
          <w:tcPr>
            <w:tcW w:type="dxa" w:w="15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6年目</w:t>
            </w:r>
          </w:p>
        </w:tc>
        <w:tc>
          <w:tcPr>
            <w:tcW w:type="dxa" w:w="19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250万円</w:t>
            </w:r>
          </w:p>
        </w:tc>
        <w:tc>
          <w:tcPr>
            <w:tcW w:type="dxa" w:w="19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17.5万円</w:t>
            </w:r>
          </w:p>
        </w:tc>
        <w:tc>
          <w:tcPr>
            <w:tcW w:type="dxa" w:w="20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267.5万円</w:t>
            </w:r>
          </w:p>
        </w:tc>
        <w:tc>
          <w:tcPr>
            <w:tcW w:type="dxa" w:w="19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250万円</w:t>
            </w:r>
          </w:p>
        </w:tc>
      </w:tr>
      <w:tr>
        <w:tc>
          <w:tcPr>
            <w:tcW w:type="dxa" w:w="15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7年目</w:t>
            </w:r>
          </w:p>
        </w:tc>
        <w:tc>
          <w:tcPr>
            <w:tcW w:type="dxa" w:w="19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250万円</w:t>
            </w:r>
          </w:p>
        </w:tc>
        <w:tc>
          <w:tcPr>
            <w:tcW w:type="dxa" w:w="19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8.75万円</w:t>
            </w:r>
          </w:p>
        </w:tc>
        <w:tc>
          <w:tcPr>
            <w:tcW w:type="dxa" w:w="20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258.75万円</w:t>
            </w:r>
          </w:p>
        </w:tc>
        <w:tc>
          <w:tcPr>
            <w:tcW w:type="dxa" w:w="19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0円</w:t>
            </w:r>
          </w:p>
        </w:tc>
      </w:tr>
    </w:tbl>
    <w:p>
      <w:pPr>
        <w:spacing w:after="120" w:before="0"/>
      </w:pPr>
      <w:r>
        <w:rPr>
          <w:rFonts w:ascii="Yu Gothic" w:cs="Yu Gothic" w:eastAsia="Yu Gothic" w:hAnsi="Yu Gothic"/>
        </w:rPr>
        <w:t xml:space="preserve">返済総額：1,736万円(うち利息236万円)。</w:t>
      </w:r>
    </w:p>
    <w:p>
      <w:pPr>
        <w:spacing w:after="160" w:before="80"/>
      </w:pPr>
      <w:r>
        <w:rPr>
          <w:rFonts w:ascii="Yu Gothic" w:cs="Yu Gothic" w:eastAsia="Yu Gothic" w:hAnsi="Yu Gothic"/>
          <w:b/>
          <w:bCs/>
          <w:color w:val="C00000"/>
          <w:sz w:val="20"/>
          <w:szCs w:val="20"/>
        </w:rPr>
        <w:t xml:space="preserve">⚠ これらは真の必要資金総額(約1億1,011万円、第9-2章)の一部にすぎない。営業利益がマイナスの期間が続く前提であるため、この返済額を営業キャッシュフローだけで賄うのは厳しい。据置期間の延長・返済開始時期の後ろ倒しを早期に相談できる関係性を築いておくこと。金銭消費貸借契約書の締結、会長に万一のことがあった場合の債権承継(相続)の取り扱いについても、事前に整理しておくこと。</w:t>
      </w:r>
    </w:p>
    <w:p>
      <w:pPr>
        <w:pStyle w:val="Heading1"/>
        <w:spacing w:after="160" w:before="360"/>
      </w:pPr>
      <w:r>
        <w:rPr>
          <w:rFonts w:ascii="Yu Gothic" w:cs="Yu Gothic" w:eastAsia="Yu Gothic" w:hAnsi="Yu Gothic"/>
          <w:b/>
          <w:bCs/>
          <w:color w:val="1F4E78"/>
          <w:sz w:val="30"/>
          <w:szCs w:val="30"/>
        </w:rPr>
        <w:t xml:space="preserve">10. 収支計画</w:t>
      </w:r>
    </w:p>
    <w:p>
      <w:pPr>
        <w:spacing w:after="120" w:before="0"/>
      </w:pPr>
      <w:r>
        <w:rPr>
          <w:rFonts w:ascii="Yu Gothic" w:cs="Yu Gothic" w:eastAsia="Yu Gothic" w:hAnsi="Yu Gothic"/>
        </w:rPr>
        <w:t xml:space="preserve">詳細な年次シミュレーションは別紙「収支計画_生活介護_広島市.xlsx」を参照(報酬単価・稼働率・利用者区分構成・人件費等をセルで自由に変更可能なモデル。月次資金繰りシートも追加)。</w:t>
      </w:r>
    </w:p>
    <w:p>
      <w:pPr>
        <w:pStyle w:val="Heading2"/>
        <w:spacing w:after="120" w:before="240"/>
      </w:pPr>
      <w:r>
        <w:rPr>
          <w:rFonts w:ascii="Yu Gothic" w:cs="Yu Gothic" w:eastAsia="Yu Gothic" w:hAnsi="Yu Gothic"/>
          <w:b/>
          <w:bCs/>
          <w:color w:val="1F4E78"/>
          <w:sz w:val="24"/>
          <w:szCs w:val="24"/>
        </w:rPr>
        <w:t xml:space="preserve">10-1. 収入の考え方(改訂：報酬単価・加算を一次情報ベースで是正)</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6500"/>
      </w:tblGrid>
      <w:tr>
        <w:trPr>
          <w:tblHeader/>
        </w:trPr>
        <w:tc>
          <w:tcPr>
            <w:tcW w:type="dxa" w:w="2800"/>
            <w:shd w:fill="1F4E78" w:val="clear"/>
            <w:tcMar>
              <w:top w:type="dxa" w:w="60"/>
              <w:left w:type="dxa" w:w="100"/>
              <w:bottom w:type="dxa" w:w="60"/>
              <w:right w:type="dxa" w:w="100"/>
            </w:tcMar>
          </w:tcPr>
          <w:p>
            <w:pPr>
              <w:jc w:val="center"/>
            </w:pPr>
            <w:r>
              <w:rPr>
                <w:rFonts w:ascii="Yu Gothic" w:cs="Yu Gothic" w:eastAsia="Yu Gothic" w:hAnsi="Yu Gothic"/>
                <w:b/>
                <w:bCs/>
                <w:sz w:val="19"/>
                <w:szCs w:val="19"/>
              </w:rPr>
              <w:t xml:space="preserve">前提条件</w:t>
            </w:r>
          </w:p>
        </w:tc>
        <w:tc>
          <w:tcPr>
            <w:tcW w:type="dxa" w:w="6500"/>
            <w:shd w:fill="1F4E78" w:val="clear"/>
            <w:tcMar>
              <w:top w:type="dxa" w:w="60"/>
              <w:left w:type="dxa" w:w="100"/>
              <w:bottom w:type="dxa" w:w="60"/>
              <w:right w:type="dxa" w:w="100"/>
            </w:tcMar>
          </w:tcPr>
          <w:p>
            <w:pPr>
              <w:jc w:val="center"/>
            </w:pPr>
            <w:r>
              <w:rPr>
                <w:rFonts w:ascii="Yu Gothic" w:cs="Yu Gothic" w:eastAsia="Yu Gothic" w:hAnsi="Yu Gothic"/>
                <w:b/>
                <w:bCs/>
                <w:sz w:val="19"/>
                <w:szCs w:val="19"/>
              </w:rPr>
              <w:t xml:space="preserve">値</w:t>
            </w:r>
          </w:p>
        </w:tc>
      </w:tr>
      <w:tr>
        <w:tc>
          <w:tcPr>
            <w:tcW w:type="dxa" w:w="28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利用定員</w:t>
            </w:r>
          </w:p>
        </w:tc>
        <w:tc>
          <w:tcPr>
            <w:tcW w:type="dxa" w:w="65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20名</w:t>
            </w:r>
          </w:p>
        </w:tc>
      </w:tr>
      <w:tr>
        <w:tc>
          <w:tcPr>
            <w:tcW w:type="dxa" w:w="28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平均障害支援区分(基本ケース)</w:t>
            </w:r>
          </w:p>
        </w:tc>
        <w:tc>
          <w:tcPr>
            <w:tcW w:type="dxa" w:w="65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区分5(964単位/日・定員20人以下・7時間以上8時間未満)</w:t>
            </w:r>
          </w:p>
        </w:tc>
      </w:tr>
      <w:tr>
        <w:tc>
          <w:tcPr>
            <w:tcW w:type="dxa" w:w="28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地域区分</w:t>
            </w:r>
          </w:p>
        </w:tc>
        <w:tc>
          <w:tcPr>
            <w:tcW w:type="dxa" w:w="65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広島市＝5級地。通所系サービスの人件費割合(55%)を乗じ、1単位10.55円で試算(改訂前は施設系の割合45%を誤用していたため是正。要最終確認)</w:t>
            </w:r>
          </w:p>
        </w:tc>
      </w:tr>
      <w:tr>
        <w:tc>
          <w:tcPr>
            <w:tcW w:type="dxa" w:w="28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送迎加算</w:t>
            </w:r>
          </w:p>
        </w:tc>
        <w:tc>
          <w:tcPr>
            <w:tcW w:type="dxa" w:w="65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(Ⅰ)片道21単位＋区分5/6要件充足時の重度加算+28単位(往復で計算)。改訂前の「54単位」は根拠不明の誤りだった</w:t>
            </w:r>
          </w:p>
        </w:tc>
      </w:tr>
      <w:tr>
        <w:tc>
          <w:tcPr>
            <w:tcW w:type="dxa" w:w="28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処遇改善加算</w:t>
            </w:r>
          </w:p>
        </w:tc>
        <w:tc>
          <w:tcPr>
            <w:tcW w:type="dxa" w:w="65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生活介護 加算Ⅰ(概ね4.4%)。改訂前の「15%」は他サービスの加算率を誤って引用したもの。加算額は全額を職員の賃金改善に充てる義務があるため、加算収入と同額を人件費側にも計上し損益を中立化</w:t>
            </w:r>
          </w:p>
        </w:tc>
      </w:tr>
      <w:tr>
        <w:tc>
          <w:tcPr>
            <w:tcW w:type="dxa" w:w="28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入浴支援加算(障害福祉の名称)・食事提供体制加算</w:t>
            </w:r>
          </w:p>
        </w:tc>
        <w:tc>
          <w:tcPr>
            <w:tcW w:type="dxa" w:w="65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実施方針に基づき、単価×回数で個別に積み上げ(改訂前の「その他加算＝一律5%」という丼勘定を廃止)</w:t>
            </w:r>
          </w:p>
        </w:tc>
      </w:tr>
    </w:tbl>
    <w:p>
      <w:pPr>
        <w:pStyle w:val="Heading2"/>
        <w:spacing w:after="120" w:before="240"/>
      </w:pPr>
      <w:r>
        <w:rPr>
          <w:rFonts w:ascii="Yu Gothic" w:cs="Yu Gothic" w:eastAsia="Yu Gothic" w:hAnsi="Yu Gothic"/>
          <w:b/>
          <w:bCs/>
          <w:color w:val="1F4E78"/>
          <w:sz w:val="24"/>
          <w:szCs w:val="24"/>
        </w:rPr>
        <w:t xml:space="preserve">10-2. 支出の考え方(改訂：計上漏れを是正)</w:t>
      </w:r>
    </w:p>
    <w:p>
      <w:pPr>
        <w:pStyle w:val="ListParagraph"/>
        <w:numPr>
          <w:ilvl w:val="0"/>
          <w:numId w:val="1"/>
        </w:numPr>
        <w:spacing w:after="80"/>
      </w:pPr>
      <w:r>
        <w:rPr>
          <w:rFonts w:ascii="Yu Gothic" w:cs="Yu Gothic" w:eastAsia="Yu Gothic" w:hAnsi="Yu Gothic"/>
        </w:rPr>
        <w:t xml:space="preserve">人件費(法定福利費込、看護職員・機能訓練指導員を独立配置) ≈ 年間約3,965万円(第6章参照)</w:t>
      </w:r>
    </w:p>
    <w:p>
      <w:pPr>
        <w:pStyle w:val="ListParagraph"/>
        <w:numPr>
          <w:ilvl w:val="0"/>
          <w:numId w:val="1"/>
        </w:numPr>
        <w:spacing w:after="80"/>
      </w:pPr>
      <w:r>
        <w:rPr>
          <w:rFonts w:ascii="Yu Gothic" w:cs="Yu Gothic" w:eastAsia="Yu Gothic" w:hAnsi="Yu Gothic"/>
        </w:rPr>
        <w:t xml:space="preserve">豊口氏 役員報酬 ≈ 年間120万円(Year1-2)→360万円(Year3以降)</w:t>
      </w:r>
    </w:p>
    <w:p>
      <w:pPr>
        <w:pStyle w:val="ListParagraph"/>
        <w:numPr>
          <w:ilvl w:val="0"/>
          <w:numId w:val="1"/>
        </w:numPr>
        <w:spacing w:after="80"/>
      </w:pPr>
      <w:r>
        <w:rPr>
          <w:rFonts w:ascii="Yu Gothic" w:cs="Yu Gothic" w:eastAsia="Yu Gothic" w:hAnsi="Yu Gothic"/>
        </w:rPr>
        <w:t xml:space="preserve">地代家賃：年間480万円(月40万円)</w:t>
      </w:r>
    </w:p>
    <w:p>
      <w:pPr>
        <w:pStyle w:val="ListParagraph"/>
        <w:numPr>
          <w:ilvl w:val="0"/>
          <w:numId w:val="1"/>
        </w:numPr>
        <w:spacing w:after="80"/>
      </w:pPr>
      <w:r>
        <w:rPr>
          <w:rFonts w:ascii="Yu Gothic" w:cs="Yu Gothic" w:eastAsia="Yu Gothic" w:hAnsi="Yu Gothic"/>
        </w:rPr>
        <w:t xml:space="preserve">車両関連費：年間90万円</w:t>
      </w:r>
    </w:p>
    <w:p>
      <w:pPr>
        <w:pStyle w:val="ListParagraph"/>
        <w:numPr>
          <w:ilvl w:val="0"/>
          <w:numId w:val="1"/>
        </w:numPr>
        <w:spacing w:after="80"/>
      </w:pPr>
      <w:r>
        <w:rPr>
          <w:rFonts w:ascii="Yu Gothic" w:cs="Yu Gothic" w:eastAsia="Yu Gothic" w:hAnsi="Yu Gothic"/>
        </w:rPr>
        <w:t xml:space="preserve">その他経費(水道光熱・給食委託・嘱託医・税理士・社労士・システム利用料・保険・健診・研修広告等)：年間約465万円</w:t>
      </w:r>
    </w:p>
    <w:p>
      <w:pPr>
        <w:pStyle w:val="ListParagraph"/>
        <w:numPr>
          <w:ilvl w:val="0"/>
          <w:numId w:val="1"/>
        </w:numPr>
        <w:spacing w:after="80"/>
      </w:pPr>
      <w:r>
        <w:rPr>
          <w:rFonts w:ascii="Yu Gothic" w:cs="Yu Gothic" w:eastAsia="Yu Gothic" w:hAnsi="Yu Gothic"/>
        </w:rPr>
        <w:t xml:space="preserve">減価償却費：年間約231万円</w:t>
      </w:r>
    </w:p>
    <w:p>
      <w:pPr>
        <w:pStyle w:val="Heading2"/>
        <w:spacing w:after="120" w:before="240"/>
      </w:pPr>
      <w:r>
        <w:rPr>
          <w:rFonts w:ascii="Yu Gothic" w:cs="Yu Gothic" w:eastAsia="Yu Gothic" w:hAnsi="Yu Gothic"/>
          <w:b/>
          <w:bCs/>
          <w:color w:val="1F4E78"/>
          <w:sz w:val="24"/>
          <w:szCs w:val="24"/>
        </w:rPr>
        <w:t xml:space="preserve">10-3. 5ヵ年収支計画(是正後)</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500"/>
        <w:gridCol w:w="1500"/>
        <w:gridCol w:w="1500"/>
        <w:gridCol w:w="1500"/>
      </w:tblGrid>
      <w:tr>
        <w:trPr>
          <w:tblHeader/>
        </w:trPr>
        <w:tc>
          <w:tcPr>
            <w:tcW w:type="dxa" w:w="1900"/>
            <w:shd w:fill="1F4E78" w:val="clear"/>
            <w:tcMar>
              <w:top w:type="dxa" w:w="60"/>
              <w:left w:type="dxa" w:w="100"/>
              <w:bottom w:type="dxa" w:w="60"/>
              <w:right w:type="dxa" w:w="100"/>
            </w:tcMar>
          </w:tcPr>
          <w:p>
            <w:pPr>
              <w:jc w:val="center"/>
            </w:pPr>
            <w:r>
              <w:rPr>
                <w:rFonts w:ascii="Yu Gothic" w:cs="Yu Gothic" w:eastAsia="Yu Gothic" w:hAnsi="Yu Gothic"/>
                <w:b/>
                <w:bCs/>
                <w:sz w:val="19"/>
                <w:szCs w:val="19"/>
              </w:rPr>
              <w:t xml:space="preserve">項目</w:t>
            </w:r>
          </w:p>
        </w:tc>
        <w:tc>
          <w:tcPr>
            <w:tcW w:type="dxa" w:w="1500"/>
            <w:shd w:fill="1F4E78" w:val="clear"/>
            <w:tcMar>
              <w:top w:type="dxa" w:w="60"/>
              <w:left w:type="dxa" w:w="100"/>
              <w:bottom w:type="dxa" w:w="60"/>
              <w:right w:type="dxa" w:w="100"/>
            </w:tcMar>
          </w:tcPr>
          <w:p>
            <w:pPr>
              <w:jc w:val="center"/>
            </w:pPr>
            <w:r>
              <w:rPr>
                <w:rFonts w:ascii="Yu Gothic" w:cs="Yu Gothic" w:eastAsia="Yu Gothic" w:hAnsi="Yu Gothic"/>
                <w:b/>
                <w:bCs/>
                <w:sz w:val="19"/>
                <w:szCs w:val="19"/>
              </w:rPr>
              <w:t xml:space="preserve">Year1</w:t>
            </w:r>
          </w:p>
        </w:tc>
        <w:tc>
          <w:tcPr>
            <w:tcW w:type="dxa" w:w="1500"/>
            <w:shd w:fill="1F4E78" w:val="clear"/>
            <w:tcMar>
              <w:top w:type="dxa" w:w="60"/>
              <w:left w:type="dxa" w:w="100"/>
              <w:bottom w:type="dxa" w:w="60"/>
              <w:right w:type="dxa" w:w="100"/>
            </w:tcMar>
          </w:tcPr>
          <w:p>
            <w:pPr>
              <w:jc w:val="center"/>
            </w:pPr>
            <w:r>
              <w:rPr>
                <w:rFonts w:ascii="Yu Gothic" w:cs="Yu Gothic" w:eastAsia="Yu Gothic" w:hAnsi="Yu Gothic"/>
                <w:b/>
                <w:bCs/>
                <w:sz w:val="19"/>
                <w:szCs w:val="19"/>
              </w:rPr>
              <w:t xml:space="preserve">Year2</w:t>
            </w:r>
          </w:p>
        </w:tc>
        <w:tc>
          <w:tcPr>
            <w:tcW w:type="dxa" w:w="1500"/>
            <w:shd w:fill="1F4E78" w:val="clear"/>
            <w:tcMar>
              <w:top w:type="dxa" w:w="60"/>
              <w:left w:type="dxa" w:w="100"/>
              <w:bottom w:type="dxa" w:w="60"/>
              <w:right w:type="dxa" w:w="100"/>
            </w:tcMar>
          </w:tcPr>
          <w:p>
            <w:pPr>
              <w:jc w:val="center"/>
            </w:pPr>
            <w:r>
              <w:rPr>
                <w:rFonts w:ascii="Yu Gothic" w:cs="Yu Gothic" w:eastAsia="Yu Gothic" w:hAnsi="Yu Gothic"/>
                <w:b/>
                <w:bCs/>
                <w:sz w:val="19"/>
                <w:szCs w:val="19"/>
              </w:rPr>
              <w:t xml:space="preserve">Year3</w:t>
            </w:r>
          </w:p>
        </w:tc>
        <w:tc>
          <w:tcPr>
            <w:tcW w:type="dxa" w:w="1500"/>
            <w:shd w:fill="1F4E78" w:val="clear"/>
            <w:tcMar>
              <w:top w:type="dxa" w:w="60"/>
              <w:left w:type="dxa" w:w="100"/>
              <w:bottom w:type="dxa" w:w="60"/>
              <w:right w:type="dxa" w:w="100"/>
            </w:tcMar>
          </w:tcPr>
          <w:p>
            <w:pPr>
              <w:jc w:val="center"/>
            </w:pPr>
            <w:r>
              <w:rPr>
                <w:rFonts w:ascii="Yu Gothic" w:cs="Yu Gothic" w:eastAsia="Yu Gothic" w:hAnsi="Yu Gothic"/>
                <w:b/>
                <w:bCs/>
                <w:sz w:val="19"/>
                <w:szCs w:val="19"/>
              </w:rPr>
              <w:t xml:space="preserve">Year4</w:t>
            </w:r>
          </w:p>
        </w:tc>
        <w:tc>
          <w:tcPr>
            <w:tcW w:type="dxa" w:w="1500"/>
            <w:shd w:fill="1F4E78" w:val="clear"/>
            <w:tcMar>
              <w:top w:type="dxa" w:w="60"/>
              <w:left w:type="dxa" w:w="100"/>
              <w:bottom w:type="dxa" w:w="60"/>
              <w:right w:type="dxa" w:w="100"/>
            </w:tcMar>
          </w:tcPr>
          <w:p>
            <w:pPr>
              <w:jc w:val="center"/>
            </w:pPr>
            <w:r>
              <w:rPr>
                <w:rFonts w:ascii="Yu Gothic" w:cs="Yu Gothic" w:eastAsia="Yu Gothic" w:hAnsi="Yu Gothic"/>
                <w:b/>
                <w:bCs/>
                <w:sz w:val="19"/>
                <w:szCs w:val="19"/>
              </w:rPr>
              <w:t xml:space="preserve">Year5</w:t>
            </w:r>
          </w:p>
        </w:tc>
      </w:tr>
      <w:tr>
        <w:tc>
          <w:tcPr>
            <w:tcW w:type="dxa" w:w="19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稼働率(想定)</w:t>
            </w:r>
          </w:p>
        </w:tc>
        <w:tc>
          <w:tcPr>
            <w:tcW w:type="dxa" w:w="15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35%※</w:t>
            </w:r>
          </w:p>
        </w:tc>
        <w:tc>
          <w:tcPr>
            <w:tcW w:type="dxa" w:w="15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65%</w:t>
            </w:r>
          </w:p>
        </w:tc>
        <w:tc>
          <w:tcPr>
            <w:tcW w:type="dxa" w:w="15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80%</w:t>
            </w:r>
          </w:p>
        </w:tc>
        <w:tc>
          <w:tcPr>
            <w:tcW w:type="dxa" w:w="15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85%</w:t>
            </w:r>
          </w:p>
        </w:tc>
        <w:tc>
          <w:tcPr>
            <w:tcW w:type="dxa" w:w="15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85%</w:t>
            </w:r>
          </w:p>
        </w:tc>
      </w:tr>
      <w:tr>
        <w:tc>
          <w:tcPr>
            <w:tcW w:type="dxa" w:w="19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収入合計</w:t>
            </w:r>
          </w:p>
        </w:tc>
        <w:tc>
          <w:tcPr>
            <w:tcW w:type="dxa" w:w="15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約2,071万円</w:t>
            </w:r>
          </w:p>
        </w:tc>
        <w:tc>
          <w:tcPr>
            <w:tcW w:type="dxa" w:w="15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約3,846万円</w:t>
            </w:r>
          </w:p>
        </w:tc>
        <w:tc>
          <w:tcPr>
            <w:tcW w:type="dxa" w:w="15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約4,733万円</w:t>
            </w:r>
          </w:p>
        </w:tc>
        <w:tc>
          <w:tcPr>
            <w:tcW w:type="dxa" w:w="15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約5,029万円</w:t>
            </w:r>
          </w:p>
        </w:tc>
        <w:tc>
          <w:tcPr>
            <w:tcW w:type="dxa" w:w="15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約5,029万円</w:t>
            </w:r>
          </w:p>
        </w:tc>
      </w:tr>
      <w:tr>
        <w:tc>
          <w:tcPr>
            <w:tcW w:type="dxa" w:w="19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経費合計</w:t>
            </w:r>
          </w:p>
        </w:tc>
        <w:tc>
          <w:tcPr>
            <w:tcW w:type="dxa" w:w="15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約5,430万円</w:t>
            </w:r>
          </w:p>
        </w:tc>
        <w:tc>
          <w:tcPr>
            <w:tcW w:type="dxa" w:w="15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約5,497万円</w:t>
            </w:r>
          </w:p>
        </w:tc>
        <w:tc>
          <w:tcPr>
            <w:tcW w:type="dxa" w:w="15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約5,770万円</w:t>
            </w:r>
          </w:p>
        </w:tc>
        <w:tc>
          <w:tcPr>
            <w:tcW w:type="dxa" w:w="15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約5,782万円</w:t>
            </w:r>
          </w:p>
        </w:tc>
        <w:tc>
          <w:tcPr>
            <w:tcW w:type="dxa" w:w="15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約5,782万円</w:t>
            </w:r>
          </w:p>
        </w:tc>
      </w:tr>
      <w:tr>
        <w:tc>
          <w:tcPr>
            <w:tcW w:type="dxa" w:w="19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営業利益</w:t>
            </w:r>
          </w:p>
        </w:tc>
        <w:tc>
          <w:tcPr>
            <w:tcW w:type="dxa" w:w="15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▲3,359万円</w:t>
            </w:r>
          </w:p>
        </w:tc>
        <w:tc>
          <w:tcPr>
            <w:tcW w:type="dxa" w:w="15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▲1,651万円</w:t>
            </w:r>
          </w:p>
        </w:tc>
        <w:tc>
          <w:tcPr>
            <w:tcW w:type="dxa" w:w="15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▲1,037万円</w:t>
            </w:r>
          </w:p>
        </w:tc>
        <w:tc>
          <w:tcPr>
            <w:tcW w:type="dxa" w:w="15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▲753万円</w:t>
            </w:r>
          </w:p>
        </w:tc>
        <w:tc>
          <w:tcPr>
            <w:tcW w:type="dxa" w:w="15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▲753万円</w:t>
            </w:r>
          </w:p>
        </w:tc>
      </w:tr>
      <w:tr>
        <w:tc>
          <w:tcPr>
            <w:tcW w:type="dxa" w:w="19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営業利益率</w:t>
            </w:r>
          </w:p>
        </w:tc>
        <w:tc>
          <w:tcPr>
            <w:tcW w:type="dxa" w:w="15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▲162.2%</w:t>
            </w:r>
          </w:p>
        </w:tc>
        <w:tc>
          <w:tcPr>
            <w:tcW w:type="dxa" w:w="15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▲42.9%</w:t>
            </w:r>
          </w:p>
        </w:tc>
        <w:tc>
          <w:tcPr>
            <w:tcW w:type="dxa" w:w="15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▲21.9%</w:t>
            </w:r>
          </w:p>
        </w:tc>
        <w:tc>
          <w:tcPr>
            <w:tcW w:type="dxa" w:w="15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▲15.0%</w:t>
            </w:r>
          </w:p>
        </w:tc>
        <w:tc>
          <w:tcPr>
            <w:tcW w:type="dxa" w:w="15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▲15.0%</w:t>
            </w:r>
          </w:p>
        </w:tc>
      </w:tr>
    </w:tbl>
    <w:p>
      <w:pPr>
        <w:spacing w:after="160"/>
      </w:pPr>
      <w:r>
        <w:rPr>
          <w:rFonts w:ascii="Yu Gothic" w:cs="Yu Gothic" w:eastAsia="Yu Gothic" w:hAnsi="Yu Gothic"/>
          <w:i/>
          <w:iCs/>
          <w:color w:val="806000"/>
          <w:sz w:val="18"/>
          <w:szCs w:val="18"/>
        </w:rPr>
        <w:t xml:space="preserve">※Year1の稼働率35%は、別紙Excel「月次資金繰り(Year1)」シートで契約者数を月次に積み上げた(月1:3名→月12:15名)結果の年間平均値。改訂前の「通年60%固定」は開所初日から平均12名が通所する前提となり非現実的だったため、積み上げ方式に変更した。</w:t>
      </w:r>
    </w:p>
    <w:p>
      <w:pPr>
        <w:pStyle w:val="Heading2"/>
        <w:spacing w:after="120" w:before="240"/>
      </w:pPr>
      <w:r>
        <w:rPr>
          <w:rFonts w:ascii="Yu Gothic" w:cs="Yu Gothic" w:eastAsia="Yu Gothic" w:hAnsi="Yu Gothic"/>
          <w:b/>
          <w:bCs/>
          <w:color w:val="1F4E78"/>
          <w:sz w:val="24"/>
          <w:szCs w:val="24"/>
        </w:rPr>
        <w:t xml:space="preserve">10-4. 結論と、黒字化に向けた論点(正直な記載)</w:t>
      </w:r>
    </w:p>
    <w:p>
      <w:pPr>
        <w:spacing w:after="160" w:before="80"/>
      </w:pPr>
      <w:r>
        <w:rPr>
          <w:rFonts w:ascii="Yu Gothic" w:cs="Yu Gothic" w:eastAsia="Yu Gothic" w:hAnsi="Yu Gothic"/>
          <w:b/>
          <w:bCs/>
          <w:color w:val="C00000"/>
          <w:sz w:val="20"/>
          <w:szCs w:val="20"/>
        </w:rPr>
        <w:t xml:space="preserve">⚠ 平均区分5・稼働率85%に到達するYear4〜5の時点でも、営業赤字(年間約753万円)が残る構造である。さらにこの赤字が5年間累積すると約7,946万円の現金流出になり、真の必要資金は約1億1,011万円、資金ギャップは約7,011万円に達する(第9-2章)。</w:t>
      </w:r>
    </w:p>
    <w:p>
      <w:pPr>
        <w:spacing w:after="120" w:before="0"/>
      </w:pPr>
      <w:r>
        <w:rPr>
          <w:rFonts w:ascii="Yu Gothic" w:cs="Yu Gothic" w:eastAsia="Yu Gothic" w:hAnsi="Yu Gothic"/>
          <w:b/>
          <w:bCs/>
        </w:rPr>
        <w:t xml:space="preserve">黒字化、または赤字幅の大幅な縮小に向けて、以下を優先順位付きの検討課題として記載する。特に1・2は、本書ではまだ金額に反映できていないが、反映すれば結論そのものが変わる可能性がある最重要項目である。</w:t>
      </w:r>
    </w:p>
    <w:p>
      <w:pPr>
        <w:spacing w:after="120" w:before="0"/>
      </w:pPr>
      <w:r>
        <w:rPr>
          <w:rFonts w:ascii="Yu Gothic" w:cs="Yu Gothic" w:eastAsia="Yu Gothic" w:hAnsi="Yu Gothic"/>
          <w:b/>
          <w:bCs/>
        </w:rPr>
        <w:t xml:space="preserve">1. 人員配置を法定最低ラインに近づける</w:t>
      </w:r>
    </w:p>
    <w:p>
      <w:pPr>
        <w:spacing w:after="120" w:before="0"/>
      </w:pPr>
      <w:r>
        <w:rPr>
          <w:rFonts w:ascii="Yu Gothic" w:cs="Yu Gothic" w:eastAsia="Yu Gothic" w:hAnsi="Yu Gothic"/>
        </w:rPr>
        <w:t xml:space="preserve">第6-3章のとおり、本計画は看護職員・PT/OT・生活支援員の総数について、法定最低ライン6.0名に対し7.4名(+1.4名)を配置している。この上乗せ幅を圧縮する(例:6.0〜6.5名程度に近づける)だけで、年間500万円前後の人件費圧縮が見込める。理念の実現とのバランスを見ながら、上乗せの必要最小限を再検討すること。</w:t>
      </w:r>
    </w:p>
    <w:p>
      <w:pPr>
        <w:spacing w:after="120" w:before="0"/>
      </w:pPr>
      <w:r>
        <w:rPr>
          <w:rFonts w:ascii="Yu Gothic" w:cs="Yu Gothic" w:eastAsia="Yu Gothic" w:hAnsi="Yu Gothic"/>
          <w:b/>
          <w:bCs/>
        </w:rPr>
        <w:t xml:space="preserve">2. 取り漏れている加算の取得検討</w:t>
      </w:r>
    </w:p>
    <w:p>
      <w:pPr>
        <w:spacing w:after="120" w:before="0"/>
      </w:pPr>
      <w:r>
        <w:rPr>
          <w:rFonts w:ascii="Yu Gothic" w:cs="Yu Gothic" w:eastAsia="Yu Gothic" w:hAnsi="Yu Gothic"/>
        </w:rPr>
        <w:t xml:space="preserve">現在の収支計画には、基本報酬・送迎加算・処遇改善加算・入浴支援加算・食事提供体制加算の5つしか収入源が織り込まれていない。以下は、本計画が既に掲げている方針を活かせば取得を狙える可能性がある加算であり、次版で収支に反映すべきものである。</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900"/>
        <w:gridCol w:w="5400"/>
      </w:tblGrid>
      <w:tr>
        <w:trPr>
          <w:tblHeader/>
        </w:trPr>
        <w:tc>
          <w:tcPr>
            <w:tcW w:type="dxa" w:w="3900"/>
            <w:shd w:fill="1F4E78" w:val="clear"/>
            <w:tcMar>
              <w:top w:type="dxa" w:w="60"/>
              <w:left w:type="dxa" w:w="100"/>
              <w:bottom w:type="dxa" w:w="60"/>
              <w:right w:type="dxa" w:w="100"/>
            </w:tcMar>
          </w:tcPr>
          <w:p>
            <w:pPr>
              <w:jc w:val="center"/>
            </w:pPr>
            <w:r>
              <w:rPr>
                <w:rFonts w:ascii="Yu Gothic" w:cs="Yu Gothic" w:eastAsia="Yu Gothic" w:hAnsi="Yu Gothic"/>
                <w:b/>
                <w:bCs/>
                <w:sz w:val="19"/>
                <w:szCs w:val="19"/>
              </w:rPr>
              <w:t xml:space="preserve">加算(要一次確認)</w:t>
            </w:r>
          </w:p>
        </w:tc>
        <w:tc>
          <w:tcPr>
            <w:tcW w:type="dxa" w:w="5400"/>
            <w:shd w:fill="1F4E78" w:val="clear"/>
            <w:tcMar>
              <w:top w:type="dxa" w:w="60"/>
              <w:left w:type="dxa" w:w="100"/>
              <w:bottom w:type="dxa" w:w="60"/>
              <w:right w:type="dxa" w:w="100"/>
            </w:tcMar>
          </w:tcPr>
          <w:p>
            <w:pPr>
              <w:jc w:val="center"/>
            </w:pPr>
            <w:r>
              <w:rPr>
                <w:rFonts w:ascii="Yu Gothic" w:cs="Yu Gothic" w:eastAsia="Yu Gothic" w:hAnsi="Yu Gothic"/>
                <w:b/>
                <w:bCs/>
                <w:sz w:val="19"/>
                <w:szCs w:val="19"/>
              </w:rPr>
              <w:t xml:space="preserve">取得の考え方</w:t>
            </w:r>
          </w:p>
        </w:tc>
      </w:tr>
      <w:tr>
        <w:tc>
          <w:tcPr>
            <w:tcW w:type="dxa" w:w="39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人員配置体制加算</w:t>
            </w:r>
          </w:p>
        </w:tc>
        <w:tc>
          <w:tcPr>
            <w:tcW w:type="dxa" w:w="54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看護・PT/OT・生活支援員の総数を配置基準(3:1)よりさらに手厚くすることで算定(現状の7.4名という配置が、既にこの加算の対象水準に届いている可能性がある)</w:t>
            </w:r>
          </w:p>
        </w:tc>
      </w:tr>
      <w:tr>
        <w:tc>
          <w:tcPr>
            <w:tcW w:type="dxa" w:w="39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常勤看護職員等配置加算</w:t>
            </w:r>
          </w:p>
        </w:tc>
        <w:tc>
          <w:tcPr>
            <w:tcW w:type="dxa" w:w="54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看護職員を非常勤の組み合わせではなく常勤で配置する場合に算定余地</w:t>
            </w:r>
          </w:p>
        </w:tc>
      </w:tr>
      <w:tr>
        <w:tc>
          <w:tcPr>
            <w:tcW w:type="dxa" w:w="39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福祉専門職員配置等加算</w:t>
            </w:r>
          </w:p>
        </w:tc>
        <w:tc>
          <w:tcPr>
            <w:tcW w:type="dxa" w:w="54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生活支援員等のうち社会福祉士・介護福祉士等の有資格者比率、常勤割合の要件を満たす場合に算定</w:t>
            </w:r>
          </w:p>
        </w:tc>
      </w:tr>
      <w:tr>
        <w:tc>
          <w:tcPr>
            <w:tcW w:type="dxa" w:w="39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重度障害者支援加算・強度行動障害支援体制加算</w:t>
            </w:r>
          </w:p>
        </w:tc>
        <w:tc>
          <w:tcPr>
            <w:tcW w:type="dxa" w:w="54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区分5・6中心の受け入れ、強度行動障害への対応という差別化方針と直接結びつく加算</w:t>
            </w:r>
          </w:p>
        </w:tc>
      </w:tr>
      <w:tr>
        <w:tc>
          <w:tcPr>
            <w:tcW w:type="dxa" w:w="39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医療連携体制加算</w:t>
            </w:r>
          </w:p>
        </w:tc>
        <w:tc>
          <w:tcPr>
            <w:tcW w:type="dxa" w:w="54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医療的ケア対象者の受け入れ方針と結びつく</w:t>
            </w:r>
          </w:p>
        </w:tc>
      </w:tr>
    </w:tbl>
    <w:p>
      <w:pPr>
        <w:pStyle w:val="ListParagraph"/>
        <w:numPr>
          <w:ilvl w:val="0"/>
          <w:numId w:val="1"/>
        </w:numPr>
        <w:spacing w:after="80"/>
      </w:pPr>
      <w:r>
        <w:rPr>
          <w:rFonts w:ascii="Yu Gothic" w:cs="Yu Gothic" w:eastAsia="Yu Gothic" w:hAnsi="Yu Gothic"/>
        </w:rPr>
        <w:t xml:space="preserve">3. 稼働率のさらなる引き上げ(90%超)：第4章の営業戦略の実行が前提。ただし第4章の市場調査・営業活動は現時点で未着手であり、この論点の実現可能性そのものが未検証である点に留意。</w:t>
      </w:r>
    </w:p>
    <w:p>
      <w:pPr>
        <w:pStyle w:val="ListParagraph"/>
        <w:numPr>
          <w:ilvl w:val="0"/>
          <w:numId w:val="1"/>
        </w:numPr>
        <w:spacing w:after="80"/>
      </w:pPr>
      <w:r>
        <w:rPr>
          <w:rFonts w:ascii="Yu Gothic" w:cs="Yu Gothic" w:eastAsia="Yu Gothic" w:hAnsi="Yu Gothic"/>
        </w:rPr>
        <w:t xml:space="preserve">4. 固定費の圧縮：居抜き物件の徹底活用による家賃・内装費の圧縮(第7・9章)。</w:t>
      </w:r>
    </w:p>
    <w:p>
      <w:pPr>
        <w:pStyle w:val="ListParagraph"/>
        <w:numPr>
          <w:ilvl w:val="0"/>
          <w:numId w:val="1"/>
        </w:numPr>
        <w:spacing w:after="80"/>
      </w:pPr>
      <w:r>
        <w:rPr>
          <w:rFonts w:ascii="Yu Gothic" w:cs="Yu Gothic" w:eastAsia="Yu Gothic" w:hAnsi="Yu Gothic"/>
        </w:rPr>
        <w:t xml:space="preserve">5. 多機能型化による収益源の分散：定員20名の生活介護単独の最低定員要件(20人以上)に反するため、定員縮小という選択肢は制度上存在しない。就労継続支援B型等との多機能型事業所として固定費を複数事業で分散する構成を検討する。</w:t>
      </w:r>
    </w:p>
    <w:p>
      <w:pPr>
        <w:spacing w:after="120" w:before="0"/>
      </w:pPr>
      <w:r>
        <w:rPr>
          <w:rFonts w:ascii="Yu Gothic" w:cs="Yu Gothic" w:eastAsia="Yu Gothic" w:hAnsi="Yu Gothic"/>
          <w:b/>
          <w:bCs/>
        </w:rPr>
        <w:t xml:space="preserve">この事業を「今の設計のまま(人員配置・加算取得を見直さないまま)」金融機関・会長への提案に進めることは推奨できない。特に論点1・2を反映した収支の再計算を行い、それでもなお大きな資金ギャップが残るかどうかを確認したうえで、次のアクションを判断すべきである。</w:t>
      </w:r>
    </w:p>
    <w:p>
      <w:pPr>
        <w:pStyle w:val="Heading1"/>
        <w:spacing w:after="160" w:before="360"/>
      </w:pPr>
      <w:r>
        <w:rPr>
          <w:rFonts w:ascii="Yu Gothic" w:cs="Yu Gothic" w:eastAsia="Yu Gothic" w:hAnsi="Yu Gothic"/>
          <w:b/>
          <w:bCs/>
          <w:color w:val="1F4E78"/>
          <w:sz w:val="30"/>
          <w:szCs w:val="30"/>
        </w:rPr>
        <w:t xml:space="preserve">11. 運営基準への対応(新設)</w:t>
      </w:r>
    </w:p>
    <w:p>
      <w:pPr>
        <w:spacing w:after="120" w:before="0"/>
      </w:pPr>
      <w:r>
        <w:rPr>
          <w:rFonts w:ascii="Yu Gothic" w:cs="Yu Gothic" w:eastAsia="Yu Gothic" w:hAnsi="Yu Gothic"/>
        </w:rPr>
        <w:t xml:space="preserve">指定基準は人員・設備・運営の三本柱だが、改訂前の計画には運営基準への言及が一切なかった。以下は指定申請〜開所後に整備が必要な事項であり、未整備の場合は令和6年度改定で導入された各種減算の対象となる。</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2200"/>
        <w:gridCol w:w="1700"/>
      </w:tblGrid>
      <w:tr>
        <w:trPr>
          <w:tblHeader/>
        </w:trPr>
        <w:tc>
          <w:tcPr>
            <w:tcW w:type="dxa" w:w="2200"/>
            <w:shd w:fill="1F4E78" w:val="clear"/>
            <w:tcMar>
              <w:top w:type="dxa" w:w="60"/>
              <w:left w:type="dxa" w:w="100"/>
              <w:bottom w:type="dxa" w:w="60"/>
              <w:right w:type="dxa" w:w="100"/>
            </w:tcMar>
          </w:tcPr>
          <w:p>
            <w:pPr>
              <w:jc w:val="center"/>
            </w:pPr>
            <w:r>
              <w:rPr>
                <w:rFonts w:ascii="Yu Gothic" w:cs="Yu Gothic" w:eastAsia="Yu Gothic" w:hAnsi="Yu Gothic"/>
                <w:b/>
                <w:bCs/>
                <w:sz w:val="19"/>
                <w:szCs w:val="19"/>
              </w:rPr>
              <w:t xml:space="preserve">整備事項</w:t>
            </w:r>
          </w:p>
        </w:tc>
        <w:tc>
          <w:tcPr>
            <w:tcW w:type="dxa" w:w="3300"/>
            <w:shd w:fill="1F4E78" w:val="clear"/>
            <w:tcMar>
              <w:top w:type="dxa" w:w="60"/>
              <w:left w:type="dxa" w:w="100"/>
              <w:bottom w:type="dxa" w:w="60"/>
              <w:right w:type="dxa" w:w="100"/>
            </w:tcMar>
          </w:tcPr>
          <w:p>
            <w:pPr>
              <w:jc w:val="center"/>
            </w:pPr>
            <w:r>
              <w:rPr>
                <w:rFonts w:ascii="Yu Gothic" w:cs="Yu Gothic" w:eastAsia="Yu Gothic" w:hAnsi="Yu Gothic"/>
                <w:b/>
                <w:bCs/>
                <w:sz w:val="19"/>
                <w:szCs w:val="19"/>
              </w:rPr>
              <w:t xml:space="preserve">内容</w:t>
            </w:r>
          </w:p>
        </w:tc>
        <w:tc>
          <w:tcPr>
            <w:tcW w:type="dxa" w:w="2200"/>
            <w:shd w:fill="1F4E78" w:val="clear"/>
            <w:tcMar>
              <w:top w:type="dxa" w:w="60"/>
              <w:left w:type="dxa" w:w="100"/>
              <w:bottom w:type="dxa" w:w="60"/>
              <w:right w:type="dxa" w:w="100"/>
            </w:tcMar>
          </w:tcPr>
          <w:p>
            <w:pPr>
              <w:jc w:val="center"/>
            </w:pPr>
            <w:r>
              <w:rPr>
                <w:rFonts w:ascii="Yu Gothic" w:cs="Yu Gothic" w:eastAsia="Yu Gothic" w:hAnsi="Yu Gothic"/>
                <w:b/>
                <w:bCs/>
                <w:sz w:val="19"/>
                <w:szCs w:val="19"/>
              </w:rPr>
              <w:t xml:space="preserve">未整備時の影響</w:t>
            </w:r>
          </w:p>
        </w:tc>
        <w:tc>
          <w:tcPr>
            <w:tcW w:type="dxa" w:w="1700"/>
            <w:shd w:fill="1F4E78" w:val="clear"/>
            <w:tcMar>
              <w:top w:type="dxa" w:w="60"/>
              <w:left w:type="dxa" w:w="100"/>
              <w:bottom w:type="dxa" w:w="60"/>
              <w:right w:type="dxa" w:w="100"/>
            </w:tcMar>
          </w:tcPr>
          <w:p>
            <w:pPr>
              <w:jc w:val="center"/>
            </w:pPr>
            <w:r>
              <w:rPr>
                <w:rFonts w:ascii="Yu Gothic" w:cs="Yu Gothic" w:eastAsia="Yu Gothic" w:hAnsi="Yu Gothic"/>
                <w:b/>
                <w:bCs/>
                <w:sz w:val="19"/>
                <w:szCs w:val="19"/>
              </w:rPr>
              <w:t xml:space="preserve">整備時期</w:t>
            </w:r>
          </w:p>
        </w:tc>
      </w:tr>
      <w:tr>
        <w:tc>
          <w:tcPr>
            <w:tcW w:type="dxa" w:w="22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虐待防止委員会・指針・研修</w:t>
            </w:r>
          </w:p>
        </w:tc>
        <w:tc>
          <w:tcPr>
            <w:tcW w:type="dxa" w:w="33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委員会設置、指針策定、年1回以上の研修、責任者設置</w:t>
            </w:r>
          </w:p>
        </w:tc>
        <w:tc>
          <w:tcPr>
            <w:tcW w:type="dxa" w:w="22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虐待防止措置未実施減算</w:t>
            </w:r>
          </w:p>
        </w:tc>
        <w:tc>
          <w:tcPr>
            <w:tcW w:type="dxa" w:w="17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指定申請まで</w:t>
            </w:r>
          </w:p>
        </w:tc>
      </w:tr>
      <w:tr>
        <w:tc>
          <w:tcPr>
            <w:tcW w:type="dxa" w:w="22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身体拘束等適正化委員会・指針・研修</w:t>
            </w:r>
          </w:p>
        </w:tc>
        <w:tc>
          <w:tcPr>
            <w:tcW w:type="dxa" w:w="33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同上</w:t>
            </w:r>
          </w:p>
        </w:tc>
        <w:tc>
          <w:tcPr>
            <w:tcW w:type="dxa" w:w="22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身体拘束廃止未実施減算</w:t>
            </w:r>
          </w:p>
        </w:tc>
        <w:tc>
          <w:tcPr>
            <w:tcW w:type="dxa" w:w="17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指定申請まで</w:t>
            </w:r>
          </w:p>
        </w:tc>
      </w:tr>
      <w:tr>
        <w:tc>
          <w:tcPr>
            <w:tcW w:type="dxa" w:w="22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業務継続計画(BCP)</w:t>
            </w:r>
          </w:p>
        </w:tc>
        <w:tc>
          <w:tcPr>
            <w:tcW w:type="dxa" w:w="33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感染症・非常災害発生時の事業継続計画の策定、研修・訓練</w:t>
            </w:r>
          </w:p>
        </w:tc>
        <w:tc>
          <w:tcPr>
            <w:tcW w:type="dxa" w:w="22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業務継続計画未策定減算</w:t>
            </w:r>
          </w:p>
        </w:tc>
        <w:tc>
          <w:tcPr>
            <w:tcW w:type="dxa" w:w="17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指定申請まで</w:t>
            </w:r>
          </w:p>
        </w:tc>
      </w:tr>
      <w:tr>
        <w:tc>
          <w:tcPr>
            <w:tcW w:type="dxa" w:w="22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感染症対策委員会・指針・研修</w:t>
            </w:r>
          </w:p>
        </w:tc>
        <w:tc>
          <w:tcPr>
            <w:tcW w:type="dxa" w:w="33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委員会設置、指針策定、研修・訓練</w:t>
            </w:r>
          </w:p>
        </w:tc>
        <w:tc>
          <w:tcPr>
            <w:tcW w:type="dxa" w:w="22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関連減算の対象となり得る</w:t>
            </w:r>
          </w:p>
        </w:tc>
        <w:tc>
          <w:tcPr>
            <w:tcW w:type="dxa" w:w="17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指定申請まで</w:t>
            </w:r>
          </w:p>
        </w:tc>
      </w:tr>
      <w:tr>
        <w:tc>
          <w:tcPr>
            <w:tcW w:type="dxa" w:w="22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情報公表制度への報告</w:t>
            </w:r>
          </w:p>
        </w:tc>
        <w:tc>
          <w:tcPr>
            <w:tcW w:type="dxa" w:w="33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事業所情報の公表・年次報告</w:t>
            </w:r>
          </w:p>
        </w:tc>
        <w:tc>
          <w:tcPr>
            <w:tcW w:type="dxa" w:w="22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情報公表未報告減算</w:t>
            </w:r>
          </w:p>
        </w:tc>
        <w:tc>
          <w:tcPr>
            <w:tcW w:type="dxa" w:w="17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指定後、報告期限まで</w:t>
            </w:r>
          </w:p>
        </w:tc>
      </w:tr>
      <w:tr>
        <w:tc>
          <w:tcPr>
            <w:tcW w:type="dxa" w:w="22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非常災害対策</w:t>
            </w:r>
          </w:p>
        </w:tc>
        <w:tc>
          <w:tcPr>
            <w:tcW w:type="dxa" w:w="33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消防計画の届出、避難訓練の実施</w:t>
            </w:r>
          </w:p>
        </w:tc>
        <w:tc>
          <w:tcPr>
            <w:tcW w:type="dxa" w:w="22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消防法上の義務違反</w:t>
            </w:r>
          </w:p>
        </w:tc>
        <w:tc>
          <w:tcPr>
            <w:tcW w:type="dxa" w:w="17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指定申請まで</w:t>
            </w:r>
          </w:p>
        </w:tc>
      </w:tr>
      <w:tr>
        <w:tc>
          <w:tcPr>
            <w:tcW w:type="dxa" w:w="22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苦情解決体制</w:t>
            </w:r>
          </w:p>
        </w:tc>
        <w:tc>
          <w:tcPr>
            <w:tcW w:type="dxa" w:w="33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苦情処理担当者・第三者委員の設置</w:t>
            </w:r>
          </w:p>
        </w:tc>
        <w:tc>
          <w:tcPr>
            <w:tcW w:type="dxa" w:w="22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運営基準違反</w:t>
            </w:r>
          </w:p>
        </w:tc>
        <w:tc>
          <w:tcPr>
            <w:tcW w:type="dxa" w:w="17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指定申請まで</w:t>
            </w:r>
          </w:p>
        </w:tc>
      </w:tr>
      <w:tr>
        <w:tc>
          <w:tcPr>
            <w:tcW w:type="dxa" w:w="22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協力医療機関の確保</w:t>
            </w:r>
          </w:p>
        </w:tc>
        <w:tc>
          <w:tcPr>
            <w:tcW w:type="dxa" w:w="33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緊急時対応のための医療機関との連携</w:t>
            </w:r>
          </w:p>
        </w:tc>
        <w:tc>
          <w:tcPr>
            <w:tcW w:type="dxa" w:w="22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運営基準違反</w:t>
            </w:r>
          </w:p>
        </w:tc>
        <w:tc>
          <w:tcPr>
            <w:tcW w:type="dxa" w:w="17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指定申請まで</w:t>
            </w:r>
          </w:p>
        </w:tc>
      </w:tr>
      <w:tr>
        <w:tc>
          <w:tcPr>
            <w:tcW w:type="dxa" w:w="22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記録の整備</w:t>
            </w:r>
          </w:p>
        </w:tc>
        <w:tc>
          <w:tcPr>
            <w:tcW w:type="dxa" w:w="33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サービス提供記録等の5年保存</w:t>
            </w:r>
          </w:p>
        </w:tc>
        <w:tc>
          <w:tcPr>
            <w:tcW w:type="dxa" w:w="22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運営基準違反</w:t>
            </w:r>
          </w:p>
        </w:tc>
        <w:tc>
          <w:tcPr>
            <w:tcW w:type="dxa" w:w="17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開所後、継続的に</w:t>
            </w:r>
          </w:p>
        </w:tc>
      </w:tr>
      <w:tr>
        <w:tc>
          <w:tcPr>
            <w:tcW w:type="dxa" w:w="22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就業規則・給与規程等</w:t>
            </w:r>
          </w:p>
        </w:tc>
        <w:tc>
          <w:tcPr>
            <w:tcW w:type="dxa" w:w="33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常時10名以上雇用の場合は労基署への届出義務</w:t>
            </w:r>
          </w:p>
        </w:tc>
        <w:tc>
          <w:tcPr>
            <w:tcW w:type="dxa" w:w="22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労働基準法違反</w:t>
            </w:r>
          </w:p>
        </w:tc>
        <w:tc>
          <w:tcPr>
            <w:tcW w:type="dxa" w:w="17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要件充足時</w:t>
            </w:r>
          </w:p>
        </w:tc>
      </w:tr>
      <w:tr>
        <w:tc>
          <w:tcPr>
            <w:tcW w:type="dxa" w:w="22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個別支援計画の作成・モニタリング体制</w:t>
            </w:r>
          </w:p>
        </w:tc>
        <w:tc>
          <w:tcPr>
            <w:tcW w:type="dxa" w:w="33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アセスメント→原案→担当者会議→説明同意→交付→6か月ごとのモニタリングという一連の手順を定員分確立。サビ管(丸山氏)の実務負荷の中心</w:t>
            </w:r>
          </w:p>
        </w:tc>
        <w:tc>
          <w:tcPr>
            <w:tcW w:type="dxa" w:w="22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個別支援計画未作成減算(所定単位数の30%、3か月以上継続で50%)</w:t>
            </w:r>
          </w:p>
        </w:tc>
        <w:tc>
          <w:tcPr>
            <w:tcW w:type="dxa" w:w="17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指定申請〜開所後、継続的に</w:t>
            </w:r>
          </w:p>
        </w:tc>
      </w:tr>
      <w:tr>
        <w:tc>
          <w:tcPr>
            <w:tcW w:type="dxa" w:w="22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サービス管理責任者の欠如への備え</w:t>
            </w:r>
          </w:p>
        </w:tc>
        <w:tc>
          <w:tcPr>
            <w:tcW w:type="dxa" w:w="33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丸山氏が管理者を兼務する一極集中体制のため、不在・休職時の代替体制を検討</w:t>
            </w:r>
          </w:p>
        </w:tc>
        <w:tc>
          <w:tcPr>
            <w:tcW w:type="dxa" w:w="22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サービス管理責任者欠如減算</w:t>
            </w:r>
          </w:p>
        </w:tc>
        <w:tc>
          <w:tcPr>
            <w:tcW w:type="dxa" w:w="17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開所前に検討</w:t>
            </w:r>
          </w:p>
        </w:tc>
      </w:tr>
      <w:tr>
        <w:tc>
          <w:tcPr>
            <w:tcW w:type="dxa" w:w="22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生活支援員等の欠員への備え</w:t>
            </w:r>
          </w:p>
        </w:tc>
        <w:tc>
          <w:tcPr>
            <w:tcW w:type="dxa" w:w="33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常勤換算が法定最低ラインに近い場合、1名の退職・長期休養で基準を割り込むリスク</w:t>
            </w:r>
          </w:p>
        </w:tc>
        <w:tc>
          <w:tcPr>
            <w:tcW w:type="dxa" w:w="22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サービス提供職員欠如減算</w:t>
            </w:r>
          </w:p>
        </w:tc>
        <w:tc>
          <w:tcPr>
            <w:tcW w:type="dxa" w:w="17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継続的に</w:t>
            </w:r>
          </w:p>
        </w:tc>
      </w:tr>
      <w:tr>
        <w:tc>
          <w:tcPr>
            <w:tcW w:type="dxa" w:w="22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定員超過利用への対応</w:t>
            </w:r>
          </w:p>
        </w:tc>
        <w:tc>
          <w:tcPr>
            <w:tcW w:type="dxa" w:w="33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1日の利用者数が定員150%超、または直近3か月平均125%超の減算ルールを把握</w:t>
            </w:r>
          </w:p>
        </w:tc>
        <w:tc>
          <w:tcPr>
            <w:tcW w:type="dxa" w:w="22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定員超過利用減算</w:t>
            </w:r>
          </w:p>
        </w:tc>
        <w:tc>
          <w:tcPr>
            <w:tcW w:type="dxa" w:w="17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開所後、継続的に</w:t>
            </w:r>
          </w:p>
        </w:tc>
      </w:tr>
      <w:tr>
        <w:tc>
          <w:tcPr>
            <w:tcW w:type="dxa" w:w="22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処遇改善加算の体制届・実績報告</w:t>
            </w:r>
          </w:p>
        </w:tc>
        <w:tc>
          <w:tcPr>
            <w:tcW w:type="dxa" w:w="33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加算区分に応じた体制届出書、賃金改善計画書・実績報告書の作成</w:t>
            </w:r>
          </w:p>
        </w:tc>
        <w:tc>
          <w:tcPr>
            <w:tcW w:type="dxa" w:w="22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未届出・未達成の場合は加算の返還</w:t>
            </w:r>
          </w:p>
        </w:tc>
        <w:tc>
          <w:tcPr>
            <w:tcW w:type="dxa" w:w="17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指定申請時、以後毎年度</w:t>
            </w:r>
          </w:p>
        </w:tc>
      </w:tr>
      <w:tr>
        <w:tc>
          <w:tcPr>
            <w:tcW w:type="dxa" w:w="22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欠格事由の確認</w:t>
            </w:r>
          </w:p>
        </w:tc>
        <w:tc>
          <w:tcPr>
            <w:tcW w:type="dxa" w:w="33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法人代表・役員について、障害者総合支援法第36条第3項の欠格事由に該当しないことの確認</w:t>
            </w:r>
          </w:p>
        </w:tc>
        <w:tc>
          <w:tcPr>
            <w:tcW w:type="dxa" w:w="22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指定を受けられない</w:t>
            </w:r>
          </w:p>
        </w:tc>
        <w:tc>
          <w:tcPr>
            <w:tcW w:type="dxa" w:w="17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申請前に確認</w:t>
            </w:r>
          </w:p>
        </w:tc>
      </w:tr>
    </w:tbl>
    <w:p>
      <w:pPr>
        <w:spacing w:after="120" w:before="0"/>
      </w:pPr>
      <w:r>
        <w:rPr>
          <w:rFonts w:ascii="Yu Gothic" w:cs="Yu Gothic" w:eastAsia="Yu Gothic" w:hAnsi="Yu Gothic"/>
        </w:rPr>
        <w:t xml:space="preserve">上記を「第13章 今後のアクションプラン」に落とし込み、担当者と期限を割り当てること。特に個別支援計画関連の体制整備は生活介護の運営基準の中核であり、他の項目より優先して具体化すること。</w:t>
      </w:r>
    </w:p>
    <w:p>
      <w:pPr>
        <w:pStyle w:val="Heading1"/>
        <w:spacing w:after="160" w:before="360"/>
      </w:pPr>
      <w:r>
        <w:rPr>
          <w:rFonts w:ascii="Yu Gothic" w:cs="Yu Gothic" w:eastAsia="Yu Gothic" w:hAnsi="Yu Gothic"/>
          <w:b/>
          <w:bCs/>
          <w:color w:val="1F4E78"/>
          <w:sz w:val="30"/>
          <w:szCs w:val="30"/>
        </w:rPr>
        <w:t xml:space="preserve">12. リスクと対応策</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300"/>
      </w:tblGrid>
      <w:tr>
        <w:trPr>
          <w:tblHeader/>
        </w:trPr>
        <w:tc>
          <w:tcPr>
            <w:tcW w:type="dxa" w:w="2400"/>
            <w:shd w:fill="1F4E78" w:val="clear"/>
            <w:tcMar>
              <w:top w:type="dxa" w:w="60"/>
              <w:left w:type="dxa" w:w="100"/>
              <w:bottom w:type="dxa" w:w="60"/>
              <w:right w:type="dxa" w:w="100"/>
            </w:tcMar>
          </w:tcPr>
          <w:p>
            <w:pPr>
              <w:jc w:val="center"/>
            </w:pPr>
            <w:r>
              <w:rPr>
                <w:rFonts w:ascii="Yu Gothic" w:cs="Yu Gothic" w:eastAsia="Yu Gothic" w:hAnsi="Yu Gothic"/>
                <w:b/>
                <w:bCs/>
                <w:sz w:val="19"/>
                <w:szCs w:val="19"/>
              </w:rPr>
              <w:t xml:space="preserve">リスク</w:t>
            </w:r>
          </w:p>
        </w:tc>
        <w:tc>
          <w:tcPr>
            <w:tcW w:type="dxa" w:w="3400"/>
            <w:shd w:fill="1F4E78" w:val="clear"/>
            <w:tcMar>
              <w:top w:type="dxa" w:w="60"/>
              <w:left w:type="dxa" w:w="100"/>
              <w:bottom w:type="dxa" w:w="60"/>
              <w:right w:type="dxa" w:w="100"/>
            </w:tcMar>
          </w:tcPr>
          <w:p>
            <w:pPr>
              <w:jc w:val="center"/>
            </w:pPr>
            <w:r>
              <w:rPr>
                <w:rFonts w:ascii="Yu Gothic" w:cs="Yu Gothic" w:eastAsia="Yu Gothic" w:hAnsi="Yu Gothic"/>
                <w:b/>
                <w:bCs/>
                <w:sz w:val="19"/>
                <w:szCs w:val="19"/>
              </w:rPr>
              <w:t xml:space="preserve">内容</w:t>
            </w:r>
          </w:p>
        </w:tc>
        <w:tc>
          <w:tcPr>
            <w:tcW w:type="dxa" w:w="3300"/>
            <w:shd w:fill="1F4E78" w:val="clear"/>
            <w:tcMar>
              <w:top w:type="dxa" w:w="60"/>
              <w:left w:type="dxa" w:w="100"/>
              <w:bottom w:type="dxa" w:w="60"/>
              <w:right w:type="dxa" w:w="100"/>
            </w:tcMar>
          </w:tcPr>
          <w:p>
            <w:pPr>
              <w:jc w:val="center"/>
            </w:pPr>
            <w:r>
              <w:rPr>
                <w:rFonts w:ascii="Yu Gothic" w:cs="Yu Gothic" w:eastAsia="Yu Gothic" w:hAnsi="Yu Gothic"/>
                <w:b/>
                <w:bCs/>
                <w:sz w:val="19"/>
                <w:szCs w:val="19"/>
              </w:rPr>
              <w:t xml:space="preserve">対応策</w:t>
            </w:r>
          </w:p>
        </w:tc>
      </w:tr>
      <w:tr>
        <w:tc>
          <w:tcPr>
            <w:tcW w:type="dxa" w:w="24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収支構造リスク(最重要)</w:t>
            </w:r>
          </w:p>
        </w:tc>
        <w:tc>
          <w:tcPr>
            <w:tcW w:type="dxa" w:w="34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是正後の収支でも、Year5時点で年間約753万円の営業赤字が残る</w:t>
            </w:r>
          </w:p>
        </w:tc>
        <w:tc>
          <w:tcPr>
            <w:tcW w:type="dxa" w:w="33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第10-4章の論点(人員配置の適正化・加算取得・稼働率・固定費・多機能型化)を検証し、次版までに黒字化の道筋を明確にする</w:t>
            </w:r>
          </w:p>
        </w:tc>
      </w:tr>
      <w:tr>
        <w:tc>
          <w:tcPr>
            <w:tcW w:type="dxa" w:w="24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資金ギャップリスク(最重要)</w:t>
            </w:r>
          </w:p>
        </w:tc>
        <w:tc>
          <w:tcPr>
            <w:tcW w:type="dxa" w:w="34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5ヵ年の累積資金需要を踏まえると、現時点の調達計画で約7,011万円の資金ギャップが残る</w:t>
            </w:r>
          </w:p>
        </w:tc>
        <w:tc>
          <w:tcPr>
            <w:tcW w:type="dxa" w:w="33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収支構造の見直しを優先的に反映したうえで、居抜き物件の徹底活用、自己資金の積み増し、会長借入・地方銀行融資の増額交渉、多機能型化を組み合わせて解消する</w:t>
            </w:r>
          </w:p>
        </w:tc>
      </w:tr>
      <w:tr>
        <w:tc>
          <w:tcPr>
            <w:tcW w:type="dxa" w:w="24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平均障害支援区分低下リスク</w:t>
            </w:r>
          </w:p>
        </w:tc>
        <w:tc>
          <w:tcPr>
            <w:tcW w:type="dxa" w:w="34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収支の生命線は平均区分5の維持。区分4台に落ちるだけで基本報酬収入が3割前後減少し得る</w:t>
            </w:r>
          </w:p>
        </w:tc>
        <w:tc>
          <w:tcPr>
            <w:tcW w:type="dxa" w:w="33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「区分5・6の利用者を一定数以上維持する」運用ルールを明文化し、幅広い受け入れ方針との両立を図る</w:t>
            </w:r>
          </w:p>
        </w:tc>
      </w:tr>
      <w:tr>
        <w:tc>
          <w:tcPr>
            <w:tcW w:type="dxa" w:w="24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自己資金過少リスク</w:t>
            </w:r>
          </w:p>
        </w:tc>
        <w:tc>
          <w:tcPr>
            <w:tcW w:type="dxa" w:w="34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自己資金が薄く、本気度を疑われやすい</w:t>
            </w:r>
          </w:p>
        </w:tc>
        <w:tc>
          <w:tcPr>
            <w:tcW w:type="dxa" w:w="33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丸山氏の専念姿勢、豊口氏の経営責任、具体的な返済計画を明示。役員報酬を抑制し返済を優先</w:t>
            </w:r>
          </w:p>
        </w:tc>
      </w:tr>
      <w:tr>
        <w:tc>
          <w:tcPr>
            <w:tcW w:type="dxa" w:w="24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看護職員・機能訓練指導員の確保リスク</w:t>
            </w:r>
          </w:p>
        </w:tc>
        <w:tc>
          <w:tcPr>
            <w:tcW w:type="dxa" w:w="34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必置(または運営規程上必須)の職種だが、現時点で候補者のあてがない</w:t>
            </w:r>
          </w:p>
        </w:tc>
        <w:tc>
          <w:tcPr>
            <w:tcW w:type="dxa" w:w="33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開所6か月以上前から採用活動を開始。非常勤の組み合わせでの充足も検討</w:t>
            </w:r>
          </w:p>
        </w:tc>
      </w:tr>
      <w:tr>
        <w:tc>
          <w:tcPr>
            <w:tcW w:type="dxa" w:w="24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稼働率未達リスク</w:t>
            </w:r>
          </w:p>
        </w:tc>
        <w:tc>
          <w:tcPr>
            <w:tcW w:type="dxa" w:w="34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開所直後は利用者確保に時間がかかる。現時点で確定した紹介ルートはまだない</w:t>
            </w:r>
          </w:p>
        </w:tc>
        <w:tc>
          <w:tcPr>
            <w:tcW w:type="dxa" w:w="33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特別支援学校の進路決定サイクルに合わせた開所時期の調整、早期からの営業活動</w:t>
            </w:r>
          </w:p>
        </w:tc>
      </w:tr>
      <w:tr>
        <w:tc>
          <w:tcPr>
            <w:tcW w:type="dxa" w:w="24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経営体制・ガバナンスリスク</w:t>
            </w:r>
          </w:p>
        </w:tc>
        <w:tc>
          <w:tcPr>
            <w:tcW w:type="dxa" w:w="34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意思決定の分担が曖昧だと運営が滞る</w:t>
            </w:r>
          </w:p>
        </w:tc>
        <w:tc>
          <w:tcPr>
            <w:tcW w:type="dxa" w:w="33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出資比率・決裁ルール・撤退基準を創業者間契約書として明文化する</w:t>
            </w:r>
          </w:p>
        </w:tc>
      </w:tr>
      <w:tr>
        <w:tc>
          <w:tcPr>
            <w:tcW w:type="dxa" w:w="24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物件確保・法令適合リスク</w:t>
            </w:r>
          </w:p>
        </w:tc>
        <w:tc>
          <w:tcPr>
            <w:tcW w:type="dxa" w:w="34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用途変更・消防法令に適合する物件が見つかるとは限らない</w:t>
            </w:r>
          </w:p>
        </w:tc>
        <w:tc>
          <w:tcPr>
            <w:tcW w:type="dxa" w:w="3300"/>
            <w:shd w:fill="DCE6F1" w:val="clear"/>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居抜き物件を優先探索し、建築士・消防署予防課への事前相談を並行</w:t>
            </w:r>
          </w:p>
        </w:tc>
      </w:tr>
      <w:tr>
        <w:tc>
          <w:tcPr>
            <w:tcW w:type="dxa" w:w="24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報酬改定リスク</w:t>
            </w:r>
          </w:p>
        </w:tc>
        <w:tc>
          <w:tcPr>
            <w:tcW w:type="dxa" w:w="34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3年に一度の報酬改定で単位数・加算要件が変動(次回は2027年度目安)</w:t>
            </w:r>
          </w:p>
        </w:tc>
        <w:tc>
          <w:tcPr>
            <w:tcW w:type="dxa" w:w="3300"/>
            <w:tcMar>
              <w:top w:type="dxa" w:w="60"/>
              <w:left w:type="dxa" w:w="100"/>
              <w:bottom w:type="dxa" w:w="60"/>
              <w:right w:type="dxa" w:w="100"/>
            </w:tcMar>
          </w:tcPr>
          <w:p>
            <w:pPr>
              <w:jc w:val="left"/>
            </w:pPr>
            <w:r>
              <w:rPr>
                <w:rFonts w:ascii="Yu Gothic" w:cs="Yu Gothic" w:eastAsia="Yu Gothic" w:hAnsi="Yu Gothic"/>
                <w:b w:val="false"/>
                <w:bCs w:val="false"/>
                <w:sz w:val="19"/>
                <w:szCs w:val="19"/>
              </w:rPr>
              <w:t xml:space="preserve">複数シナリオでの収支試算、加算取得率の高い運営体制の構築</w:t>
            </w:r>
          </w:p>
        </w:tc>
      </w:tr>
    </w:tbl>
    <w:p>
      <w:pPr>
        <w:pStyle w:val="Heading1"/>
        <w:spacing w:after="160" w:before="360"/>
      </w:pPr>
      <w:r>
        <w:rPr>
          <w:rFonts w:ascii="Yu Gothic" w:cs="Yu Gothic" w:eastAsia="Yu Gothic" w:hAnsi="Yu Gothic"/>
          <w:b/>
          <w:bCs/>
          <w:color w:val="1F4E78"/>
          <w:sz w:val="30"/>
          <w:szCs w:val="30"/>
        </w:rPr>
        <w:t xml:space="preserve">13. 今後のアクションプラン(チェックリスト)</w:t>
      </w:r>
    </w:p>
    <w:p>
      <w:pPr>
        <w:pStyle w:val="Heading2"/>
        <w:spacing w:after="120" w:before="240"/>
      </w:pPr>
      <w:r>
        <w:rPr>
          <w:rFonts w:ascii="Yu Gothic" w:cs="Yu Gothic" w:eastAsia="Yu Gothic" w:hAnsi="Yu Gothic"/>
          <w:b/>
          <w:bCs/>
          <w:color w:val="1F4E78"/>
          <w:sz w:val="24"/>
          <w:szCs w:val="24"/>
        </w:rPr>
        <w:t xml:space="preserve">最優先(今週中に着手)</w:t>
      </w:r>
    </w:p>
    <w:p>
      <w:pPr>
        <w:pStyle w:val="Heading2"/>
        <w:spacing w:after="120" w:before="240"/>
      </w:pPr>
      <w:r>
        <w:rPr>
          <w:rFonts w:ascii="Yu Gothic" w:cs="Yu Gothic" w:eastAsia="Yu Gothic" w:hAnsi="Yu Gothic"/>
          <w:b/>
          <w:bCs/>
          <w:color w:val="1F4E78"/>
          <w:sz w:val="24"/>
          <w:szCs w:val="24"/>
        </w:rPr>
        <w:t xml:space="preserve">事業設計の確定(1〜2か月)</w:t>
      </w:r>
    </w:p>
    <w:p>
      <w:pPr>
        <w:pStyle w:val="Heading2"/>
        <w:spacing w:after="120" w:before="240"/>
      </w:pPr>
      <w:r>
        <w:rPr>
          <w:rFonts w:ascii="Yu Gothic" w:cs="Yu Gothic" w:eastAsia="Yu Gothic" w:hAnsi="Yu Gothic"/>
          <w:b/>
          <w:bCs/>
          <w:color w:val="1F4E78"/>
          <w:sz w:val="24"/>
          <w:szCs w:val="24"/>
        </w:rPr>
        <w:t xml:space="preserve">物件・法令適合(2〜4か月)</w:t>
      </w:r>
    </w:p>
    <w:p>
      <w:pPr>
        <w:pStyle w:val="Heading2"/>
        <w:spacing w:after="120" w:before="240"/>
      </w:pPr>
      <w:r>
        <w:rPr>
          <w:rFonts w:ascii="Yu Gothic" w:cs="Yu Gothic" w:eastAsia="Yu Gothic" w:hAnsi="Yu Gothic"/>
          <w:b/>
          <w:bCs/>
          <w:color w:val="1F4E78"/>
          <w:sz w:val="24"/>
          <w:szCs w:val="24"/>
        </w:rPr>
        <w:t xml:space="preserve">人材・営業(開所6か月以上前から)</w:t>
      </w:r>
    </w:p>
    <w:p>
      <w:pPr>
        <w:pStyle w:val="Heading2"/>
        <w:spacing w:after="120" w:before="240"/>
      </w:pPr>
      <w:r>
        <w:rPr>
          <w:rFonts w:ascii="Yu Gothic" w:cs="Yu Gothic" w:eastAsia="Yu Gothic" w:hAnsi="Yu Gothic"/>
          <w:b/>
          <w:bCs/>
          <w:color w:val="1F4E78"/>
          <w:sz w:val="24"/>
          <w:szCs w:val="24"/>
        </w:rPr>
        <w:t xml:space="preserve">開所前の体制整備</w:t>
      </w:r>
    </w:p>
    <w:p>
      <w:pPr>
        <w:pStyle w:val="Heading1"/>
        <w:spacing w:after="160" w:before="360"/>
      </w:pPr>
      <w:r>
        <w:rPr>
          <w:rFonts w:ascii="Yu Gothic" w:cs="Yu Gothic" w:eastAsia="Yu Gothic" w:hAnsi="Yu Gothic"/>
          <w:b/>
          <w:bCs/>
          <w:color w:val="1F4E78"/>
          <w:sz w:val="30"/>
          <w:szCs w:val="30"/>
        </w:rPr>
        <w:t xml:space="preserve">参考資料・出典</w:t>
      </w:r>
    </w:p>
    <w:p>
      <w:pPr>
        <w:pStyle w:val="ListParagraph"/>
        <w:numPr>
          <w:ilvl w:val="0"/>
          <w:numId w:val="1"/>
        </w:numPr>
        <w:spacing w:after="80"/>
      </w:pPr>
      <w:r>
        <w:rPr>
          <w:rFonts w:ascii="Yu Gothic" w:cs="Yu Gothic" w:eastAsia="Yu Gothic" w:hAnsi="Yu Gothic"/>
          <w:sz w:val="19"/>
          <w:szCs w:val="19"/>
        </w:rPr>
        <w:t xml:space="preserve">障害福祉サービス事業者等 指定申請の手引き｜広島県健康福祉局障害者支援課(令和7年7月改訂版)(広島県所管事業者向け。広島市所管の本計画では広島市提示の手引き・様式を別途確認すること)</w:t>
      </w:r>
    </w:p>
    <w:p>
      <w:pPr>
        <w:pStyle w:val="ListParagraph"/>
        <w:numPr>
          <w:ilvl w:val="0"/>
          <w:numId w:val="1"/>
        </w:numPr>
        <w:spacing w:after="80"/>
      </w:pPr>
      <w:r>
        <w:rPr>
          <w:rFonts w:ascii="Yu Gothic" w:cs="Yu Gothic" w:eastAsia="Yu Gothic" w:hAnsi="Yu Gothic"/>
          <w:sz w:val="19"/>
          <w:szCs w:val="19"/>
        </w:rPr>
        <w:t xml:space="preserve">障害福祉サービス事業所等の指定に係る事前相談｜広島市</w:t>
      </w:r>
    </w:p>
    <w:p>
      <w:pPr>
        <w:pStyle w:val="ListParagraph"/>
        <w:numPr>
          <w:ilvl w:val="0"/>
          <w:numId w:val="1"/>
        </w:numPr>
        <w:spacing w:after="80"/>
      </w:pPr>
      <w:r>
        <w:rPr>
          <w:rFonts w:ascii="Yu Gothic" w:cs="Yu Gothic" w:eastAsia="Yu Gothic" w:hAnsi="Yu Gothic"/>
          <w:sz w:val="19"/>
          <w:szCs w:val="19"/>
        </w:rPr>
        <w:t xml:space="preserve">令和6年度障害福祉サービス等報酬改定｜広島市</w:t>
      </w:r>
    </w:p>
    <w:p>
      <w:pPr>
        <w:pStyle w:val="ListParagraph"/>
        <w:numPr>
          <w:ilvl w:val="0"/>
          <w:numId w:val="1"/>
        </w:numPr>
        <w:spacing w:after="80"/>
      </w:pPr>
      <w:r>
        <w:rPr>
          <w:rFonts w:ascii="Yu Gothic" w:cs="Yu Gothic" w:eastAsia="Yu Gothic" w:hAnsi="Yu Gothic"/>
          <w:sz w:val="19"/>
          <w:szCs w:val="19"/>
        </w:rPr>
        <w:t xml:space="preserve">広島市内の障害福祉サービス等及び地域生活支援事業 事業者・施設情報一覧｜広島市</w:t>
      </w:r>
    </w:p>
    <w:p>
      <w:pPr>
        <w:pStyle w:val="ListParagraph"/>
        <w:numPr>
          <w:ilvl w:val="0"/>
          <w:numId w:val="1"/>
        </w:numPr>
        <w:spacing w:after="80"/>
      </w:pPr>
      <w:r>
        <w:rPr>
          <w:rFonts w:ascii="Yu Gothic" w:cs="Yu Gothic" w:eastAsia="Yu Gothic" w:hAnsi="Yu Gothic"/>
          <w:sz w:val="19"/>
          <w:szCs w:val="19"/>
        </w:rPr>
        <w:t xml:space="preserve">生活介護 基本報酬単位数(令和6年度報酬改定、定員20人以下・7時間以上8時間未満/日)：区分6=1,288単位、区分5=964単位、区分4=669単位、区分3=599単位、区分2以下=546単位</w:t>
      </w:r>
    </w:p>
    <w:p>
      <w:pPr>
        <w:pStyle w:val="ListParagraph"/>
        <w:numPr>
          <w:ilvl w:val="0"/>
          <w:numId w:val="1"/>
        </w:numPr>
        <w:spacing w:after="80"/>
      </w:pPr>
      <w:r>
        <w:rPr>
          <w:rFonts w:ascii="Yu Gothic" w:cs="Yu Gothic" w:eastAsia="Yu Gothic" w:hAnsi="Yu Gothic"/>
          <w:sz w:val="19"/>
          <w:szCs w:val="19"/>
        </w:rPr>
        <w:t xml:space="preserve">送迎加算(Ⅰ)片道21単位・重度加算+28単位(区分5・6が60%以上等の要件)</w:t>
      </w:r>
    </w:p>
    <w:p>
      <w:pPr>
        <w:pStyle w:val="ListParagraph"/>
        <w:numPr>
          <w:ilvl w:val="0"/>
          <w:numId w:val="1"/>
        </w:numPr>
        <w:spacing w:after="80"/>
      </w:pPr>
      <w:r>
        <w:rPr>
          <w:rFonts w:ascii="Yu Gothic" w:cs="Yu Gothic" w:eastAsia="Yu Gothic" w:hAnsi="Yu Gothic"/>
          <w:sz w:val="19"/>
          <w:szCs w:val="19"/>
        </w:rPr>
        <w:t xml:space="preserve">福祉・介護職員等処遇改善加算(令和6年6月一本化後)の生活介護 加算Ⅰ：概ね4.4%</w:t>
      </w:r>
    </w:p>
    <w:p>
      <w:pPr>
        <w:pStyle w:val="ListParagraph"/>
        <w:numPr>
          <w:ilvl w:val="0"/>
          <w:numId w:val="1"/>
        </w:numPr>
        <w:spacing w:after="80"/>
      </w:pPr>
      <w:r>
        <w:rPr>
          <w:rFonts w:ascii="Yu Gothic" w:cs="Yu Gothic" w:eastAsia="Yu Gothic" w:hAnsi="Yu Gothic"/>
          <w:sz w:val="19"/>
          <w:szCs w:val="19"/>
        </w:rPr>
        <w:t xml:space="preserve">サービス管理責任者研修：基礎研修→実践研修(概ね6か月以上のOJTを経て受講)→5年ごとの更新研修</w:t>
      </w:r>
    </w:p>
    <w:p>
      <w:pPr>
        <w:pStyle w:val="ListParagraph"/>
        <w:numPr>
          <w:ilvl w:val="0"/>
          <w:numId w:val="1"/>
        </w:numPr>
        <w:spacing w:after="80"/>
      </w:pPr>
      <w:r>
        <w:rPr>
          <w:rFonts w:ascii="Yu Gothic" w:cs="Yu Gothic" w:eastAsia="Yu Gothic" w:hAnsi="Yu Gothic"/>
          <w:sz w:val="19"/>
          <w:szCs w:val="19"/>
        </w:rPr>
        <w:t xml:space="preserve">建築基準法上の用途変更確認申請：延床200㎡超が原則対象(平成30年建築基準法改正・令和元年6月25日施行、法第87条・第6条)。類似の用途間の変更は施行令第137条の18により確認申請不要となる場合がある</w:t>
      </w:r>
    </w:p>
    <w:p>
      <w:pPr>
        <w:pStyle w:val="ListParagraph"/>
        <w:numPr>
          <w:ilvl w:val="0"/>
          <w:numId w:val="1"/>
        </w:numPr>
        <w:spacing w:after="80"/>
      </w:pPr>
      <w:r>
        <w:rPr>
          <w:rFonts w:ascii="Yu Gothic" w:cs="Yu Gothic" w:eastAsia="Yu Gothic" w:hAnsi="Yu Gothic"/>
          <w:sz w:val="19"/>
          <w:szCs w:val="19"/>
        </w:rPr>
        <w:t xml:space="preserve">生活介護の対象者要件：障害支援区分3以上(50歳以上は区分2以上)</w:t>
      </w:r>
    </w:p>
    <w:p>
      <w:pPr>
        <w:pStyle w:val="ListParagraph"/>
        <w:numPr>
          <w:ilvl w:val="0"/>
          <w:numId w:val="1"/>
        </w:numPr>
        <w:spacing w:after="80"/>
      </w:pPr>
      <w:r>
        <w:rPr>
          <w:rFonts w:ascii="Yu Gothic" w:cs="Yu Gothic" w:eastAsia="Yu Gothic" w:hAnsi="Yu Gothic"/>
          <w:sz w:val="19"/>
          <w:szCs w:val="19"/>
        </w:rPr>
        <w:t xml:space="preserve">生活介護の人員配置基準：看護職員・理学療法士又は作業療法士・生活支援員の総数を、平均障害支援区分に応じた比率(6:1／5:1／3:1)で除した数以上(指定障害福祉サービスの事業等の人員、設備及び運営に関する基準(平成18年厚生労働省令第171号)第78条)</w:t>
      </w:r>
    </w:p>
    <w:p>
      <w:pPr>
        <w:spacing w:after="120" w:before="0"/>
      </w:pPr>
      <w:r>
        <w:rPr>
          <w:rFonts w:ascii="Yu Gothic" w:cs="Yu Gothic" w:eastAsia="Yu Gothic" w:hAnsi="Yu Gothic"/>
        </w:rPr>
        <w:t xml:space="preserve"/>
      </w:r>
    </w:p>
    <w:p>
      <w:pPr>
        <w:spacing w:after="160"/>
      </w:pPr>
      <w:r>
        <w:rPr>
          <w:rFonts w:ascii="Yu Gothic" w:cs="Yu Gothic" w:eastAsia="Yu Gothic" w:hAnsi="Yu Gothic"/>
          <w:i/>
          <w:iCs/>
          <w:color w:val="806000"/>
          <w:sz w:val="18"/>
          <w:szCs w:val="18"/>
        </w:rPr>
        <w:t xml:space="preserve">上記はいずれも各種報酬改定解説サイト・行政資料の記載を集約した目安値です。申請前に厚生労働省の官報告示・国土交通省通知・広島市提示の最新単価表・手引きで必ず一次情報として再確認してください。</w:t>
      </w:r>
    </w:p>
    <w:p>
      <w:pPr>
        <w:spacing w:after="120" w:before="0"/>
      </w:pPr>
      <w:r>
        <w:rPr>
          <w:rFonts w:ascii="Yu Gothic" w:cs="Yu Gothic" w:eastAsia="Yu Gothic" w:hAnsi="Yu Gothic"/>
        </w:rPr>
        <w:t xml:space="preserve"/>
      </w:r>
    </w:p>
    <w:p>
      <w:pPr>
        <w:spacing w:after="160"/>
      </w:pPr>
      <w:r>
        <w:rPr>
          <w:rFonts w:ascii="Yu Gothic" w:cs="Yu Gothic" w:eastAsia="Yu Gothic" w:hAnsi="Yu Gothic"/>
          <w:i/>
          <w:iCs/>
          <w:color w:val="806000"/>
          <w:sz w:val="18"/>
          <w:szCs w:val="18"/>
        </w:rPr>
        <w:t xml:space="preserve">本書はv2(改訂版)です。第4章(市場分析・営業戦略の具体化)、第10-4章(黒字化シナリオの検証、特に人員配置体制加算)、第9-2章(資金ギャップの解消)が、次の改訂で最優先に取り組むべき項目です。</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2026-08-15T07:08:03.999Z</dcterms:created>
  <dcterms:modified xsi:type="dcterms:W3CDTF">2026-08-15T07:08:03.999Z</dcterms:modified>
</cp:coreProperties>
</file>

<file path=docProps/custom.xml><?xml version="1.0" encoding="utf-8"?>
<Properties xmlns="http://schemas.openxmlformats.org/officeDocument/2006/custom-properties" xmlns:vt="http://schemas.openxmlformats.org/officeDocument/2006/docPropsVTypes"/>
</file>