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D50" w:rsidRPr="00E43209" w:rsidRDefault="000C1D50" w:rsidP="000C1D50">
      <w:pPr>
        <w:spacing w:after="200" w:line="276" w:lineRule="auto"/>
        <w:jc w:val="center"/>
        <w:rPr>
          <w:rFonts w:ascii="Calibri" w:eastAsia="Times New Roman" w:hAnsi="Calibri" w:cs="Times New Roman"/>
          <w:b/>
          <w:color w:val="002060"/>
          <w:sz w:val="28"/>
          <w:szCs w:val="28"/>
          <w:lang w:val="en-US" w:eastAsia="ru-RU"/>
        </w:rPr>
      </w:pPr>
      <w:r w:rsidRPr="00E43209">
        <w:rPr>
          <w:rFonts w:ascii="Calibri" w:eastAsia="Times New Roman" w:hAnsi="Calibri" w:cs="Times New Roman"/>
          <w:b/>
          <w:color w:val="002060"/>
          <w:sz w:val="28"/>
          <w:szCs w:val="28"/>
          <w:lang w:val="en-US" w:eastAsia="ru-RU"/>
        </w:rPr>
        <w:t>U</w:t>
      </w:r>
      <w:r w:rsidR="00E43209" w:rsidRPr="00E43209">
        <w:rPr>
          <w:rFonts w:ascii="Calibri" w:eastAsia="Times New Roman" w:hAnsi="Calibri" w:cs="Times New Roman"/>
          <w:b/>
          <w:color w:val="002060"/>
          <w:sz w:val="28"/>
          <w:szCs w:val="28"/>
          <w:lang w:val="en-US" w:eastAsia="ru-RU"/>
        </w:rPr>
        <w:t>z</w:t>
      </w:r>
      <w:r w:rsidRPr="00E43209">
        <w:rPr>
          <w:rFonts w:ascii="Calibri" w:eastAsia="Times New Roman" w:hAnsi="Calibri" w:cs="Times New Roman"/>
          <w:b/>
          <w:color w:val="002060"/>
          <w:sz w:val="28"/>
          <w:szCs w:val="28"/>
          <w:lang w:val="en-US" w:eastAsia="ru-RU"/>
        </w:rPr>
        <w:t>bekistan</w:t>
      </w:r>
    </w:p>
    <w:p w:rsidR="000C1D50" w:rsidRPr="00E43209" w:rsidRDefault="00307307" w:rsidP="000C1D50">
      <w:pPr>
        <w:spacing w:after="200" w:line="276" w:lineRule="auto"/>
        <w:jc w:val="center"/>
        <w:rPr>
          <w:rFonts w:ascii="Calibri" w:eastAsia="Times New Roman" w:hAnsi="Calibri" w:cs="Times New Roman"/>
          <w:b/>
          <w:color w:val="002060"/>
          <w:lang w:val="en-US" w:eastAsia="ru-RU"/>
        </w:rPr>
      </w:pPr>
      <w:r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9</w:t>
      </w:r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 </w:t>
      </w:r>
      <w:r w:rsidR="00E43209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Days</w:t>
      </w:r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 / </w:t>
      </w:r>
      <w:r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8</w:t>
      </w:r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 </w:t>
      </w:r>
      <w:r w:rsidR="00E43209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Nights</w:t>
      </w:r>
    </w:p>
    <w:p w:rsidR="000C1D50" w:rsidRPr="00E43209" w:rsidRDefault="00E43209" w:rsidP="000C1D50">
      <w:pPr>
        <w:spacing w:after="200" w:line="276" w:lineRule="auto"/>
        <w:jc w:val="center"/>
        <w:rPr>
          <w:rFonts w:ascii="Calibri" w:eastAsia="Times New Roman" w:hAnsi="Calibri" w:cs="Times New Roman"/>
          <w:color w:val="002060"/>
          <w:lang w:val="en-US" w:eastAsia="ru-RU"/>
        </w:rPr>
      </w:pPr>
      <w:r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Tas</w:t>
      </w:r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hkent – </w:t>
      </w:r>
      <w:r w:rsidR="00307307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Samarkand</w:t>
      </w:r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 – </w:t>
      </w:r>
      <w:r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Bukhara</w:t>
      </w:r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 – </w:t>
      </w:r>
      <w:proofErr w:type="spellStart"/>
      <w:r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Urgen</w:t>
      </w:r>
      <w:r w:rsidR="00307307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ch</w:t>
      </w:r>
      <w:proofErr w:type="spellEnd"/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 – </w:t>
      </w:r>
      <w:r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Khiva</w:t>
      </w:r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 – </w:t>
      </w:r>
      <w:r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>Tashkent</w:t>
      </w:r>
      <w:r w:rsidR="000C1D50" w:rsidRPr="00E43209">
        <w:rPr>
          <w:rFonts w:ascii="Calibri" w:eastAsia="Times New Roman" w:hAnsi="Calibri" w:cs="Times New Roman"/>
          <w:b/>
          <w:color w:val="002060"/>
          <w:lang w:val="en-US" w:eastAsia="ru-RU"/>
        </w:rPr>
        <w:t xml:space="preserve"> </w:t>
      </w:r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35"/>
        <w:gridCol w:w="1316"/>
        <w:gridCol w:w="2308"/>
        <w:gridCol w:w="6294"/>
      </w:tblGrid>
      <w:tr w:rsidR="000C1D50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E43209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Day</w:t>
            </w:r>
          </w:p>
        </w:tc>
        <w:tc>
          <w:tcPr>
            <w:tcW w:w="1276" w:type="dxa"/>
          </w:tcPr>
          <w:p w:rsidR="000C1D50" w:rsidRPr="00E43209" w:rsidRDefault="00E43209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Date</w:t>
            </w:r>
          </w:p>
        </w:tc>
        <w:tc>
          <w:tcPr>
            <w:tcW w:w="2268" w:type="dxa"/>
          </w:tcPr>
          <w:p w:rsidR="000C1D50" w:rsidRPr="00E43209" w:rsidRDefault="00E43209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Direction</w:t>
            </w:r>
            <w:r w:rsidR="000C1D50"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 xml:space="preserve"> </w:t>
            </w:r>
          </w:p>
        </w:tc>
        <w:tc>
          <w:tcPr>
            <w:tcW w:w="6234" w:type="dxa"/>
          </w:tcPr>
          <w:p w:rsidR="000C1D50" w:rsidRPr="00E43209" w:rsidRDefault="00E43209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Program</w:t>
            </w:r>
          </w:p>
        </w:tc>
      </w:tr>
      <w:tr w:rsidR="000C1D50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1</w:t>
            </w:r>
          </w:p>
        </w:tc>
        <w:tc>
          <w:tcPr>
            <w:tcW w:w="1276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TAS  </w:t>
            </w:r>
          </w:p>
        </w:tc>
        <w:tc>
          <w:tcPr>
            <w:tcW w:w="6234" w:type="dxa"/>
          </w:tcPr>
          <w:p w:rsidR="000C1D50" w:rsidRPr="00E43209" w:rsidRDefault="00E43209" w:rsidP="00E43209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Arrival in Tashkent. Transfer to the hotel. Overnight in Tashkent</w:t>
            </w:r>
          </w:p>
        </w:tc>
      </w:tr>
      <w:tr w:rsidR="000C1D50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2</w:t>
            </w:r>
          </w:p>
        </w:tc>
        <w:tc>
          <w:tcPr>
            <w:tcW w:w="1276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0C1D50" w:rsidRPr="00E43209" w:rsidRDefault="00E43209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Tashkent</w:t>
            </w:r>
          </w:p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6234" w:type="dxa"/>
          </w:tcPr>
          <w:p w:rsidR="00307307" w:rsidRPr="00E43209" w:rsidRDefault="00E43209" w:rsidP="00307307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Breakfast. Sightseeing in Tashkent: ensemble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Hazrati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-Imam,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medrese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Kukeld</w:t>
            </w:r>
            <w:bookmarkStart w:id="0" w:name="_GoBack"/>
            <w:bookmarkEnd w:id="0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ash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,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Chorsu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Bazar, Museum of Applied Arts. Overnight in Tashkent.</w:t>
            </w:r>
          </w:p>
        </w:tc>
      </w:tr>
      <w:tr w:rsidR="000C1D50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3</w:t>
            </w:r>
          </w:p>
        </w:tc>
        <w:tc>
          <w:tcPr>
            <w:tcW w:w="1276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Taschkent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- Samarkand</w:t>
            </w:r>
          </w:p>
        </w:tc>
        <w:tc>
          <w:tcPr>
            <w:tcW w:w="6234" w:type="dxa"/>
          </w:tcPr>
          <w:p w:rsidR="000C1D50" w:rsidRPr="00E43209" w:rsidRDefault="00E43209" w:rsidP="007F684C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Breakfast. Transfer to the station. Travel by train to Samarkand. Arrival around noon. Sightseeing in Samarkand: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Afrosiab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Museum,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Ulugbek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Observatory and the tomb of Saint Daniel.</w:t>
            </w:r>
          </w:p>
        </w:tc>
      </w:tr>
      <w:tr w:rsidR="000C1D50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4</w:t>
            </w:r>
          </w:p>
        </w:tc>
        <w:tc>
          <w:tcPr>
            <w:tcW w:w="1276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Samarkand </w:t>
            </w:r>
          </w:p>
        </w:tc>
        <w:tc>
          <w:tcPr>
            <w:tcW w:w="6234" w:type="dxa"/>
          </w:tcPr>
          <w:p w:rsidR="000C1D50" w:rsidRPr="00E43209" w:rsidRDefault="00E43209" w:rsidP="000C1D50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Breakfast. Full Day Sightseeing: Gur Amir Mausoleum, Ensemble Registan, Bibi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Hanim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Mosque, Bazar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Siab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. Lunch </w:t>
            </w:r>
            <w:proofErr w:type="gram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break.,</w:t>
            </w:r>
            <w:proofErr w:type="gram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Necropolis of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Schachi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Zinda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. Overnight in Samarkand.</w:t>
            </w:r>
          </w:p>
        </w:tc>
      </w:tr>
      <w:tr w:rsidR="000C1D50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5</w:t>
            </w:r>
          </w:p>
        </w:tc>
        <w:tc>
          <w:tcPr>
            <w:tcW w:w="1276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0C1D50" w:rsidRPr="00E43209" w:rsidRDefault="000C1D50" w:rsidP="00E43209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Samarkand - </w:t>
            </w:r>
            <w:r w:rsidR="00E43209"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Bukhara</w:t>
            </w: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</w:p>
        </w:tc>
        <w:tc>
          <w:tcPr>
            <w:tcW w:w="6234" w:type="dxa"/>
          </w:tcPr>
          <w:p w:rsidR="000C1D50" w:rsidRPr="00E43209" w:rsidRDefault="00E43209" w:rsidP="00857FF6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Breakfast. Transfer to the station. In the </w:t>
            </w:r>
            <w:proofErr w:type="gram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afternoon</w:t>
            </w:r>
            <w:proofErr w:type="gram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we reach Bukhara. Free time. Overnight in Bukhara</w:t>
            </w:r>
          </w:p>
        </w:tc>
      </w:tr>
      <w:tr w:rsidR="00857FF6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857FF6" w:rsidRPr="00E43209" w:rsidRDefault="00857FF6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6</w:t>
            </w:r>
          </w:p>
        </w:tc>
        <w:tc>
          <w:tcPr>
            <w:tcW w:w="1276" w:type="dxa"/>
          </w:tcPr>
          <w:p w:rsidR="00857FF6" w:rsidRPr="00E43209" w:rsidRDefault="00857FF6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857FF6" w:rsidRPr="00E43209" w:rsidRDefault="00E43209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Bukhara</w:t>
            </w:r>
            <w:r w:rsidR="00857FF6"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</w:p>
        </w:tc>
        <w:tc>
          <w:tcPr>
            <w:tcW w:w="6234" w:type="dxa"/>
          </w:tcPr>
          <w:p w:rsidR="00857FF6" w:rsidRPr="00E43209" w:rsidRDefault="00E43209" w:rsidP="000C1D50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Full Day Sightseeing in Bukhara: Ensemble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Lyabi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Hauz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,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Maggoki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Attori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Mosque, Trading Domes (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Sarafon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Exchange,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Telpak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Furushon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- Astrakhan Hats,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Zargaron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- Goldsmith), Kosher -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Medresse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(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Medresse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of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Ulugbek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and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Medresse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of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Abdulazizchan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). Lunch break. Ensemble Poi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Kalon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(Mosque and Minaret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Kalon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,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Medresse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Miri Arab - active), Ark Citadel, Mausoleum of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Samanids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and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Tschaschma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Ayub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. Overnight in Bukhara.</w:t>
            </w:r>
          </w:p>
        </w:tc>
      </w:tr>
      <w:tr w:rsidR="000C1D50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7</w:t>
            </w:r>
          </w:p>
        </w:tc>
        <w:tc>
          <w:tcPr>
            <w:tcW w:w="1276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0C1D50" w:rsidRPr="00E43209" w:rsidRDefault="00E43209" w:rsidP="00E43209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Bukhara</w:t>
            </w:r>
            <w:r w:rsidR="00857FF6"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–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Urgench</w:t>
            </w:r>
            <w:proofErr w:type="spellEnd"/>
            <w:r w:rsidR="00857FF6"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– </w:t>
            </w: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Khiva</w:t>
            </w:r>
            <w:r w:rsidR="00857FF6"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</w:p>
        </w:tc>
        <w:tc>
          <w:tcPr>
            <w:tcW w:w="6234" w:type="dxa"/>
          </w:tcPr>
          <w:p w:rsidR="000C1D50" w:rsidRPr="00E43209" w:rsidRDefault="00E43209" w:rsidP="00B06D31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Breakfast. Transfer to the station. Around </w:t>
            </w:r>
            <w:proofErr w:type="gram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noon</w:t>
            </w:r>
            <w:proofErr w:type="gram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drive to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Urgench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(only on Monday, Thursday and Saturday). Arrival in the evening. Transfer to Khiva. Overnight in Khiva</w:t>
            </w:r>
          </w:p>
        </w:tc>
      </w:tr>
      <w:tr w:rsidR="000C1D50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8</w:t>
            </w:r>
          </w:p>
        </w:tc>
        <w:tc>
          <w:tcPr>
            <w:tcW w:w="1276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0C1D50" w:rsidRPr="00E43209" w:rsidRDefault="00E43209" w:rsidP="00E43209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Khiva</w:t>
            </w:r>
            <w:r w:rsidR="00B06D31"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–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Urgench</w:t>
            </w:r>
            <w:proofErr w:type="spellEnd"/>
            <w:r w:rsidR="00B06D31"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– </w:t>
            </w: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Tashkent</w:t>
            </w:r>
            <w:r w:rsidR="00B06D31"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</w:p>
        </w:tc>
        <w:tc>
          <w:tcPr>
            <w:tcW w:w="6234" w:type="dxa"/>
          </w:tcPr>
          <w:p w:rsidR="00B06D31" w:rsidRPr="00E43209" w:rsidRDefault="00E43209" w:rsidP="00B06D31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All-day sightseeing in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Ichan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Kala: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Medresse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of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Muchammad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Aminchan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, Minaret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Kalta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Minor, Ark Fortress, Mausoleum of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Pachlawan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Machmud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and Said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Alauddin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. Lunch break.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Juma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Mosque, Tash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Hauli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and Harem Palace, Ensemble Islam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Chodja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,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Madress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by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Alla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</w:t>
            </w: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Kulichan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. Transfer to the airport. Flight to Tashkent. Overnight in Tashkent</w:t>
            </w:r>
          </w:p>
        </w:tc>
      </w:tr>
      <w:tr w:rsidR="000C1D50" w:rsidRPr="00E43209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b/>
                <w:color w:val="002060"/>
                <w:lang w:val="en-US" w:eastAsia="ru-RU"/>
              </w:rPr>
              <w:t>9</w:t>
            </w:r>
          </w:p>
        </w:tc>
        <w:tc>
          <w:tcPr>
            <w:tcW w:w="1276" w:type="dxa"/>
          </w:tcPr>
          <w:p w:rsidR="000C1D50" w:rsidRPr="00E43209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</w:p>
        </w:tc>
        <w:tc>
          <w:tcPr>
            <w:tcW w:w="2268" w:type="dxa"/>
          </w:tcPr>
          <w:p w:rsidR="000C1D50" w:rsidRPr="00E43209" w:rsidRDefault="00DD4D4A" w:rsidP="00DD4D4A">
            <w:pPr>
              <w:jc w:val="center"/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proofErr w:type="spellStart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>Taschkent</w:t>
            </w:r>
            <w:proofErr w:type="spellEnd"/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 / - </w:t>
            </w:r>
          </w:p>
        </w:tc>
        <w:tc>
          <w:tcPr>
            <w:tcW w:w="6234" w:type="dxa"/>
          </w:tcPr>
          <w:p w:rsidR="000C1D50" w:rsidRPr="00E43209" w:rsidRDefault="00E43209" w:rsidP="000C1D50">
            <w:pPr>
              <w:rPr>
                <w:rFonts w:ascii="Calibri" w:eastAsia="Times New Roman" w:hAnsi="Calibri" w:cs="Times New Roman"/>
                <w:color w:val="002060"/>
                <w:lang w:val="en-US" w:eastAsia="ru-RU"/>
              </w:rPr>
            </w:pPr>
            <w:r w:rsidRPr="00E43209">
              <w:rPr>
                <w:rFonts w:ascii="Calibri" w:eastAsia="Times New Roman" w:hAnsi="Calibri" w:cs="Times New Roman"/>
                <w:color w:val="002060"/>
                <w:lang w:val="en-US" w:eastAsia="ru-RU"/>
              </w:rPr>
              <w:t xml:space="preserve">Transfer to the airport. </w:t>
            </w:r>
          </w:p>
        </w:tc>
      </w:tr>
    </w:tbl>
    <w:p w:rsidR="000C1D50" w:rsidRPr="00E43209" w:rsidRDefault="000C1D50" w:rsidP="000C1D50">
      <w:pPr>
        <w:spacing w:after="200" w:line="276" w:lineRule="auto"/>
        <w:jc w:val="center"/>
        <w:rPr>
          <w:rFonts w:ascii="Calibri" w:eastAsia="Times New Roman" w:hAnsi="Calibri" w:cs="Times New Roman"/>
          <w:color w:val="002060"/>
          <w:lang w:val="en-US" w:eastAsia="ru-RU"/>
        </w:rPr>
      </w:pPr>
    </w:p>
    <w:p w:rsidR="000C1D50" w:rsidRPr="00E43209" w:rsidRDefault="000C1D50" w:rsidP="000C1D50">
      <w:pPr>
        <w:spacing w:after="0" w:line="276" w:lineRule="auto"/>
        <w:rPr>
          <w:rFonts w:ascii="Calibri" w:eastAsia="Times New Roman" w:hAnsi="Calibri" w:cs="Times New Roman"/>
          <w:color w:val="002060"/>
          <w:lang w:val="en-US" w:eastAsia="ru-RU"/>
        </w:rPr>
      </w:pPr>
    </w:p>
    <w:p w:rsidR="000C1D50" w:rsidRPr="00E43209" w:rsidRDefault="000C1D50" w:rsidP="000C1D50">
      <w:pPr>
        <w:spacing w:after="200" w:line="276" w:lineRule="auto"/>
        <w:jc w:val="center"/>
        <w:rPr>
          <w:rFonts w:ascii="Calibri" w:eastAsia="Times New Roman" w:hAnsi="Calibri" w:cs="Times New Roman"/>
          <w:color w:val="002060"/>
          <w:lang w:val="en-US" w:eastAsia="ru-RU"/>
        </w:rPr>
      </w:pPr>
    </w:p>
    <w:p w:rsidR="00D87A18" w:rsidRPr="00E43209" w:rsidRDefault="007C3087">
      <w:pPr>
        <w:rPr>
          <w:lang w:val="en-US"/>
        </w:rPr>
      </w:pPr>
    </w:p>
    <w:sectPr w:rsidR="00D87A18" w:rsidRPr="00E43209" w:rsidSect="006B046D">
      <w:headerReference w:type="default" r:id="rId6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087" w:rsidRDefault="007C3087" w:rsidP="000C1D50">
      <w:pPr>
        <w:spacing w:after="0" w:line="240" w:lineRule="auto"/>
      </w:pPr>
      <w:r>
        <w:separator/>
      </w:r>
    </w:p>
  </w:endnote>
  <w:endnote w:type="continuationSeparator" w:id="0">
    <w:p w:rsidR="007C3087" w:rsidRDefault="007C3087" w:rsidP="000C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087" w:rsidRDefault="007C3087" w:rsidP="000C1D50">
      <w:pPr>
        <w:spacing w:after="0" w:line="240" w:lineRule="auto"/>
      </w:pPr>
      <w:r>
        <w:separator/>
      </w:r>
    </w:p>
  </w:footnote>
  <w:footnote w:type="continuationSeparator" w:id="0">
    <w:p w:rsidR="007C3087" w:rsidRDefault="007C3087" w:rsidP="000C1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274" w:rsidRPr="000C1D50" w:rsidRDefault="007C3087">
    <w:pPr>
      <w:pStyle w:val="Header"/>
      <w:rPr>
        <w:rFonts w:ascii="Cambria" w:hAnsi="Cambria"/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01"/>
      <w:gridCol w:w="1011"/>
      <w:gridCol w:w="3770"/>
    </w:tblGrid>
    <w:tr w:rsidR="006B046D" w:rsidRPr="006B046D" w:rsidTr="000A32EA">
      <w:tc>
        <w:tcPr>
          <w:tcW w:w="5901" w:type="dxa"/>
        </w:tcPr>
        <w:p w:rsidR="005F2274" w:rsidRPr="000C1D50" w:rsidRDefault="007C3087" w:rsidP="000A32EA">
          <w:pPr>
            <w:rPr>
              <w:rFonts w:ascii="Cambria" w:hAnsi="Cambria"/>
              <w:noProof/>
              <w:sz w:val="20"/>
              <w:szCs w:val="20"/>
              <w:lang w:val="en-US"/>
            </w:rPr>
          </w:pPr>
        </w:p>
      </w:tc>
      <w:tc>
        <w:tcPr>
          <w:tcW w:w="1011" w:type="dxa"/>
        </w:tcPr>
        <w:p w:rsidR="005F2274" w:rsidRPr="000C1D50" w:rsidRDefault="007C3087" w:rsidP="000A32EA">
          <w:pPr>
            <w:jc w:val="center"/>
            <w:rPr>
              <w:rFonts w:ascii="Cambria" w:hAnsi="Cambria" w:cs="Times New Roman"/>
              <w:sz w:val="20"/>
              <w:szCs w:val="20"/>
              <w:lang w:val="en-US"/>
            </w:rPr>
          </w:pPr>
        </w:p>
      </w:tc>
      <w:tc>
        <w:tcPr>
          <w:tcW w:w="3770" w:type="dxa"/>
        </w:tcPr>
        <w:p w:rsidR="005F2274" w:rsidRPr="000C1D50" w:rsidRDefault="007C3087" w:rsidP="000A32EA">
          <w:pPr>
            <w:rPr>
              <w:rFonts w:ascii="Cambria" w:hAnsi="Cambria" w:cs="Times New Roman"/>
              <w:color w:val="002060"/>
              <w:sz w:val="20"/>
              <w:szCs w:val="20"/>
              <w:lang w:val="en-US"/>
            </w:rPr>
          </w:pPr>
        </w:p>
      </w:tc>
    </w:tr>
  </w:tbl>
  <w:p w:rsidR="005F2274" w:rsidRPr="000C1D50" w:rsidRDefault="007C3087" w:rsidP="008470FA">
    <w:pPr>
      <w:pStyle w:val="Header"/>
      <w:rPr>
        <w:rFonts w:ascii="Cambria" w:hAnsi="Cambria"/>
        <w:sz w:val="20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BB"/>
    <w:rsid w:val="000C1D50"/>
    <w:rsid w:val="001B253C"/>
    <w:rsid w:val="00307307"/>
    <w:rsid w:val="0055448D"/>
    <w:rsid w:val="00742929"/>
    <w:rsid w:val="007C3087"/>
    <w:rsid w:val="007F684C"/>
    <w:rsid w:val="00857FF6"/>
    <w:rsid w:val="00B06D31"/>
    <w:rsid w:val="00C75512"/>
    <w:rsid w:val="00DD4D4A"/>
    <w:rsid w:val="00E108BB"/>
    <w:rsid w:val="00E4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D9CC"/>
  <w15:chartTrackingRefBased/>
  <w15:docId w15:val="{828701FE-3193-4D29-B481-39967B01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D50"/>
  </w:style>
  <w:style w:type="table" w:styleId="TableGrid">
    <w:name w:val="Table Grid"/>
    <w:basedOn w:val="TableNormal"/>
    <w:uiPriority w:val="59"/>
    <w:rsid w:val="000C1D5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1">
    <w:name w:val="Hyperlink1"/>
    <w:basedOn w:val="DefaultParagraphFont"/>
    <w:uiPriority w:val="99"/>
    <w:unhideWhenUsed/>
    <w:rsid w:val="000C1D50"/>
    <w:rPr>
      <w:color w:val="0000F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0C1D5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C1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5</cp:revision>
  <dcterms:created xsi:type="dcterms:W3CDTF">2019-08-09T12:46:00Z</dcterms:created>
  <dcterms:modified xsi:type="dcterms:W3CDTF">2019-08-24T21:48:00Z</dcterms:modified>
</cp:coreProperties>
</file>