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42" w:rsidRPr="006B046D" w:rsidRDefault="00947742" w:rsidP="00947742">
      <w:pPr>
        <w:jc w:val="center"/>
        <w:rPr>
          <w:b/>
          <w:color w:val="002060"/>
          <w:sz w:val="28"/>
          <w:szCs w:val="28"/>
          <w:lang w:val="de-DE"/>
        </w:rPr>
      </w:pPr>
      <w:r w:rsidRPr="006B046D">
        <w:rPr>
          <w:b/>
          <w:color w:val="002060"/>
          <w:sz w:val="28"/>
          <w:szCs w:val="28"/>
          <w:lang w:val="de-DE"/>
        </w:rPr>
        <w:t>Usbekistan</w:t>
      </w:r>
    </w:p>
    <w:p w:rsidR="00947742" w:rsidRPr="006B046D" w:rsidRDefault="007C46BF" w:rsidP="00947742">
      <w:pPr>
        <w:jc w:val="center"/>
        <w:rPr>
          <w:b/>
          <w:color w:val="002060"/>
          <w:lang w:val="de-DE"/>
        </w:rPr>
      </w:pPr>
      <w:r>
        <w:rPr>
          <w:b/>
          <w:color w:val="002060"/>
          <w:lang w:val="de-DE"/>
        </w:rPr>
        <w:t>9</w:t>
      </w:r>
      <w:r w:rsidR="00947742" w:rsidRPr="006B046D">
        <w:rPr>
          <w:b/>
          <w:color w:val="002060"/>
          <w:lang w:val="de-DE"/>
        </w:rPr>
        <w:t xml:space="preserve"> Tage / </w:t>
      </w:r>
      <w:r>
        <w:rPr>
          <w:b/>
          <w:color w:val="002060"/>
          <w:lang w:val="de-DE"/>
        </w:rPr>
        <w:t>8</w:t>
      </w:r>
      <w:r w:rsidR="00947742" w:rsidRPr="006B046D">
        <w:rPr>
          <w:b/>
          <w:color w:val="002060"/>
          <w:lang w:val="de-DE"/>
        </w:rPr>
        <w:t xml:space="preserve"> Nächte</w:t>
      </w:r>
    </w:p>
    <w:p w:rsidR="00947742" w:rsidRPr="006B046D" w:rsidRDefault="00947742" w:rsidP="00947742">
      <w:pPr>
        <w:jc w:val="center"/>
        <w:rPr>
          <w:color w:val="002060"/>
          <w:lang w:val="de-DE"/>
        </w:rPr>
      </w:pPr>
      <w:r w:rsidRPr="006B046D">
        <w:rPr>
          <w:b/>
          <w:color w:val="002060"/>
          <w:lang w:val="de-DE"/>
        </w:rPr>
        <w:t xml:space="preserve">Taschkent – </w:t>
      </w:r>
      <w:r>
        <w:rPr>
          <w:b/>
          <w:color w:val="002060"/>
          <w:lang w:val="de-DE"/>
        </w:rPr>
        <w:t>Urgentsch – Chiwa – Buchara –</w:t>
      </w:r>
      <w:r w:rsidR="007C46BF">
        <w:rPr>
          <w:b/>
          <w:color w:val="002060"/>
          <w:lang w:val="de-DE"/>
        </w:rPr>
        <w:t xml:space="preserve"> </w:t>
      </w:r>
      <w:r>
        <w:rPr>
          <w:b/>
          <w:color w:val="002060"/>
          <w:lang w:val="de-DE"/>
        </w:rPr>
        <w:t xml:space="preserve">Samarkand – Taschkent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1"/>
        <w:gridCol w:w="1185"/>
        <w:gridCol w:w="2028"/>
        <w:gridCol w:w="5142"/>
      </w:tblGrid>
      <w:tr w:rsidR="00947742" w:rsidRPr="006B046D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Tag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Datum</w:t>
            </w:r>
          </w:p>
        </w:tc>
        <w:tc>
          <w:tcPr>
            <w:tcW w:w="1988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Richtung </w:t>
            </w:r>
          </w:p>
        </w:tc>
        <w:tc>
          <w:tcPr>
            <w:tcW w:w="5082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Programm </w:t>
            </w:r>
          </w:p>
        </w:tc>
      </w:tr>
      <w:tr w:rsidR="00947742" w:rsidRPr="007B5CCA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5" w:type="dxa"/>
          </w:tcPr>
          <w:p w:rsidR="00947742" w:rsidRPr="006B046D" w:rsidRDefault="00947742" w:rsidP="007C46BF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6B046D" w:rsidRDefault="007C46BF" w:rsidP="007C46BF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Ankunft </w:t>
            </w:r>
          </w:p>
        </w:tc>
        <w:tc>
          <w:tcPr>
            <w:tcW w:w="5082" w:type="dxa"/>
          </w:tcPr>
          <w:p w:rsidR="00947742" w:rsidRPr="006B046D" w:rsidRDefault="00947742" w:rsidP="007C46BF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Ankunft in Taschkent. Empfang am Flughafen durch Reiseleitung, Transfer zum Hotel, Unterbringung, Übernachtung.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Taschkent</w:t>
            </w:r>
          </w:p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82" w:type="dxa"/>
          </w:tcPr>
          <w:p w:rsidR="00947742" w:rsidRDefault="00947742" w:rsidP="00CA6B5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Frühstück. Besichtigungen in Taschkent: Ensemble Hazrati-Imam, Medrese Kukeldasch, Tschorsu Bazar, Museum für angewandte Kunst. </w:t>
            </w:r>
            <w:r w:rsidR="00057049">
              <w:rPr>
                <w:color w:val="002060"/>
                <w:lang w:val="de-DE"/>
              </w:rPr>
              <w:t xml:space="preserve">Abendessen. </w:t>
            </w:r>
            <w:r>
              <w:rPr>
                <w:color w:val="002060"/>
                <w:lang w:val="de-DE"/>
              </w:rPr>
              <w:t xml:space="preserve">Übernachtung in Taschkent. </w:t>
            </w:r>
          </w:p>
          <w:p w:rsidR="00057049" w:rsidRPr="006B046D" w:rsidRDefault="00057049" w:rsidP="00CA6B5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(F/-/A)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 – UGC – Chiwa</w:t>
            </w:r>
          </w:p>
        </w:tc>
        <w:tc>
          <w:tcPr>
            <w:tcW w:w="5082" w:type="dxa"/>
          </w:tcPr>
          <w:p w:rsidR="00057049" w:rsidRDefault="00947742" w:rsidP="00057049">
            <w:pPr>
              <w:rPr>
                <w:color w:val="002060"/>
                <w:lang w:val="de-DE"/>
              </w:rPr>
            </w:pPr>
            <w:r w:rsidRPr="00B268C4">
              <w:rPr>
                <w:color w:val="002060"/>
                <w:lang w:val="de-DE"/>
              </w:rPr>
              <w:t>Frühstück.</w:t>
            </w:r>
            <w:r>
              <w:rPr>
                <w:color w:val="002060"/>
                <w:lang w:val="de-DE"/>
              </w:rPr>
              <w:t xml:space="preserve"> Transfer zum Flughaf</w:t>
            </w:r>
            <w:r w:rsidR="007C46BF">
              <w:rPr>
                <w:color w:val="002060"/>
                <w:lang w:val="de-DE"/>
              </w:rPr>
              <w:t>en, Flug nach Urgentsch mit HY 051.</w:t>
            </w:r>
            <w:r>
              <w:rPr>
                <w:color w:val="002060"/>
                <w:lang w:val="de-DE"/>
              </w:rPr>
              <w:t xml:space="preserve"> Transfer nach Chiwa (ca. 30 km). Nach der Ankunft ganztägige Besichtigungen in </w:t>
            </w:r>
            <w:r w:rsidRPr="00106C0F">
              <w:rPr>
                <w:color w:val="002060"/>
                <w:lang w:val="de-DE"/>
              </w:rPr>
              <w:t>Itschan Kala:</w:t>
            </w:r>
            <w:r>
              <w:rPr>
                <w:color w:val="002060"/>
                <w:lang w:val="de-DE"/>
              </w:rPr>
              <w:t xml:space="preserve"> </w:t>
            </w:r>
            <w:r w:rsidRPr="00106C0F">
              <w:rPr>
                <w:color w:val="002060"/>
                <w:lang w:val="de-DE"/>
              </w:rPr>
              <w:t>Medresse von Muchammad Aminchan, Minarett Kalta Minor, Festung A</w:t>
            </w:r>
            <w:r>
              <w:rPr>
                <w:color w:val="002060"/>
                <w:lang w:val="de-DE"/>
              </w:rPr>
              <w:t>rk</w:t>
            </w:r>
            <w:r w:rsidRPr="00106C0F">
              <w:rPr>
                <w:color w:val="002060"/>
                <w:lang w:val="de-DE"/>
              </w:rPr>
              <w:t>, Mausoleum von Pachl</w:t>
            </w:r>
            <w:r>
              <w:rPr>
                <w:color w:val="002060"/>
                <w:lang w:val="de-DE"/>
              </w:rPr>
              <w:t xml:space="preserve">awan Machmud und Said Alauddin. Mittagspause. </w:t>
            </w:r>
            <w:r w:rsidRPr="00106C0F">
              <w:rPr>
                <w:color w:val="002060"/>
                <w:lang w:val="de-DE"/>
              </w:rPr>
              <w:t>Moschee Juma, Palast Tasch Hauli und Harem, Ensemble Islam Chodja, Medresse von Alla Kulichan</w:t>
            </w:r>
            <w:r>
              <w:rPr>
                <w:color w:val="002060"/>
                <w:lang w:val="de-DE"/>
              </w:rPr>
              <w:t xml:space="preserve">. </w:t>
            </w:r>
            <w:r w:rsidR="00057049">
              <w:rPr>
                <w:color w:val="002060"/>
                <w:lang w:val="de-DE"/>
              </w:rPr>
              <w:t xml:space="preserve">Abendessen. </w:t>
            </w:r>
            <w:r>
              <w:rPr>
                <w:color w:val="002060"/>
                <w:lang w:val="de-DE"/>
              </w:rPr>
              <w:t xml:space="preserve">Übernachtung in Chiwa. </w:t>
            </w:r>
            <w:r w:rsidR="00057049">
              <w:rPr>
                <w:color w:val="002060"/>
                <w:lang w:val="de-DE"/>
              </w:rPr>
              <w:t xml:space="preserve"> </w:t>
            </w:r>
          </w:p>
          <w:p w:rsidR="00057049" w:rsidRPr="006B046D" w:rsidRDefault="00057049" w:rsidP="00057049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7B5CCA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Chiwa – Buchara </w:t>
            </w:r>
          </w:p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(ca. 503 km) </w:t>
            </w:r>
          </w:p>
        </w:tc>
        <w:tc>
          <w:tcPr>
            <w:tcW w:w="5082" w:type="dxa"/>
          </w:tcPr>
          <w:p w:rsidR="00057049" w:rsidRDefault="00947742" w:rsidP="00CA6B53">
            <w:pPr>
              <w:rPr>
                <w:color w:val="002060"/>
                <w:lang w:val="de-DE"/>
              </w:rPr>
            </w:pPr>
            <w:r w:rsidRPr="00B268C4">
              <w:rPr>
                <w:color w:val="002060"/>
                <w:lang w:val="de-DE"/>
              </w:rPr>
              <w:t xml:space="preserve">Frühstück. Lange Fahrt nach </w:t>
            </w:r>
            <w:r>
              <w:rPr>
                <w:color w:val="002060"/>
                <w:lang w:val="de-DE"/>
              </w:rPr>
              <w:t>Buchara</w:t>
            </w:r>
            <w:r w:rsidRPr="00B268C4">
              <w:rPr>
                <w:color w:val="002060"/>
                <w:lang w:val="de-DE"/>
              </w:rPr>
              <w:t xml:space="preserve"> durch die Wüste.</w:t>
            </w:r>
            <w:r>
              <w:rPr>
                <w:color w:val="002060"/>
                <w:lang w:val="de-DE"/>
              </w:rPr>
              <w:t xml:space="preserve"> Unterwegs eine Mittagspause im Straßenteehaus. </w:t>
            </w:r>
            <w:r w:rsidRPr="00B268C4">
              <w:rPr>
                <w:color w:val="002060"/>
                <w:lang w:val="de-DE"/>
              </w:rPr>
              <w:t xml:space="preserve"> Nach der</w:t>
            </w:r>
            <w:r>
              <w:rPr>
                <w:color w:val="002060"/>
                <w:lang w:val="de-DE"/>
              </w:rPr>
              <w:t xml:space="preserve"> Ankunft</w:t>
            </w:r>
            <w:r w:rsidR="00057049">
              <w:rPr>
                <w:color w:val="002060"/>
                <w:lang w:val="de-DE"/>
              </w:rPr>
              <w:t xml:space="preserve"> Abendessen und</w:t>
            </w:r>
            <w:r>
              <w:rPr>
                <w:color w:val="002060"/>
                <w:lang w:val="de-DE"/>
              </w:rPr>
              <w:t xml:space="preserve"> Unterbringung im Hotel, Übernachtung.</w:t>
            </w:r>
          </w:p>
          <w:p w:rsidR="00057049" w:rsidRPr="006B046D" w:rsidRDefault="00057049" w:rsidP="00CA6B53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Buchara </w:t>
            </w:r>
          </w:p>
        </w:tc>
        <w:tc>
          <w:tcPr>
            <w:tcW w:w="5082" w:type="dxa"/>
          </w:tcPr>
          <w:p w:rsidR="00947742" w:rsidRDefault="00947742" w:rsidP="00CA6B53">
            <w:pPr>
              <w:rPr>
                <w:color w:val="002060"/>
                <w:lang w:val="de-DE"/>
              </w:rPr>
            </w:pPr>
            <w:r w:rsidRPr="00B268C4">
              <w:rPr>
                <w:color w:val="002060"/>
                <w:lang w:val="de-DE"/>
              </w:rPr>
              <w:t>Frühstück.</w:t>
            </w:r>
            <w:r>
              <w:rPr>
                <w:color w:val="002060"/>
                <w:lang w:val="de-DE"/>
              </w:rPr>
              <w:t xml:space="preserve"> Ganztägige Besichtigungen in Buchara: </w:t>
            </w:r>
            <w:r w:rsidRPr="00A85F20">
              <w:rPr>
                <w:color w:val="002060"/>
                <w:lang w:val="de-DE"/>
              </w:rPr>
              <w:t>Ensemble Lyabi Hauz, Moschee Maggoki Attori, Handels Kuppeln (Sarafon – Geldwechsel, Telpak Furuschon - Astrakhan Hüte, Zargaron – Goldschmied), Kosch – Medresse (Medresse von Ulugbek und Medresse von Abdulazizchan).</w:t>
            </w:r>
            <w:r>
              <w:rPr>
                <w:color w:val="002060"/>
                <w:lang w:val="de-DE"/>
              </w:rPr>
              <w:t xml:space="preserve"> </w:t>
            </w:r>
            <w:r w:rsidRPr="00A85F20">
              <w:rPr>
                <w:color w:val="002060"/>
                <w:lang w:val="de-DE"/>
              </w:rPr>
              <w:t>Mittag</w:t>
            </w:r>
            <w:r>
              <w:rPr>
                <w:color w:val="002060"/>
                <w:lang w:val="de-DE"/>
              </w:rPr>
              <w:t xml:space="preserve">spause. </w:t>
            </w:r>
            <w:r w:rsidRPr="00A85F20">
              <w:rPr>
                <w:color w:val="002060"/>
                <w:lang w:val="de-DE"/>
              </w:rPr>
              <w:t xml:space="preserve">Ensemble Poi Kalon (Mosche und Minarett Kalon, Medresse Miri Arab – aktiv), Zitadelle </w:t>
            </w:r>
            <w:r w:rsidRPr="00A85F20">
              <w:rPr>
                <w:color w:val="002060"/>
                <w:lang w:val="de-DE"/>
              </w:rPr>
              <w:lastRenderedPageBreak/>
              <w:t>Ark, Mausoleen von Samaniden und Tschaschma Ayub.</w:t>
            </w:r>
            <w:r w:rsidR="00057049">
              <w:rPr>
                <w:color w:val="002060"/>
                <w:lang w:val="de-DE"/>
              </w:rPr>
              <w:t xml:space="preserve"> Abendessen.</w:t>
            </w:r>
            <w:r>
              <w:rPr>
                <w:color w:val="002060"/>
                <w:lang w:val="de-DE"/>
              </w:rPr>
              <w:t xml:space="preserve"> Übernachtung in Buchara. </w:t>
            </w:r>
          </w:p>
          <w:p w:rsidR="00057049" w:rsidRPr="006B046D" w:rsidRDefault="00057049" w:rsidP="00CA6B53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7B5CCA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Buchara </w:t>
            </w:r>
            <w:r w:rsidR="007C46BF">
              <w:rPr>
                <w:color w:val="002060"/>
                <w:lang w:val="de-DE"/>
              </w:rPr>
              <w:t>- Samarkand</w:t>
            </w:r>
          </w:p>
        </w:tc>
        <w:tc>
          <w:tcPr>
            <w:tcW w:w="5082" w:type="dxa"/>
          </w:tcPr>
          <w:p w:rsidR="00947742" w:rsidRDefault="007C46BF" w:rsidP="00CA6B5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Frühstück. Fahrt nach Samarkand. Freie Zeit in Samarkand. </w:t>
            </w:r>
            <w:r w:rsidR="00057049">
              <w:rPr>
                <w:color w:val="002060"/>
                <w:lang w:val="de-DE"/>
              </w:rPr>
              <w:t xml:space="preserve">Abendessen. </w:t>
            </w:r>
            <w:r>
              <w:rPr>
                <w:color w:val="002060"/>
                <w:lang w:val="de-DE"/>
              </w:rPr>
              <w:t>Übernachtung in Samarkand</w:t>
            </w:r>
          </w:p>
          <w:p w:rsidR="00057049" w:rsidRPr="007C46BF" w:rsidRDefault="00057049" w:rsidP="00CA6B53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</w:t>
            </w:r>
          </w:p>
        </w:tc>
        <w:tc>
          <w:tcPr>
            <w:tcW w:w="5082" w:type="dxa"/>
          </w:tcPr>
          <w:p w:rsidR="00947742" w:rsidRDefault="00947742" w:rsidP="00CA6B5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Frühstück. Ganztägige Besichtigungen: </w:t>
            </w:r>
            <w:r w:rsidRPr="00112714">
              <w:rPr>
                <w:color w:val="002060"/>
                <w:lang w:val="de-DE"/>
              </w:rPr>
              <w:t xml:space="preserve">Gur Amir Mausoleum, Ensemble Registan, </w:t>
            </w:r>
            <w:r>
              <w:rPr>
                <w:color w:val="002060"/>
                <w:lang w:val="de-DE"/>
              </w:rPr>
              <w:t xml:space="preserve">Moschee Bibi Hanim, Bazar Siab. </w:t>
            </w:r>
            <w:r w:rsidRPr="00112714">
              <w:rPr>
                <w:color w:val="002060"/>
                <w:lang w:val="de-DE"/>
              </w:rPr>
              <w:t>Mittag</w:t>
            </w:r>
            <w:r>
              <w:rPr>
                <w:color w:val="002060"/>
                <w:lang w:val="de-DE"/>
              </w:rPr>
              <w:t xml:space="preserve">spause. </w:t>
            </w:r>
            <w:r w:rsidRPr="00112714">
              <w:rPr>
                <w:color w:val="002060"/>
                <w:lang w:val="de-DE"/>
              </w:rPr>
              <w:t>Observatorium von Ulugbe</w:t>
            </w:r>
            <w:r>
              <w:rPr>
                <w:color w:val="002060"/>
                <w:lang w:val="de-DE"/>
              </w:rPr>
              <w:t>k, Nekropole von Schachi Zinda.</w:t>
            </w:r>
            <w:r w:rsidR="00057049">
              <w:rPr>
                <w:color w:val="002060"/>
                <w:lang w:val="de-DE"/>
              </w:rPr>
              <w:t xml:space="preserve"> Abendessen.</w:t>
            </w:r>
            <w:r>
              <w:rPr>
                <w:color w:val="002060"/>
                <w:lang w:val="de-DE"/>
              </w:rPr>
              <w:t xml:space="preserve"> Übernachtung in Samarkand.</w:t>
            </w:r>
          </w:p>
          <w:p w:rsidR="00057049" w:rsidRPr="006B046D" w:rsidRDefault="00057049" w:rsidP="00CA6B53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7B5CCA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Default="00947742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– Taschkent </w:t>
            </w:r>
          </w:p>
        </w:tc>
        <w:tc>
          <w:tcPr>
            <w:tcW w:w="5082" w:type="dxa"/>
          </w:tcPr>
          <w:p w:rsidR="00947742" w:rsidRDefault="00947742" w:rsidP="007C46BF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Frühstück. Besuch des Hodja Daniyor Mausoleums und Seidenteppichmanufaktur. Nachm</w:t>
            </w:r>
            <w:r w:rsidR="007C46BF">
              <w:rPr>
                <w:color w:val="002060"/>
                <w:lang w:val="de-DE"/>
              </w:rPr>
              <w:t>ittags Transfer nach Taschkent.</w:t>
            </w:r>
            <w:r w:rsidR="00057049">
              <w:rPr>
                <w:color w:val="002060"/>
                <w:lang w:val="de-DE"/>
              </w:rPr>
              <w:t xml:space="preserve"> Abendessen.</w:t>
            </w:r>
            <w:r w:rsidR="007C46BF">
              <w:rPr>
                <w:color w:val="002060"/>
                <w:lang w:val="de-DE"/>
              </w:rPr>
              <w:t xml:space="preserve"> </w:t>
            </w:r>
            <w:r>
              <w:rPr>
                <w:color w:val="002060"/>
                <w:lang w:val="de-DE"/>
              </w:rPr>
              <w:t xml:space="preserve">Übernachtung in Taschkent. </w:t>
            </w:r>
          </w:p>
          <w:p w:rsidR="00057049" w:rsidRPr="006B046D" w:rsidRDefault="00057049" w:rsidP="007C46BF">
            <w:pPr>
              <w:rPr>
                <w:color w:val="002060"/>
                <w:lang w:val="de-DE"/>
              </w:rPr>
            </w:pPr>
            <w:r w:rsidRPr="00057049">
              <w:rPr>
                <w:color w:val="002060"/>
                <w:lang w:val="de-DE"/>
              </w:rPr>
              <w:t>(F/-/A)</w:t>
            </w:r>
          </w:p>
        </w:tc>
      </w:tr>
      <w:tr w:rsidR="00947742" w:rsidRPr="007B5CCA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7B5CCA" w:rsidRDefault="007C46BF" w:rsidP="007B5CCA">
            <w:pPr>
              <w:jc w:val="center"/>
              <w:rPr>
                <w:color w:val="002060"/>
              </w:rPr>
            </w:pPr>
            <w:r>
              <w:rPr>
                <w:color w:val="002060"/>
                <w:lang w:val="de-DE"/>
              </w:rPr>
              <w:t xml:space="preserve">TAS / </w:t>
            </w:r>
            <w:r w:rsidR="007B5CCA">
              <w:rPr>
                <w:color w:val="002060"/>
              </w:rPr>
              <w:t xml:space="preserve"> - </w:t>
            </w:r>
            <w:bookmarkStart w:id="0" w:name="_GoBack"/>
            <w:bookmarkEnd w:id="0"/>
          </w:p>
        </w:tc>
        <w:tc>
          <w:tcPr>
            <w:tcW w:w="5082" w:type="dxa"/>
          </w:tcPr>
          <w:p w:rsidR="00947742" w:rsidRPr="006B046D" w:rsidRDefault="00947742" w:rsidP="008723C5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Frühstück. T</w:t>
            </w:r>
            <w:r w:rsidR="008723C5">
              <w:rPr>
                <w:color w:val="002060"/>
                <w:lang w:val="de-DE"/>
              </w:rPr>
              <w:t>ransfer zum Flughafen. Rückflug.</w:t>
            </w:r>
          </w:p>
        </w:tc>
      </w:tr>
    </w:tbl>
    <w:p w:rsidR="00947742" w:rsidRDefault="00947742" w:rsidP="00947742">
      <w:pPr>
        <w:spacing w:after="0"/>
        <w:rPr>
          <w:b/>
          <w:color w:val="002060"/>
          <w:lang w:val="de-DE"/>
        </w:rPr>
      </w:pPr>
    </w:p>
    <w:p w:rsidR="00947742" w:rsidRPr="0016510A" w:rsidRDefault="0016510A" w:rsidP="0016510A">
      <w:pPr>
        <w:tabs>
          <w:tab w:val="left" w:pos="420"/>
        </w:tabs>
        <w:rPr>
          <w:color w:val="002060"/>
          <w:sz w:val="24"/>
          <w:szCs w:val="24"/>
          <w:lang w:val="de-DE"/>
        </w:rPr>
      </w:pPr>
      <w:r>
        <w:rPr>
          <w:b/>
          <w:color w:val="002060"/>
          <w:sz w:val="40"/>
          <w:szCs w:val="40"/>
          <w:lang w:val="de-DE"/>
        </w:rPr>
        <w:tab/>
      </w:r>
      <w:r>
        <w:rPr>
          <w:b/>
          <w:color w:val="002060"/>
          <w:sz w:val="24"/>
          <w:szCs w:val="24"/>
          <w:lang w:val="de-DE"/>
        </w:rPr>
        <w:t xml:space="preserve">F = </w:t>
      </w:r>
      <w:r>
        <w:rPr>
          <w:color w:val="002060"/>
          <w:sz w:val="24"/>
          <w:szCs w:val="24"/>
          <w:lang w:val="de-DE"/>
        </w:rPr>
        <w:t xml:space="preserve">Frühstück / </w:t>
      </w:r>
      <w:r w:rsidRPr="0016510A">
        <w:rPr>
          <w:b/>
          <w:color w:val="002060"/>
          <w:sz w:val="24"/>
          <w:szCs w:val="24"/>
          <w:lang w:val="de-DE"/>
        </w:rPr>
        <w:t>M</w:t>
      </w:r>
      <w:r>
        <w:rPr>
          <w:color w:val="002060"/>
          <w:sz w:val="24"/>
          <w:szCs w:val="24"/>
          <w:lang w:val="de-DE"/>
        </w:rPr>
        <w:t xml:space="preserve"> = Mittagessen / </w:t>
      </w:r>
      <w:r w:rsidRPr="0016510A">
        <w:rPr>
          <w:b/>
          <w:color w:val="002060"/>
          <w:sz w:val="24"/>
          <w:szCs w:val="24"/>
          <w:lang w:val="de-DE"/>
        </w:rPr>
        <w:t>A</w:t>
      </w:r>
      <w:r>
        <w:rPr>
          <w:color w:val="002060"/>
          <w:sz w:val="24"/>
          <w:szCs w:val="24"/>
          <w:lang w:val="de-DE"/>
        </w:rPr>
        <w:t xml:space="preserve"> = Abendessen</w:t>
      </w:r>
    </w:p>
    <w:sectPr w:rsidR="00947742" w:rsidRPr="00165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20"/>
    <w:multiLevelType w:val="hybridMultilevel"/>
    <w:tmpl w:val="5C3E2A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654DA"/>
    <w:multiLevelType w:val="hybridMultilevel"/>
    <w:tmpl w:val="24D09112"/>
    <w:lvl w:ilvl="0" w:tplc="CA90A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39C5"/>
    <w:multiLevelType w:val="hybridMultilevel"/>
    <w:tmpl w:val="F4283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0"/>
    <w:rsid w:val="00057049"/>
    <w:rsid w:val="0016510A"/>
    <w:rsid w:val="001B253C"/>
    <w:rsid w:val="00742929"/>
    <w:rsid w:val="007B5CCA"/>
    <w:rsid w:val="007C46BF"/>
    <w:rsid w:val="008723C5"/>
    <w:rsid w:val="00947742"/>
    <w:rsid w:val="00B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04B3"/>
  <w15:chartTrackingRefBased/>
  <w15:docId w15:val="{D16742E9-E371-4DA6-B8ED-81D530B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4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74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7</cp:revision>
  <dcterms:created xsi:type="dcterms:W3CDTF">2019-08-08T23:42:00Z</dcterms:created>
  <dcterms:modified xsi:type="dcterms:W3CDTF">2019-08-12T15:46:00Z</dcterms:modified>
</cp:coreProperties>
</file>