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33" w:rsidRPr="00CF6EB0" w:rsidRDefault="00F97133" w:rsidP="00F97133">
      <w:pPr>
        <w:jc w:val="center"/>
        <w:rPr>
          <w:b/>
          <w:color w:val="002060"/>
          <w:sz w:val="28"/>
          <w:szCs w:val="28"/>
        </w:rPr>
      </w:pPr>
      <w:r w:rsidRPr="00CF6EB0">
        <w:rPr>
          <w:b/>
          <w:color w:val="002060"/>
          <w:sz w:val="28"/>
          <w:szCs w:val="28"/>
        </w:rPr>
        <w:t>Usbekistan</w:t>
      </w:r>
    </w:p>
    <w:p w:rsidR="00F97133" w:rsidRPr="00CF6EB0" w:rsidRDefault="00F97133" w:rsidP="00F97133">
      <w:pPr>
        <w:jc w:val="center"/>
        <w:rPr>
          <w:b/>
          <w:color w:val="002060"/>
        </w:rPr>
      </w:pPr>
      <w:r w:rsidRPr="00CF6EB0">
        <w:rPr>
          <w:b/>
          <w:color w:val="002060"/>
        </w:rPr>
        <w:t>1</w:t>
      </w:r>
      <w:r w:rsidR="007C48CD">
        <w:rPr>
          <w:b/>
          <w:color w:val="002060"/>
        </w:rPr>
        <w:t>6</w:t>
      </w:r>
      <w:r w:rsidRPr="00CF6EB0">
        <w:rPr>
          <w:b/>
          <w:color w:val="002060"/>
        </w:rPr>
        <w:t xml:space="preserve"> Tage / 1</w:t>
      </w:r>
      <w:r w:rsidR="007C48CD">
        <w:rPr>
          <w:b/>
          <w:color w:val="002060"/>
        </w:rPr>
        <w:t>5</w:t>
      </w:r>
      <w:r w:rsidRPr="00CF6EB0">
        <w:rPr>
          <w:b/>
          <w:color w:val="002060"/>
        </w:rPr>
        <w:t xml:space="preserve"> Nächte</w:t>
      </w:r>
    </w:p>
    <w:p w:rsidR="00F97133" w:rsidRPr="00CF6EB0" w:rsidRDefault="00F97133" w:rsidP="00F97133">
      <w:pPr>
        <w:jc w:val="center"/>
        <w:rPr>
          <w:color w:val="002060"/>
        </w:rPr>
      </w:pPr>
      <w:r w:rsidRPr="00CF6EB0">
        <w:rPr>
          <w:b/>
          <w:color w:val="002060"/>
        </w:rPr>
        <w:t xml:space="preserve">Taschkent – </w:t>
      </w:r>
      <w:r w:rsidR="007C48CD">
        <w:rPr>
          <w:b/>
          <w:color w:val="002060"/>
        </w:rPr>
        <w:t xml:space="preserve">Chimgan Gebirge 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Taschkent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Urgentsch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Chiwa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Buchara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Nurata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Jurtenlagen</w:t>
      </w:r>
      <w:r w:rsidRPr="00CF6EB0">
        <w:rPr>
          <w:b/>
          <w:color w:val="002060"/>
        </w:rPr>
        <w:t xml:space="preserve"> – </w:t>
      </w:r>
      <w:r w:rsidR="007C48CD">
        <w:rPr>
          <w:b/>
          <w:color w:val="002060"/>
        </w:rPr>
        <w:t>Samarkand</w:t>
      </w:r>
      <w:r w:rsidRPr="00CF6EB0">
        <w:rPr>
          <w:b/>
          <w:color w:val="002060"/>
        </w:rPr>
        <w:t xml:space="preserve"> – Taschkent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1"/>
        <w:gridCol w:w="1182"/>
        <w:gridCol w:w="2206"/>
        <w:gridCol w:w="4967"/>
      </w:tblGrid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Tag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Datum</w:t>
            </w:r>
          </w:p>
        </w:tc>
        <w:tc>
          <w:tcPr>
            <w:tcW w:w="2166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 xml:space="preserve">Richtung </w:t>
            </w:r>
          </w:p>
        </w:tc>
        <w:tc>
          <w:tcPr>
            <w:tcW w:w="4907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 xml:space="preserve">Programm 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632436" w:rsidRDefault="00B61981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TAS</w:t>
            </w:r>
            <w:r w:rsidR="00632436">
              <w:rPr>
                <w:color w:val="002060"/>
                <w:lang w:val="de-DE"/>
              </w:rPr>
              <w:t xml:space="preserve"> / - </w:t>
            </w:r>
            <w:bookmarkStart w:id="0" w:name="_GoBack"/>
            <w:bookmarkEnd w:id="0"/>
          </w:p>
        </w:tc>
        <w:tc>
          <w:tcPr>
            <w:tcW w:w="4907" w:type="dxa"/>
          </w:tcPr>
          <w:p w:rsidR="00F97133" w:rsidRPr="00CF6EB0" w:rsidRDefault="00B61981" w:rsidP="00B61981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Ankunft in Taschkent. Empfang am Flughafen durch Reiseleitung, Transfer zum Hotel, Übernachtung in Taschkent.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Taschkent</w:t>
            </w:r>
          </w:p>
        </w:tc>
        <w:tc>
          <w:tcPr>
            <w:tcW w:w="4907" w:type="dxa"/>
          </w:tcPr>
          <w:p w:rsidR="00B61981" w:rsidRPr="00CF6EB0" w:rsidRDefault="00B61981" w:rsidP="00B61981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Am Vormittag erste Besichtigungen in der Altstadt von Taschkent. Wir besuchen die Freitagsmoschee und den Hasti Imom Komplex, sowie den berühmten Chorsu Basar.</w:t>
            </w:r>
          </w:p>
          <w:p w:rsidR="00F97133" w:rsidRPr="00CF6EB0" w:rsidRDefault="00B61981" w:rsidP="00EC0F19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 Am Nachmittag sehen wir das moderne Taschkent. Wir fahren zum Unabhängigkeitsplatz und der Amir Timur Parkanlage. Zwischen diesen beiden Plätzen fahren wir auch mit der U-Bahn und können dabei über die faszinierende Architektur "unter Tage" staunen. Das sowjetische Erbe ist an vielen Stellen von Taschkent noch deutlich zu spüren.</w:t>
            </w:r>
            <w:r w:rsidR="00EC0F19" w:rsidRPr="00CF6EB0">
              <w:rPr>
                <w:color w:val="002060"/>
                <w:lang w:val="de-DE"/>
              </w:rPr>
              <w:t xml:space="preserve"> Übernachtung in Taschkent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Taschkent - Chimgan</w:t>
            </w:r>
          </w:p>
        </w:tc>
        <w:tc>
          <w:tcPr>
            <w:tcW w:w="4907" w:type="dxa"/>
          </w:tcPr>
          <w:p w:rsidR="00B61981" w:rsidRPr="00CF6EB0" w:rsidRDefault="00B61981" w:rsidP="00B61981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Transfer Taschkent-Beldersoy/Tschatkal-Ugam Nationalpark. Aufstieg bis Urta Kumbel Fluss.</w:t>
            </w:r>
          </w:p>
          <w:p w:rsidR="00B61981" w:rsidRPr="00CF6EB0" w:rsidRDefault="00B61981" w:rsidP="00B61981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Mittagessen. Weitere Aufstieg bis Bergpass “Urta Kumbel” (Hoehe 1850 m) Abstieg zum Beldersoy Tal.</w:t>
            </w:r>
          </w:p>
          <w:p w:rsidR="00F97133" w:rsidRPr="00CF6EB0" w:rsidRDefault="00EC0F19" w:rsidP="00B61981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Übernachtung im Zelt</w:t>
            </w:r>
            <w:r w:rsidR="00B61981" w:rsidRPr="00CF6EB0">
              <w:rPr>
                <w:color w:val="002060"/>
                <w:lang w:val="de-DE"/>
              </w:rPr>
              <w:t xml:space="preserve">. 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Trek</w:t>
            </w:r>
            <w:r w:rsidR="00995863">
              <w:rPr>
                <w:color w:val="002060"/>
                <w:lang w:val="de-DE"/>
              </w:rPr>
              <w:t>king</w:t>
            </w:r>
          </w:p>
        </w:tc>
        <w:tc>
          <w:tcPr>
            <w:tcW w:w="4907" w:type="dxa"/>
          </w:tcPr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Aufstieg bis Bergpass Tschetkumbel (Hoehe 1880) weiter bis Felsenzeichen. Fotopause. Zeit fuer Ausruehen. 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Abstieg bis Kumbel Pass (2550)</w:t>
            </w:r>
          </w:p>
          <w:p w:rsidR="00F97133" w:rsidRPr="00CF6EB0" w:rsidRDefault="00CF6EB0" w:rsidP="00CF6EB0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Übernachtung im Zelt</w:t>
            </w:r>
            <w:r w:rsidR="006104DA" w:rsidRPr="00CF6EB0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Trek</w:t>
            </w:r>
            <w:r w:rsidR="00995863">
              <w:rPr>
                <w:color w:val="002060"/>
                <w:lang w:val="de-DE"/>
              </w:rPr>
              <w:t>king</w:t>
            </w:r>
          </w:p>
        </w:tc>
        <w:tc>
          <w:tcPr>
            <w:tcW w:w="4907" w:type="dxa"/>
          </w:tcPr>
          <w:p w:rsidR="00F97133" w:rsidRPr="00CF6EB0" w:rsidRDefault="006104DA" w:rsidP="00CF6EB0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Aufstieg bis grosse Tschimgan. Fotopause. Lange Abstieg bis Nurekatasay. </w:t>
            </w:r>
            <w:r w:rsidR="00CF6EB0" w:rsidRPr="00CF6EB0">
              <w:rPr>
                <w:color w:val="002060"/>
                <w:lang w:val="de-DE"/>
              </w:rPr>
              <w:t>Übernachtung im Zelt</w:t>
            </w:r>
            <w:r w:rsidRPr="00CF6EB0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Trek</w:t>
            </w:r>
            <w:r w:rsidR="00995863">
              <w:rPr>
                <w:color w:val="002060"/>
                <w:lang w:val="de-DE"/>
              </w:rPr>
              <w:t>king</w:t>
            </w:r>
          </w:p>
        </w:tc>
        <w:tc>
          <w:tcPr>
            <w:tcW w:w="4907" w:type="dxa"/>
          </w:tcPr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Aufstieg bis Tschetkumbel und weitere Wanderung bis Schipiste. Abstieg vorbei wilden Apfelgaerten bis Asphaltweg.</w:t>
            </w:r>
            <w:r w:rsidR="00CF6EB0" w:rsidRPr="00CF6EB0">
              <w:rPr>
                <w:color w:val="002060"/>
                <w:lang w:val="de-DE"/>
              </w:rPr>
              <w:t xml:space="preserve"> </w:t>
            </w:r>
            <w:r w:rsidRPr="00CF6EB0">
              <w:rPr>
                <w:color w:val="002060"/>
                <w:lang w:val="de-DE"/>
              </w:rPr>
              <w:t>Transfer mit dem Minibus 15 min bis Grosse Tschimgan.</w:t>
            </w:r>
            <w:r w:rsidR="00CF6EB0" w:rsidRPr="00CF6EB0">
              <w:rPr>
                <w:color w:val="002060"/>
                <w:lang w:val="de-DE"/>
              </w:rPr>
              <w:t xml:space="preserve"> </w:t>
            </w:r>
            <w:r w:rsidRPr="00CF6EB0">
              <w:rPr>
                <w:color w:val="002060"/>
                <w:lang w:val="de-DE"/>
              </w:rPr>
              <w:t>Aufstieg zum Gulkamsay Bergpass.(Hoehe 1830 m).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Abstieg laengs der Birkenheine bis Fluss Gulkam. </w:t>
            </w:r>
          </w:p>
          <w:p w:rsidR="00F97133" w:rsidRPr="00CF6EB0" w:rsidRDefault="00CF6EB0" w:rsidP="00CF6EB0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Übernachtung im Zelt.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Chimgan – Taschkent</w:t>
            </w:r>
          </w:p>
        </w:tc>
        <w:tc>
          <w:tcPr>
            <w:tcW w:w="4907" w:type="dxa"/>
          </w:tcPr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Kleine Aufstieg zum “Grosse Tschimgan” und Travers bis “Wodoprovod” Quelle. Zeit </w:t>
            </w:r>
            <w:r w:rsidR="00CF6EB0" w:rsidRPr="00CF6EB0">
              <w:rPr>
                <w:color w:val="002060"/>
                <w:lang w:val="de-DE"/>
              </w:rPr>
              <w:t>für</w:t>
            </w:r>
            <w:r w:rsidRPr="00CF6EB0">
              <w:rPr>
                <w:color w:val="002060"/>
                <w:lang w:val="de-DE"/>
              </w:rPr>
              <w:t xml:space="preserve"> Ausruhen.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Weitere Abstieg bis Zusammenfliessen Mazarsay und Gulkamsay Flussen. 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Treffen mit dem Bus und Transfer </w:t>
            </w:r>
            <w:r w:rsidR="00CF6EB0" w:rsidRPr="00CF6EB0">
              <w:rPr>
                <w:color w:val="002060"/>
                <w:lang w:val="de-DE"/>
              </w:rPr>
              <w:t>längs</w:t>
            </w:r>
            <w:r w:rsidRPr="00CF6EB0">
              <w:rPr>
                <w:color w:val="002060"/>
                <w:lang w:val="de-DE"/>
              </w:rPr>
              <w:t xml:space="preserve"> Stausee “Tschatvak” nach Taschkent.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Ankunft in Taschkent am </w:t>
            </w:r>
            <w:r w:rsidR="00CF6EB0" w:rsidRPr="00CF6EB0">
              <w:rPr>
                <w:color w:val="002060"/>
                <w:lang w:val="de-DE"/>
              </w:rPr>
              <w:t>spätesten</w:t>
            </w:r>
            <w:r w:rsidRPr="00CF6EB0">
              <w:rPr>
                <w:color w:val="002060"/>
                <w:lang w:val="de-DE"/>
              </w:rPr>
              <w:t xml:space="preserve"> Nachmittag.</w:t>
            </w:r>
          </w:p>
          <w:p w:rsidR="00F97133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lastRenderedPageBreak/>
              <w:t xml:space="preserve">Zeit </w:t>
            </w:r>
            <w:r w:rsidR="00CF6EB0" w:rsidRPr="00CF6EB0">
              <w:rPr>
                <w:color w:val="002060"/>
                <w:lang w:val="de-DE"/>
              </w:rPr>
              <w:t>für</w:t>
            </w:r>
            <w:r w:rsidRPr="00CF6EB0">
              <w:rPr>
                <w:color w:val="002060"/>
                <w:lang w:val="de-DE"/>
              </w:rPr>
              <w:t xml:space="preserve"> Ausruhen. Abendessen.</w:t>
            </w:r>
            <w:r w:rsidR="00CF6EB0" w:rsidRPr="00CF6EB0">
              <w:rPr>
                <w:color w:val="002060"/>
                <w:lang w:val="de-DE"/>
              </w:rPr>
              <w:t xml:space="preserve"> Übernachtung in Taschkent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8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Taschkent – Urgentsch – Chiwa</w:t>
            </w:r>
          </w:p>
        </w:tc>
        <w:tc>
          <w:tcPr>
            <w:tcW w:w="4907" w:type="dxa"/>
          </w:tcPr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Frühstück. Transfer zum Flughafen und Abflug nach Urgentsch. Transfer ins Hotel.</w:t>
            </w:r>
            <w:r w:rsidR="00CF6EB0" w:rsidRPr="00CF6EB0">
              <w:rPr>
                <w:color w:val="002060"/>
                <w:lang w:val="de-DE"/>
              </w:rPr>
              <w:t xml:space="preserve"> </w:t>
            </w:r>
            <w:r w:rsidRPr="00CF6EB0">
              <w:rPr>
                <w:color w:val="002060"/>
                <w:lang w:val="de-DE"/>
              </w:rPr>
              <w:t xml:space="preserve">Besichtigung in Chiwa. 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Die 2500 Jahre alte Festungsstadt ist </w:t>
            </w:r>
            <w:r w:rsidR="00CF6EB0" w:rsidRPr="00CF6EB0">
              <w:rPr>
                <w:color w:val="002060"/>
                <w:lang w:val="de-DE"/>
              </w:rPr>
              <w:t>turkisier</w:t>
            </w:r>
            <w:r w:rsidRPr="00CF6EB0">
              <w:rPr>
                <w:color w:val="002060"/>
                <w:lang w:val="de-DE"/>
              </w:rPr>
              <w:t xml:space="preserve"> Glanzpunkt der Reise – und ihre komplette</w:t>
            </w:r>
            <w:r w:rsidR="00CF6EB0" w:rsidRPr="00CF6EB0">
              <w:rPr>
                <w:color w:val="002060"/>
                <w:lang w:val="de-DE"/>
              </w:rPr>
              <w:t xml:space="preserve"> </w:t>
            </w:r>
            <w:r w:rsidRPr="00CF6EB0">
              <w:rPr>
                <w:color w:val="002060"/>
                <w:lang w:val="de-DE"/>
              </w:rPr>
              <w:t xml:space="preserve">Altstadt ein Museum! Hinter trutzigen Stadtmauern, die heute </w:t>
            </w:r>
            <w:r w:rsidR="00CF6EB0" w:rsidRPr="00CF6EB0">
              <w:rPr>
                <w:color w:val="002060"/>
                <w:lang w:val="de-DE"/>
              </w:rPr>
              <w:t>unerwünschte</w:t>
            </w:r>
            <w:r w:rsidRPr="00CF6EB0">
              <w:rPr>
                <w:color w:val="002060"/>
                <w:lang w:val="de-DE"/>
              </w:rPr>
              <w:t xml:space="preserve"> Autos am Eindringen hindern, orientalische Ornamentik, prachtvolle Minarette, schattige </w:t>
            </w:r>
            <w:r w:rsidR="00CF6EB0" w:rsidRPr="00CF6EB0">
              <w:rPr>
                <w:color w:val="002060"/>
                <w:lang w:val="de-DE"/>
              </w:rPr>
              <w:t>Innenhöfe</w:t>
            </w:r>
            <w:r w:rsidRPr="00CF6EB0">
              <w:rPr>
                <w:color w:val="002060"/>
                <w:lang w:val="de-DE"/>
              </w:rPr>
              <w:t>, das warme Leuchten der Mauern aus Lehm.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Und vom Dach der Zitadelle </w:t>
            </w:r>
            <w:r w:rsidR="00CF6EB0" w:rsidRPr="00CF6EB0">
              <w:rPr>
                <w:color w:val="002060"/>
                <w:lang w:val="de-DE"/>
              </w:rPr>
              <w:t>überblicken</w:t>
            </w:r>
            <w:r w:rsidRPr="00CF6EB0">
              <w:rPr>
                <w:color w:val="002060"/>
                <w:lang w:val="de-DE"/>
              </w:rPr>
              <w:t xml:space="preserve"> Sie dieses Gesamtkunstwerk aus </w:t>
            </w:r>
            <w:r w:rsidR="00CF6EB0" w:rsidRPr="00CF6EB0">
              <w:rPr>
                <w:color w:val="002060"/>
                <w:lang w:val="de-DE"/>
              </w:rPr>
              <w:t>Moscheen</w:t>
            </w:r>
            <w:r w:rsidRPr="00CF6EB0">
              <w:rPr>
                <w:color w:val="002060"/>
                <w:lang w:val="de-DE"/>
              </w:rPr>
              <w:t xml:space="preserve">, Medresen, Mausoleen – alle verziert mit Tausenden </w:t>
            </w:r>
            <w:r w:rsidR="00CF6EB0" w:rsidRPr="00CF6EB0">
              <w:rPr>
                <w:color w:val="002060"/>
                <w:lang w:val="de-DE"/>
              </w:rPr>
              <w:t>turkisier</w:t>
            </w:r>
            <w:r w:rsidRPr="00CF6EB0">
              <w:rPr>
                <w:color w:val="002060"/>
                <w:lang w:val="de-DE"/>
              </w:rPr>
              <w:t xml:space="preserve"> Fliesen.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Sie besichtigen unter anderem: Juma Moschee, Kunya Ark-Zitadelle,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Pachlavon Machmud Mausoleum, Islam Chodja Minarett und Medresse.</w:t>
            </w:r>
          </w:p>
          <w:p w:rsidR="006104DA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Weitere Besichtigungen (Toza Bog).</w:t>
            </w:r>
          </w:p>
          <w:p w:rsidR="00F97133" w:rsidRPr="00CF6EB0" w:rsidRDefault="006104DA" w:rsidP="006104D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Zum Abendessen sind Sie in usbekische Familie eingeladen.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Chiwa – Buchara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Frühstück. Fahrt durch die Wüste nach Buchara</w:t>
            </w:r>
          </w:p>
          <w:p w:rsidR="00F97133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Nach der Ankunft sofortiges Transfer ins Hotel. Unterbringung. Abendessen.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Buchara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Frühstück. Ganztägige Besichtigungen in Buchara.</w:t>
            </w:r>
          </w:p>
          <w:p w:rsidR="00F97133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Besichtigungen Altstadt, Samaniden Mausoleum, Chaschma Ayub Mausoleum mit Kegeldach und mehreren Kuppeln, Komplex Poikalon mit Moschee, Medresse und Minarett sowie Medresse Ulugbek.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4C3A9C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Buchara</w:t>
            </w: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Frühstück. 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Weitere </w:t>
            </w:r>
            <w:r w:rsidR="00CF6EB0" w:rsidRPr="00CF6EB0">
              <w:rPr>
                <w:color w:val="002060"/>
                <w:lang w:val="de-DE"/>
              </w:rPr>
              <w:t>Besichtigungen</w:t>
            </w:r>
            <w:r w:rsidRPr="00CF6EB0">
              <w:rPr>
                <w:color w:val="002060"/>
                <w:lang w:val="de-DE"/>
              </w:rPr>
              <w:t xml:space="preserve"> in Buchara. 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Weitere Besichtigungen - Komplex Labi-Hauz, die Magoki Attori Moschee, die Marktkuppelbauten von drei Handels-zentren und Medresse Abdulasis Chan mit ihrem Pracht und Groesse).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Nachmittags Freizeit zum Staunen in Buchara. Und vielen macht’s Spass, bestaunt zu werden: den Juwelieren, Teppich- und Seidenwirkern auf dem 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Basar und in den Werkstaetten genau wie den Jgendlichen, die am Labi-Hauz vom Baum aus ins Wasser springen. </w:t>
            </w:r>
          </w:p>
          <w:p w:rsidR="00F97133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Setzen Sie sich auf einen Tee zu den Einheimischen in den Schatten der </w:t>
            </w:r>
            <w:r w:rsidR="00CF6EB0" w:rsidRPr="00CF6EB0">
              <w:rPr>
                <w:color w:val="002060"/>
                <w:lang w:val="de-DE"/>
              </w:rPr>
              <w:t>Maulbeerbäume</w:t>
            </w:r>
            <w:r w:rsidRPr="00CF6EB0">
              <w:rPr>
                <w:color w:val="002060"/>
                <w:lang w:val="de-DE"/>
              </w:rPr>
              <w:t xml:space="preserve"> und beobachten Sie die </w:t>
            </w:r>
            <w:r w:rsidR="00CF6EB0" w:rsidRPr="00CF6EB0">
              <w:rPr>
                <w:color w:val="002060"/>
                <w:lang w:val="de-DE"/>
              </w:rPr>
              <w:t>örtlichen</w:t>
            </w:r>
            <w:r w:rsidRPr="00CF6EB0">
              <w:rPr>
                <w:color w:val="002060"/>
                <w:lang w:val="de-DE"/>
              </w:rPr>
              <w:t xml:space="preserve"> Akrobaten! </w:t>
            </w:r>
            <w:r w:rsidR="00CF6EB0" w:rsidRPr="00CF6EB0">
              <w:rPr>
                <w:color w:val="002060"/>
                <w:lang w:val="de-DE"/>
              </w:rPr>
              <w:t>Vermutlich erfordert es einen gewissen Kö</w:t>
            </w:r>
            <w:r w:rsidRPr="00CF6EB0">
              <w:rPr>
                <w:color w:val="002060"/>
                <w:lang w:val="de-DE"/>
              </w:rPr>
              <w:t xml:space="preserve">rpereinsatz von Ihnen, wenn Sie mal nach dem Weg fragen. Aber auf Usbekisch mit </w:t>
            </w:r>
            <w:r w:rsidR="00CF6EB0" w:rsidRPr="00CF6EB0">
              <w:rPr>
                <w:color w:val="002060"/>
                <w:lang w:val="de-DE"/>
              </w:rPr>
              <w:t>Händen</w:t>
            </w:r>
            <w:r w:rsidRPr="00CF6EB0">
              <w:rPr>
                <w:color w:val="002060"/>
                <w:lang w:val="de-DE"/>
              </w:rPr>
              <w:t xml:space="preserve"> und </w:t>
            </w:r>
            <w:r w:rsidR="00CF6EB0" w:rsidRPr="00CF6EB0">
              <w:rPr>
                <w:color w:val="002060"/>
                <w:lang w:val="de-DE"/>
              </w:rPr>
              <w:t>Füßen</w:t>
            </w:r>
            <w:r w:rsidRPr="00CF6EB0">
              <w:rPr>
                <w:color w:val="002060"/>
                <w:lang w:val="de-DE"/>
              </w:rPr>
              <w:t xml:space="preserve"> gibt’s immer eine freundliche Antwort!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12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4C3A9C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Buchara-Nurata/Jurtenlager</w:t>
            </w: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Fahrt nach Nurata. Unterwegs Pause und Mittagessen in einer einheimischen Familie.</w:t>
            </w:r>
          </w:p>
          <w:p w:rsidR="00F97133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Nach der Ankunft in dem Jurtenlager Zeit </w:t>
            </w:r>
            <w:r w:rsidR="00CF6EB0" w:rsidRPr="00CF6EB0">
              <w:rPr>
                <w:color w:val="002060"/>
                <w:lang w:val="de-DE"/>
              </w:rPr>
              <w:t>für</w:t>
            </w:r>
            <w:r w:rsidRPr="00CF6EB0">
              <w:rPr>
                <w:color w:val="002060"/>
                <w:lang w:val="de-DE"/>
              </w:rPr>
              <w:t xml:space="preserve"> Ausruhen.  Abendessen am Feuer.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4C3A9C" w:rsidP="00CF6EB0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Jurtenlager-</w:t>
            </w:r>
            <w:r w:rsidR="00CF6EB0" w:rsidRPr="00CF6EB0">
              <w:rPr>
                <w:color w:val="002060"/>
                <w:lang w:val="de-DE"/>
              </w:rPr>
              <w:t xml:space="preserve"> Aydarkul See - </w:t>
            </w:r>
            <w:r w:rsidRPr="00CF6EB0">
              <w:rPr>
                <w:color w:val="002060"/>
                <w:lang w:val="de-DE"/>
              </w:rPr>
              <w:t>Samarkand</w:t>
            </w:r>
          </w:p>
        </w:tc>
        <w:tc>
          <w:tcPr>
            <w:tcW w:w="4907" w:type="dxa"/>
          </w:tcPr>
          <w:p w:rsidR="004C3A9C" w:rsidRPr="00CF6EB0" w:rsidRDefault="00CF6EB0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Frühstücke</w:t>
            </w:r>
            <w:r w:rsidR="004C3A9C" w:rsidRPr="00CF6EB0">
              <w:rPr>
                <w:color w:val="002060"/>
                <w:lang w:val="de-DE"/>
              </w:rPr>
              <w:t xml:space="preserve">. </w:t>
            </w:r>
            <w:r w:rsidRPr="00CF6EB0">
              <w:rPr>
                <w:color w:val="002060"/>
                <w:lang w:val="de-DE"/>
              </w:rPr>
              <w:t>Transfer zum Aydarkul See. Wenn das Wetter mitspielt, dann können sie auch schwimmen. Picknik.</w:t>
            </w:r>
            <w:r w:rsidR="004C3A9C" w:rsidRPr="00CF6EB0">
              <w:rPr>
                <w:color w:val="002060"/>
                <w:lang w:val="de-DE"/>
              </w:rPr>
              <w:t xml:space="preserve"> Transfer  nach Samarkand. 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Nach der Ankunft Hotelbezug. Zeit </w:t>
            </w:r>
            <w:r w:rsidR="00CF6EB0" w:rsidRPr="00CF6EB0">
              <w:rPr>
                <w:color w:val="002060"/>
                <w:lang w:val="de-DE"/>
              </w:rPr>
              <w:t>für</w:t>
            </w:r>
            <w:r w:rsidRPr="00CF6EB0">
              <w:rPr>
                <w:color w:val="002060"/>
                <w:lang w:val="de-DE"/>
              </w:rPr>
              <w:t xml:space="preserve"> Ausruhen.</w:t>
            </w:r>
          </w:p>
          <w:p w:rsidR="00F97133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Abendessen.</w:t>
            </w:r>
            <w:r w:rsidR="00CF6EB0">
              <w:rPr>
                <w:color w:val="002060"/>
                <w:lang w:val="de-DE"/>
              </w:rPr>
              <w:t xml:space="preserve"> Übernachtung in Samarkand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4C3A9C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Samarkand</w:t>
            </w: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Frühsück. Ganztägige Besichtigugen in Samarkand.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Alexander der Grosse kam, Dschingis Khan sah, aber Tamerlan baute – besonders gern in seiner Lieblingsfarbe Blau. Einfach himmlisch sind die geriffelten Kuppeln, Zierminarette, Blumen- und Sternmosaiken auf den drei Seiten des Registan – und auf der vierten Seite des „nobelsten Platzes der Welt“ stehen die Bewunderer des einmaligen Ensembles. Freuen Sie sich auf Ihre Citytour mit echten Sahnestuecken wie dem Tamerlan-Mausoleum Gur Emir, der Totenstadt Schah-i-Sinda und den Palastruinen von Afrosiab! Weitere Besichtigungen Observatorium des Ulugbek, Mausoleum Chan-e-Sende).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Abendessen in der usbekischen Familie</w:t>
            </w:r>
            <w:r w:rsidR="00CF6EB0" w:rsidRPr="00CF6EB0">
              <w:rPr>
                <w:color w:val="002060"/>
                <w:lang w:val="de-DE"/>
              </w:rPr>
              <w:t>, Sie werden beobachten wie</w:t>
            </w:r>
            <w:r w:rsidRPr="00CF6EB0">
              <w:rPr>
                <w:color w:val="002060"/>
                <w:lang w:val="de-DE"/>
              </w:rPr>
              <w:t xml:space="preserve"> der </w:t>
            </w:r>
            <w:r w:rsidR="00CF6EB0" w:rsidRPr="00CF6EB0">
              <w:rPr>
                <w:color w:val="002060"/>
                <w:lang w:val="de-DE"/>
              </w:rPr>
              <w:t>berühmten</w:t>
            </w:r>
            <w:r w:rsidRPr="00CF6EB0">
              <w:rPr>
                <w:color w:val="002060"/>
                <w:lang w:val="de-DE"/>
              </w:rPr>
              <w:t xml:space="preserve"> Pilaw von Samarkand</w:t>
            </w:r>
            <w:r w:rsidR="00CF6EB0" w:rsidRPr="00CF6EB0">
              <w:rPr>
                <w:color w:val="002060"/>
                <w:lang w:val="de-DE"/>
              </w:rPr>
              <w:t xml:space="preserve"> vorbereitet wird</w:t>
            </w:r>
            <w:r w:rsidRPr="00CF6EB0">
              <w:rPr>
                <w:color w:val="002060"/>
                <w:lang w:val="de-DE"/>
              </w:rPr>
              <w:t>.</w:t>
            </w:r>
          </w:p>
          <w:p w:rsidR="00F97133" w:rsidRPr="00CF6EB0" w:rsidRDefault="00CF6EB0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Übernachtung in Samaraknd</w:t>
            </w:r>
            <w:r w:rsidR="004C3A9C" w:rsidRPr="00CF6EB0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4C3A9C" w:rsidP="00F97133">
            <w:pPr>
              <w:jc w:val="center"/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 xml:space="preserve">Samarkand – Taschkent </w:t>
            </w:r>
          </w:p>
        </w:tc>
        <w:tc>
          <w:tcPr>
            <w:tcW w:w="4907" w:type="dxa"/>
          </w:tcPr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Weitere Besichtigungen in Samarkand.</w:t>
            </w:r>
          </w:p>
          <w:p w:rsidR="004C3A9C" w:rsidRPr="00CF6EB0" w:rsidRDefault="004C3A9C" w:rsidP="004C3A9C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Weitere Besichtigungen - Bibi Chanim Moschee mit grossen Saulehallen.</w:t>
            </w:r>
            <w:r w:rsidR="00CF6EB0">
              <w:rPr>
                <w:color w:val="002060"/>
                <w:lang w:val="de-DE"/>
              </w:rPr>
              <w:t xml:space="preserve"> </w:t>
            </w:r>
            <w:r w:rsidRPr="00CF6EB0">
              <w:rPr>
                <w:color w:val="002060"/>
                <w:lang w:val="de-DE"/>
              </w:rPr>
              <w:t>Basarbummeln.</w:t>
            </w:r>
          </w:p>
          <w:p w:rsidR="00F97133" w:rsidRPr="00CF6EB0" w:rsidRDefault="004C3A9C" w:rsidP="00CF6EB0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Transfer nach Taschkent. Nach der Ankunft Hotelbezug.</w:t>
            </w:r>
            <w:r w:rsidR="00CF6EB0">
              <w:rPr>
                <w:color w:val="002060"/>
                <w:lang w:val="de-DE"/>
              </w:rPr>
              <w:t xml:space="preserve"> Übernachtung in Taschkent</w:t>
            </w:r>
            <w:r w:rsidRPr="00CF6EB0">
              <w:rPr>
                <w:color w:val="002060"/>
                <w:lang w:val="de-DE"/>
              </w:rPr>
              <w:t xml:space="preserve"> 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4C3A9C" w:rsidRPr="00632436" w:rsidRDefault="00632436" w:rsidP="00632436">
            <w:pPr>
              <w:jc w:val="center"/>
              <w:rPr>
                <w:color w:val="002060"/>
              </w:rPr>
            </w:pPr>
            <w:r>
              <w:rPr>
                <w:color w:val="002060"/>
                <w:lang w:val="de-DE"/>
              </w:rPr>
              <w:t xml:space="preserve">TAS </w:t>
            </w:r>
            <w:r>
              <w:rPr>
                <w:color w:val="002060"/>
              </w:rPr>
              <w:t>- /</w:t>
            </w:r>
          </w:p>
        </w:tc>
        <w:tc>
          <w:tcPr>
            <w:tcW w:w="4907" w:type="dxa"/>
          </w:tcPr>
          <w:p w:rsidR="00F97133" w:rsidRPr="00CF6EB0" w:rsidRDefault="004C3A9C" w:rsidP="004E45EA">
            <w:pPr>
              <w:rPr>
                <w:color w:val="002060"/>
                <w:lang w:val="de-DE"/>
              </w:rPr>
            </w:pPr>
            <w:r w:rsidRPr="00CF6EB0">
              <w:rPr>
                <w:color w:val="002060"/>
                <w:lang w:val="de-DE"/>
              </w:rPr>
              <w:t>Transfer zum Flughafen. Rückflug</w:t>
            </w:r>
          </w:p>
        </w:tc>
      </w:tr>
    </w:tbl>
    <w:p w:rsidR="00D87A18" w:rsidRPr="00CF6EB0" w:rsidRDefault="00632436"/>
    <w:sectPr w:rsidR="00D87A18" w:rsidRPr="00CF6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A"/>
    <w:rsid w:val="001B253C"/>
    <w:rsid w:val="00324377"/>
    <w:rsid w:val="004C3A9C"/>
    <w:rsid w:val="006104DA"/>
    <w:rsid w:val="00632436"/>
    <w:rsid w:val="00742929"/>
    <w:rsid w:val="007C48CD"/>
    <w:rsid w:val="00995863"/>
    <w:rsid w:val="009A57E9"/>
    <w:rsid w:val="00B61981"/>
    <w:rsid w:val="00CF6EB0"/>
    <w:rsid w:val="00EC0F19"/>
    <w:rsid w:val="00F6466A"/>
    <w:rsid w:val="00F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CC3"/>
  <w15:chartTrackingRefBased/>
  <w15:docId w15:val="{5B6EC651-71F1-454F-B4EB-1E165C07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1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8</cp:revision>
  <dcterms:created xsi:type="dcterms:W3CDTF">2019-08-09T13:42:00Z</dcterms:created>
  <dcterms:modified xsi:type="dcterms:W3CDTF">2019-08-12T15:48:00Z</dcterms:modified>
</cp:coreProperties>
</file>