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sz w:val="28"/>
          <w:szCs w:val="28"/>
          <w:lang w:eastAsia="ru-RU"/>
        </w:rPr>
      </w:pPr>
      <w:r w:rsidRPr="000C1D50">
        <w:rPr>
          <w:rFonts w:ascii="Calibri" w:eastAsia="Times New Roman" w:hAnsi="Calibri" w:cs="Times New Roman"/>
          <w:b/>
          <w:color w:val="002060"/>
          <w:sz w:val="28"/>
          <w:szCs w:val="28"/>
          <w:lang w:eastAsia="ru-RU"/>
        </w:rPr>
        <w:t>Usbekistan</w:t>
      </w:r>
    </w:p>
    <w:p w:rsidR="000C1D50" w:rsidRPr="000C1D50" w:rsidRDefault="00307307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lang w:eastAsia="ru-RU"/>
        </w:rPr>
      </w:pPr>
      <w:r>
        <w:rPr>
          <w:rFonts w:ascii="Calibri" w:eastAsia="Times New Roman" w:hAnsi="Calibri" w:cs="Times New Roman"/>
          <w:b/>
          <w:color w:val="002060"/>
          <w:lang w:eastAsia="ru-RU"/>
        </w:rPr>
        <w:t>9</w:t>
      </w:r>
      <w:r w:rsidR="000C1D50"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Tage / </w:t>
      </w:r>
      <w:r>
        <w:rPr>
          <w:rFonts w:ascii="Calibri" w:eastAsia="Times New Roman" w:hAnsi="Calibri" w:cs="Times New Roman"/>
          <w:b/>
          <w:color w:val="002060"/>
          <w:lang w:eastAsia="ru-RU"/>
        </w:rPr>
        <w:t>8</w:t>
      </w:r>
      <w:r w:rsidR="000C1D50"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Nächte</w:t>
      </w:r>
    </w:p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  <w:r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Taschkent – </w:t>
      </w:r>
      <w:r w:rsidR="00307307">
        <w:rPr>
          <w:rFonts w:ascii="Calibri" w:eastAsia="Times New Roman" w:hAnsi="Calibri" w:cs="Times New Roman"/>
          <w:b/>
          <w:color w:val="002060"/>
          <w:lang w:eastAsia="ru-RU"/>
        </w:rPr>
        <w:t>Samarkand</w:t>
      </w:r>
      <w:r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– </w:t>
      </w:r>
      <w:r w:rsidR="00307307">
        <w:rPr>
          <w:rFonts w:ascii="Calibri" w:eastAsia="Times New Roman" w:hAnsi="Calibri" w:cs="Times New Roman"/>
          <w:b/>
          <w:color w:val="002060"/>
          <w:lang w:eastAsia="ru-RU"/>
        </w:rPr>
        <w:t>Buchara</w:t>
      </w:r>
      <w:r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– </w:t>
      </w:r>
      <w:r w:rsidR="00307307">
        <w:rPr>
          <w:rFonts w:ascii="Calibri" w:eastAsia="Times New Roman" w:hAnsi="Calibri" w:cs="Times New Roman"/>
          <w:b/>
          <w:color w:val="002060"/>
          <w:lang w:eastAsia="ru-RU"/>
        </w:rPr>
        <w:t>Urgentsch</w:t>
      </w:r>
      <w:r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– </w:t>
      </w:r>
      <w:proofErr w:type="spellStart"/>
      <w:r w:rsidR="00307307">
        <w:rPr>
          <w:rFonts w:ascii="Calibri" w:eastAsia="Times New Roman" w:hAnsi="Calibri" w:cs="Times New Roman"/>
          <w:b/>
          <w:color w:val="002060"/>
          <w:lang w:eastAsia="ru-RU"/>
        </w:rPr>
        <w:t>Chiwa</w:t>
      </w:r>
      <w:proofErr w:type="spellEnd"/>
      <w:r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– </w:t>
      </w:r>
      <w:r w:rsidR="00307307">
        <w:rPr>
          <w:rFonts w:ascii="Calibri" w:eastAsia="Times New Roman" w:hAnsi="Calibri" w:cs="Times New Roman"/>
          <w:b/>
          <w:color w:val="002060"/>
          <w:lang w:eastAsia="ru-RU"/>
        </w:rPr>
        <w:t>Taschkent</w:t>
      </w:r>
      <w:r w:rsidRPr="000C1D50">
        <w:rPr>
          <w:rFonts w:ascii="Calibri" w:eastAsia="Times New Roman" w:hAnsi="Calibri" w:cs="Times New Roman"/>
          <w:b/>
          <w:color w:val="002060"/>
          <w:lang w:eastAsia="ru-RU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35"/>
        <w:gridCol w:w="1316"/>
        <w:gridCol w:w="2308"/>
        <w:gridCol w:w="6294"/>
      </w:tblGrid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proofErr w:type="spellStart"/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Tag</w:t>
            </w:r>
            <w:proofErr w:type="spellEnd"/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proofErr w:type="spellStart"/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Datum</w:t>
            </w:r>
            <w:proofErr w:type="spellEnd"/>
          </w:p>
        </w:tc>
        <w:tc>
          <w:tcPr>
            <w:tcW w:w="2268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proofErr w:type="spellStart"/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Richtung</w:t>
            </w:r>
            <w:proofErr w:type="spellEnd"/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proofErr w:type="spellStart"/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Programm</w:t>
            </w:r>
            <w:proofErr w:type="spellEnd"/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 xml:space="preserve"> 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1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TAS </w:t>
            </w:r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0C1D50" w:rsidRDefault="000C1D50" w:rsidP="000C1D50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Ankunft in Taschkent</w:t>
            </w:r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. Empfang am Flughafen durch Reiseleitung, Transfer zum Hot</w:t>
            </w:r>
            <w:r w:rsidR="00307307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el, Unterbringung, Übernachtung in Taschkent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2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>Taschkent</w:t>
            </w:r>
            <w:proofErr w:type="spellEnd"/>
          </w:p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6234" w:type="dxa"/>
          </w:tcPr>
          <w:p w:rsidR="00307307" w:rsidRPr="000C1D50" w:rsidRDefault="000C1D50" w:rsidP="00307307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Frühstück. Besichtigungen in Taschkent: Ensemble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Hazrati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-Imam, Medrese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Kukeldasch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Tschorsu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Bazar, Museum für angewandte Kunst.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>Übernachtung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>in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>Taschkent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. 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3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Taschkent - Samarkand</w:t>
            </w:r>
          </w:p>
        </w:tc>
        <w:tc>
          <w:tcPr>
            <w:tcW w:w="6234" w:type="dxa"/>
          </w:tcPr>
          <w:p w:rsidR="000C1D50" w:rsidRPr="000C1D50" w:rsidRDefault="000C1D50" w:rsidP="007F684C">
            <w:pP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</w:pPr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Frühstück. Transfer zum </w:t>
            </w: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Bahnhof. Fahrt mit dem Zug nach Samarkand. Ankunft gegen Mittag. </w:t>
            </w:r>
            <w:r w:rsidR="007F684C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Besichtigungen in Samarkand: </w:t>
            </w:r>
            <w:proofErr w:type="spellStart"/>
            <w:r w:rsidR="007F684C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Afrosiab</w:t>
            </w:r>
            <w:proofErr w:type="spellEnd"/>
            <w:r w:rsidR="007F684C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Museum, </w:t>
            </w:r>
            <w:proofErr w:type="spellStart"/>
            <w:r w:rsidR="007F684C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Ulugbek</w:t>
            </w:r>
            <w:proofErr w:type="spellEnd"/>
            <w:r w:rsidR="007F684C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Observatorium und das Grab Heiligen Daniel</w:t>
            </w: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4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Samarkand</w:t>
            </w:r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0C1D50" w:rsidRDefault="000C1D50" w:rsidP="000C1D50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Frühstück. Ganztägige Besichtigungen: Gur Amir Mausoleum, Ensemble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Registan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Moschee Bibi Hanim, Bazar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Siab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Mittagspause., Nekropole von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Schachi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Zinda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. Übernachtung in Samarkand.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5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Samarkand - </w:t>
            </w:r>
            <w:proofErr w:type="spellStart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>Buchara</w:t>
            </w:r>
            <w:proofErr w:type="spellEnd"/>
            <w:r w:rsidRPr="000C1D50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0C1D50" w:rsidRDefault="00857FF6" w:rsidP="00857FF6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Frühstück. Transfer zum Bahnhof. Gegen Nachmittag erreichen wir Buchara. Freie Zeit. Übernachtung in Buchara</w:t>
            </w:r>
          </w:p>
        </w:tc>
      </w:tr>
      <w:tr w:rsidR="00857FF6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857FF6" w:rsidRPr="00857FF6" w:rsidRDefault="00857FF6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6</w:t>
            </w:r>
          </w:p>
        </w:tc>
        <w:tc>
          <w:tcPr>
            <w:tcW w:w="1276" w:type="dxa"/>
          </w:tcPr>
          <w:p w:rsidR="00857FF6" w:rsidRPr="000C1D50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857FF6" w:rsidRPr="00857FF6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Buchara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857FF6" w:rsidRDefault="00857FF6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Ganztägige Besichtigungen in Buchara: Ensemble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Lyabi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Hauz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Moschee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Maggoki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Attori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, Handels Kuppeln (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Sarafon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– Geldwechsel,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Telpak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Furuschon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-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Astrakhan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Hüte,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Zargaron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– Goldschmied), Kosch – Medresse (Medresse von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Ulugbek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und Medresse von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Abdulazizchan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). Mittagspause. Ensemble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Poi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Kalon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(Mosche und Minarett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Kalon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Medresse Miri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Arab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– aktiv), Zitadelle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Ark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Mausoleen von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Samaniden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und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Tschaschma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Ayub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eastAsia="ru-RU"/>
              </w:rPr>
              <w:t>Übernachtung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eastAsia="ru-RU"/>
              </w:rPr>
              <w:t>in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857FF6">
              <w:rPr>
                <w:rFonts w:ascii="Calibri" w:eastAsia="Times New Roman" w:hAnsi="Calibri" w:cs="Times New Roman"/>
                <w:color w:val="002060"/>
                <w:lang w:eastAsia="ru-RU"/>
              </w:rPr>
              <w:t>Buchara</w:t>
            </w:r>
            <w:proofErr w:type="spellEnd"/>
            <w:r w:rsidRPr="00857FF6">
              <w:rPr>
                <w:rFonts w:ascii="Calibri" w:eastAsia="Times New Roman" w:hAnsi="Calibri" w:cs="Times New Roman"/>
                <w:color w:val="002060"/>
                <w:lang w:eastAsia="ru-RU"/>
              </w:rPr>
              <w:t>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7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Buchara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Urgentsch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Chiwa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0C1D50" w:rsidRDefault="000C1D50" w:rsidP="00B06D31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Frühstück. </w:t>
            </w:r>
            <w:r w:rsidR="00B06D31"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Transfer zum </w:t>
            </w:r>
            <w:r w:rsid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Bahnhof. Gegen Mittag Fahrt nach Urgentsch (nur am Montag, </w:t>
            </w:r>
            <w:proofErr w:type="spellStart"/>
            <w:r w:rsid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Donnderstag</w:t>
            </w:r>
            <w:proofErr w:type="spellEnd"/>
            <w:r w:rsid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und Samstag). Ankunft am Abend. Transfer nach </w:t>
            </w:r>
            <w:proofErr w:type="spellStart"/>
            <w:r w:rsid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Chiwa</w:t>
            </w:r>
            <w:proofErr w:type="spellEnd"/>
            <w:r w:rsid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Übernachtung in </w:t>
            </w:r>
            <w:proofErr w:type="spellStart"/>
            <w:r w:rsid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Chiwa</w:t>
            </w:r>
            <w:proofErr w:type="spellEnd"/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8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0C1D50" w:rsidRDefault="00B06D31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Chiwa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– Urgentsch – Taschkent </w:t>
            </w:r>
          </w:p>
        </w:tc>
        <w:tc>
          <w:tcPr>
            <w:tcW w:w="6234" w:type="dxa"/>
          </w:tcPr>
          <w:p w:rsidR="00B06D31" w:rsidRPr="000C1D50" w:rsidRDefault="00B06D31" w:rsidP="00B06D31">
            <w:pP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G</w:t>
            </w:r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anztägige Besichtigungen in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Itschan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Kala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: Medresse von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Muchammad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Aminchan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Minarett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Kalta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Minor, Festung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Ark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Mausoleum von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Pachlawan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Machmud und Said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Alauddin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Mittagspause. Moschee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Juma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Palast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Tasch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Hauli</w:t>
            </w:r>
            <w:proofErr w:type="spellEnd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und Harem, Ensemble Islam </w:t>
            </w:r>
            <w:proofErr w:type="spellStart"/>
            <w:r w:rsidRPr="00B06D31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Chod</w:t>
            </w: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ja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, Medresse von Alla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Kulichan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. Transfer zum Flughafen. Flug nach nach Taschkent. Übernachtung in Taschkent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9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DD4D4A" w:rsidRDefault="00DD4D4A" w:rsidP="00DD4D4A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Taschkent 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/ - </w:t>
            </w:r>
            <w:bookmarkStart w:id="0" w:name="_GoBack"/>
            <w:bookmarkEnd w:id="0"/>
          </w:p>
        </w:tc>
        <w:tc>
          <w:tcPr>
            <w:tcW w:w="6234" w:type="dxa"/>
          </w:tcPr>
          <w:p w:rsidR="000C1D50" w:rsidRPr="000C1D50" w:rsidRDefault="00307307" w:rsidP="000C1D50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Transfer zum Flughafen. Rückflug</w:t>
            </w:r>
          </w:p>
        </w:tc>
      </w:tr>
    </w:tbl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</w:p>
    <w:p w:rsidR="000C1D50" w:rsidRPr="000C1D50" w:rsidRDefault="000C1D50" w:rsidP="000C1D50">
      <w:pPr>
        <w:spacing w:after="0" w:line="276" w:lineRule="auto"/>
        <w:rPr>
          <w:rFonts w:ascii="Calibri" w:eastAsia="Times New Roman" w:hAnsi="Calibri" w:cs="Times New Roman"/>
          <w:color w:val="002060"/>
          <w:lang w:eastAsia="ru-RU"/>
        </w:rPr>
      </w:pPr>
    </w:p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</w:p>
    <w:p w:rsidR="00D87A18" w:rsidRDefault="0055448D"/>
    <w:sectPr w:rsidR="00D87A18" w:rsidSect="006B046D">
      <w:headerReference w:type="default" r:id="rId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48D" w:rsidRDefault="0055448D" w:rsidP="000C1D50">
      <w:pPr>
        <w:spacing w:after="0" w:line="240" w:lineRule="auto"/>
      </w:pPr>
      <w:r>
        <w:separator/>
      </w:r>
    </w:p>
  </w:endnote>
  <w:endnote w:type="continuationSeparator" w:id="0">
    <w:p w:rsidR="0055448D" w:rsidRDefault="0055448D" w:rsidP="000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48D" w:rsidRDefault="0055448D" w:rsidP="000C1D50">
      <w:pPr>
        <w:spacing w:after="0" w:line="240" w:lineRule="auto"/>
      </w:pPr>
      <w:r>
        <w:separator/>
      </w:r>
    </w:p>
  </w:footnote>
  <w:footnote w:type="continuationSeparator" w:id="0">
    <w:p w:rsidR="0055448D" w:rsidRDefault="0055448D" w:rsidP="000C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274" w:rsidRPr="000C1D50" w:rsidRDefault="0055448D">
    <w:pPr>
      <w:pStyle w:val="Header"/>
      <w:rPr>
        <w:rFonts w:ascii="Cambria" w:hAnsi="Cambria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01"/>
      <w:gridCol w:w="1011"/>
      <w:gridCol w:w="3770"/>
    </w:tblGrid>
    <w:tr w:rsidR="006B046D" w:rsidRPr="006B046D" w:rsidTr="000A32EA">
      <w:tc>
        <w:tcPr>
          <w:tcW w:w="5901" w:type="dxa"/>
        </w:tcPr>
        <w:p w:rsidR="005F2274" w:rsidRPr="000C1D50" w:rsidRDefault="0055448D" w:rsidP="000A32EA">
          <w:pPr>
            <w:rPr>
              <w:rFonts w:ascii="Cambria" w:hAnsi="Cambria"/>
              <w:noProof/>
              <w:sz w:val="20"/>
              <w:szCs w:val="20"/>
              <w:lang w:val="en-US"/>
            </w:rPr>
          </w:pPr>
        </w:p>
      </w:tc>
      <w:tc>
        <w:tcPr>
          <w:tcW w:w="1011" w:type="dxa"/>
        </w:tcPr>
        <w:p w:rsidR="005F2274" w:rsidRPr="000C1D50" w:rsidRDefault="0055448D" w:rsidP="000A32EA">
          <w:pPr>
            <w:jc w:val="center"/>
            <w:rPr>
              <w:rFonts w:ascii="Cambria" w:hAnsi="Cambria" w:cs="Times New Roman"/>
              <w:sz w:val="20"/>
              <w:szCs w:val="20"/>
              <w:lang w:val="en-US"/>
            </w:rPr>
          </w:pPr>
        </w:p>
      </w:tc>
      <w:tc>
        <w:tcPr>
          <w:tcW w:w="3770" w:type="dxa"/>
        </w:tcPr>
        <w:p w:rsidR="005F2274" w:rsidRPr="000C1D50" w:rsidRDefault="0055448D" w:rsidP="000A32EA">
          <w:pPr>
            <w:rPr>
              <w:rFonts w:ascii="Cambria" w:hAnsi="Cambria" w:cs="Times New Roman"/>
              <w:color w:val="002060"/>
              <w:sz w:val="20"/>
              <w:szCs w:val="20"/>
              <w:lang w:val="en-US"/>
            </w:rPr>
          </w:pPr>
        </w:p>
      </w:tc>
    </w:tr>
  </w:tbl>
  <w:p w:rsidR="005F2274" w:rsidRPr="000C1D50" w:rsidRDefault="0055448D" w:rsidP="008470FA">
    <w:pPr>
      <w:pStyle w:val="Header"/>
      <w:rPr>
        <w:rFonts w:ascii="Cambria" w:hAnsi="Cambria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BB"/>
    <w:rsid w:val="000C1D50"/>
    <w:rsid w:val="001B253C"/>
    <w:rsid w:val="00307307"/>
    <w:rsid w:val="0055448D"/>
    <w:rsid w:val="00742929"/>
    <w:rsid w:val="007F684C"/>
    <w:rsid w:val="00857FF6"/>
    <w:rsid w:val="00B06D31"/>
    <w:rsid w:val="00C75512"/>
    <w:rsid w:val="00DD4D4A"/>
    <w:rsid w:val="00E1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8D9E"/>
  <w15:chartTrackingRefBased/>
  <w15:docId w15:val="{828701FE-3193-4D29-B481-39967B01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50"/>
  </w:style>
  <w:style w:type="table" w:styleId="TableGrid">
    <w:name w:val="Table Grid"/>
    <w:basedOn w:val="TableNormal"/>
    <w:uiPriority w:val="59"/>
    <w:rsid w:val="000C1D5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0C1D50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C1D5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4</cp:revision>
  <dcterms:created xsi:type="dcterms:W3CDTF">2019-08-09T12:46:00Z</dcterms:created>
  <dcterms:modified xsi:type="dcterms:W3CDTF">2019-08-12T15:47:00Z</dcterms:modified>
</cp:coreProperties>
</file>