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both"/>
      </w:pPr>
      <w:r>
        <w:rPr>
          <w:rFonts w:ascii="Times New Roman" w:hAnsi="Times New Roman"/>
          <w:b w:val="0"/>
          <w:sz w:val="20"/>
        </w:rPr>
        <w:t>{{msh_sana}} yildagi {{msh_no}}-sonli mehnat shartnomasiga</w:t>
      </w:r>
    </w:p>
    <w:p>
      <w:pPr>
        <w:spacing w:after="120" w:before="0"/>
        <w:jc w:val="center"/>
      </w:pPr>
      <w:r>
        <w:rPr>
          <w:rFonts w:ascii="Times New Roman" w:hAnsi="Times New Roman"/>
          <w:b/>
          <w:sz w:val="22"/>
        </w:rPr>
        <w:t>Qo‘shimcha  kelishuv № {{shartnoma_no}}</w:t>
      </w:r>
    </w:p>
    <w:p>
      <w:pPr>
        <w:spacing w:after="80" w:before="0"/>
      </w:pPr>
      <w:r>
        <w:rPr>
          <w:rFonts w:ascii="Times New Roman" w:hAnsi="Times New Roman"/>
          <w:b w:val="0"/>
          <w:sz w:val="20"/>
        </w:rPr>
      </w:r>
    </w:p>
    <w:p>
      <w:pPr>
        <w:spacing w:after="40" w:before="0"/>
        <w:jc w:val="both"/>
      </w:pPr>
      <w:r>
        <w:rPr>
          <w:rFonts w:ascii="Times New Roman" w:hAnsi="Times New Roman"/>
          <w:b w:val="0"/>
          <w:sz w:val="20"/>
        </w:rPr>
        <w:t>{{sana_matn}} {{shahar}}</w:t>
      </w:r>
    </w:p>
    <w:p>
      <w:pPr>
        <w:spacing w:after="80" w:before="0"/>
      </w:pPr>
      <w:r>
        <w:rPr>
          <w:rFonts w:ascii="Times New Roman" w:hAnsi="Times New Roman"/>
          <w:b w:val="0"/>
          <w:sz w:val="20"/>
        </w:rPr>
      </w:r>
    </w:p>
    <w:p>
      <w:pPr>
        <w:spacing w:after="40" w:before="0"/>
        <w:jc w:val="both"/>
      </w:pPr>
      <w:r>
        <w:rPr>
          <w:rFonts w:ascii="Times New Roman" w:hAnsi="Times New Roman"/>
          <w:b w:val="0"/>
          <w:sz w:val="20"/>
        </w:rPr>
        <w:t>«KHAT DECOR»    МChJ,    nomidan   Nizomi    asosida   faoliyat   yurituvchi   korxona  Direktori TOLIPOV ALPON XAMIDJONOVICH,  keyingi   o‘rinlarda  «Ish beruvchi»  deb ataladi,</w:t>
      </w:r>
    </w:p>
    <w:p>
      <w:pPr>
        <w:spacing w:after="40" w:before="0"/>
        <w:jc w:val="both"/>
      </w:pPr>
      <w:r>
        <w:rPr>
          <w:rFonts w:ascii="Times New Roman" w:hAnsi="Times New Roman"/>
          <w:b w:val="0"/>
          <w:sz w:val="20"/>
        </w:rPr>
        <w:t>{{bolim}} bo'limi</w:t>
      </w:r>
    </w:p>
    <w:p>
      <w:pPr>
        <w:spacing w:after="40" w:before="0"/>
        <w:jc w:val="both"/>
      </w:pPr>
      <w:r>
        <w:rPr>
          <w:rFonts w:ascii="Times New Roman" w:hAnsi="Times New Roman"/>
          <w:b w:val="0"/>
          <w:sz w:val="20"/>
        </w:rPr>
        <w:t>{{lavozim}} lavozimida</w:t>
      </w:r>
    </w:p>
    <w:p>
      <w:pPr>
        <w:spacing w:after="40" w:before="0"/>
        <w:jc w:val="both"/>
      </w:pPr>
      <w:r>
        <w:rPr>
          <w:rFonts w:ascii="Times New Roman" w:hAnsi="Times New Roman"/>
          <w:b w:val="0"/>
          <w:sz w:val="20"/>
        </w:rPr>
        <w:t>ishlab kelgan {{fish}}</w:t>
      </w:r>
    </w:p>
    <w:p>
      <w:pPr>
        <w:spacing w:after="40" w:before="0"/>
        <w:jc w:val="both"/>
      </w:pPr>
      <w:r>
        <w:rPr>
          <w:rFonts w:ascii="Times New Roman" w:hAnsi="Times New Roman"/>
          <w:b w:val="0"/>
          <w:sz w:val="20"/>
        </w:rPr>
        <w:t>keyingi o‘rinlarda «Хodim» deb ataladi, mazkur qo'shimcha kelishuv quyidagi tartibda tuzdilar:</w:t>
      </w:r>
    </w:p>
    <w:p>
      <w:pPr>
        <w:spacing w:after="120" w:before="0"/>
        <w:jc w:val="center"/>
      </w:pPr>
      <w:r>
        <w:rPr>
          <w:rFonts w:ascii="Times New Roman" w:hAnsi="Times New Roman"/>
          <w:b/>
          <w:sz w:val="22"/>
        </w:rPr>
        <w:t>1. QO'SHIMCHA KELISHUV MAVZUSI</w:t>
      </w:r>
    </w:p>
    <w:p>
      <w:pPr>
        <w:spacing w:after="40" w:before="0"/>
        <w:jc w:val="both"/>
      </w:pPr>
      <w:r>
        <w:rPr>
          <w:rFonts w:ascii="Times New Roman" w:hAnsi="Times New Roman"/>
          <w:b w:val="0"/>
          <w:sz w:val="20"/>
        </w:rPr>
        <w:t>1 Ushbu qo'shimcha kelishuv shartlariga muvofiq, xodim quyidagi lavozimga o'tkaziladi:</w:t>
      </w:r>
    </w:p>
    <w:p>
      <w:pPr>
        <w:spacing w:after="40" w:before="0"/>
        <w:jc w:val="both"/>
      </w:pPr>
      <w:r>
        <w:rPr>
          <w:rFonts w:ascii="Times New Roman" w:hAnsi="Times New Roman"/>
          <w:b w:val="0"/>
          <w:sz w:val="20"/>
        </w:rPr>
        <w:t>{{yangi_bolim}} bo'limiga</w:t>
      </w:r>
    </w:p>
    <w:p>
      <w:pPr>
        <w:spacing w:after="40" w:before="0"/>
        <w:jc w:val="both"/>
      </w:pPr>
      <w:r>
        <w:rPr>
          <w:rFonts w:ascii="Times New Roman" w:hAnsi="Times New Roman"/>
          <w:b w:val="0"/>
          <w:sz w:val="20"/>
        </w:rPr>
        <w:t>{{yangi_lavozim}} lavozimiga</w:t>
      </w:r>
    </w:p>
    <w:p>
      <w:pPr>
        <w:spacing w:after="40" w:before="0"/>
        <w:jc w:val="both"/>
      </w:pPr>
      <w:r>
        <w:rPr>
          <w:rFonts w:ascii="Times New Roman" w:hAnsi="Times New Roman"/>
          <w:b w:val="0"/>
          <w:sz w:val="20"/>
        </w:rPr>
        <w:t>o'tkaziladi va ushbu lavozimda ishlarni bajarishga, shuningdek tuzilgan mehnat shartnomasi shartlariga, korxonaning ichki normativ hujjatlariga, direktorning buyruqlariga, O‘zbekiston Respublikaning amaldagi mehnat qonunchiligi talablariga, shuningdek, boshqa qo‘shimcha mehnat shartnomalariga rioya qilish majburiyatini oladi.</w:t>
      </w:r>
    </w:p>
    <w:p>
      <w:pPr>
        <w:spacing w:after="40" w:before="0"/>
        <w:jc w:val="both"/>
      </w:pPr>
      <w:r>
        <w:rPr>
          <w:rFonts w:ascii="Times New Roman" w:hAnsi="Times New Roman"/>
          <w:b w:val="0"/>
          <w:sz w:val="20"/>
        </w:rPr>
        <w:t>2 Oylik maoshi shtat jadvaliga muvofiq belgilanadi</w:t>
      </w:r>
    </w:p>
    <w:p>
      <w:pPr>
        <w:spacing w:after="40" w:before="0"/>
        <w:jc w:val="both"/>
      </w:pPr>
      <w:r>
        <w:rPr>
          <w:rFonts w:ascii="Times New Roman" w:hAnsi="Times New Roman"/>
          <w:b w:val="0"/>
          <w:sz w:val="20"/>
        </w:rPr>
        <w:t>3 Xodim ushbu kelishuvga muvofiq «KHAT DECOR» MCHJ da ishlashga rozi ekanligini bildiradi.</w:t>
      </w:r>
    </w:p>
    <w:p>
      <w:pPr>
        <w:spacing w:after="40" w:before="0"/>
        <w:jc w:val="both"/>
      </w:pPr>
      <w:r>
        <w:rPr>
          <w:rFonts w:ascii="Times New Roman" w:hAnsi="Times New Roman"/>
          <w:b w:val="0"/>
          <w:sz w:val="20"/>
        </w:rPr>
        <w:t>4 Mehnat shartnomasining qolgan barcha shartlari o‘z kuchida va o‘zgartirishsiz qoldiriladi.</w:t>
      </w:r>
    </w:p>
    <w:p>
      <w:pPr>
        <w:spacing w:after="40" w:before="0"/>
        <w:jc w:val="both"/>
      </w:pPr>
      <w:r>
        <w:rPr>
          <w:rFonts w:ascii="Times New Roman" w:hAnsi="Times New Roman"/>
          <w:b w:val="0"/>
          <w:sz w:val="20"/>
        </w:rPr>
        <w:t>5 Mazkur kelishuv tomonlar o‘rtasida tuzilgan mehnat shartnomasining ajralmas qismi bo‘lib hisoblanadi.</w:t>
      </w:r>
    </w:p>
    <w:p>
      <w:pPr>
        <w:spacing w:after="40" w:before="0"/>
        <w:jc w:val="both"/>
      </w:pPr>
      <w:r>
        <w:rPr>
          <w:rFonts w:ascii="Times New Roman" w:hAnsi="Times New Roman"/>
          <w:b w:val="0"/>
          <w:sz w:val="20"/>
        </w:rPr>
        <w:t>6 Mazkur kelishuv har ikki tomon imzolagan kundan boshlab, kuchga kiradi.</w:t>
      </w:r>
    </w:p>
    <w:p>
      <w:pPr>
        <w:spacing w:after="120" w:before="0"/>
        <w:jc w:val="center"/>
      </w:pPr>
      <w:r>
        <w:rPr>
          <w:rFonts w:ascii="Times New Roman" w:hAnsi="Times New Roman"/>
          <w:b/>
          <w:sz w:val="22"/>
        </w:rPr>
        <w:t>2. TOMONLARNING TAFSILOTLARI</w:t>
      </w:r>
    </w:p>
    <w:tbl>
      <w:tblPr>
        <w:tblW w:type="auto" w:w="0"/>
        <w:jc w:val="center"/>
        <w:tblLook w:firstColumn="1" w:firstRow="1" w:lastColumn="0" w:lastRow="0" w:noHBand="0" w:noVBand="1" w:val="04A0"/>
      </w:tblPr>
      <w:tblGrid>
        <w:gridCol w:w="5071"/>
        <w:gridCol w:w="5071"/>
      </w:tblGrid>
      <w:tr>
        <w:tc>
          <w:tcPr>
            <w:tcW w:type="dxa" w:w="5071"/>
          </w:tcPr>
          <w:p>
            <w:pPr>
              <w:spacing w:after="20"/>
            </w:pPr>
            <w:r/>
            <w:r>
              <w:rPr>
                <w:rFonts w:ascii="Times New Roman" w:hAnsi="Times New Roman"/>
                <w:sz w:val="18"/>
              </w:rPr>
              <w:t>ХODIM</w:t>
            </w:r>
          </w:p>
        </w:tc>
        <w:tc>
          <w:tcPr>
            <w:tcW w:type="dxa" w:w="5071"/>
          </w:tcPr>
          <w:p>
            <w:pPr>
              <w:spacing w:after="20"/>
            </w:pPr>
            <w:r/>
            <w:r>
              <w:rPr>
                <w:rFonts w:ascii="Times New Roman" w:hAnsi="Times New Roman"/>
                <w:sz w:val="18"/>
              </w:rPr>
              <w:t>ISH BERUVCHI</w:t>
            </w:r>
          </w:p>
        </w:tc>
      </w:tr>
      <w:tr>
        <w:tc>
          <w:tcPr>
            <w:tcW w:type="dxa" w:w="5071"/>
          </w:tcPr>
          <w:p>
            <w:pPr>
              <w:spacing w:after="20"/>
            </w:pPr>
            <w:r/>
            <w:r>
              <w:rPr>
                <w:rFonts w:ascii="Times New Roman" w:hAnsi="Times New Roman"/>
                <w:sz w:val="18"/>
              </w:rPr>
              <w:t>F.I.Sh: {{fish}}</w:t>
            </w:r>
          </w:p>
        </w:tc>
        <w:tc>
          <w:tcPr>
            <w:tcW w:type="dxa" w:w="5071"/>
          </w:tcPr>
          <w:p>
            <w:pPr>
              <w:spacing w:after="20"/>
            </w:pPr>
            <w:r/>
            <w:r>
              <w:rPr>
                <w:rFonts w:ascii="Times New Roman" w:hAnsi="Times New Roman"/>
                <w:sz w:val="18"/>
              </w:rPr>
              <w:t>"KHAT DECOR" MChJ</w:t>
            </w:r>
          </w:p>
        </w:tc>
      </w:tr>
      <w:tr>
        <w:tc>
          <w:tcPr>
            <w:tcW w:type="dxa" w:w="5071"/>
          </w:tcPr>
          <w:p>
            <w:pPr>
              <w:spacing w:after="20"/>
            </w:pPr>
            <w:r/>
            <w:r>
              <w:rPr>
                <w:rFonts w:ascii="Times New Roman" w:hAnsi="Times New Roman"/>
                <w:sz w:val="18"/>
              </w:rPr>
            </w:r>
          </w:p>
        </w:tc>
        <w:tc>
          <w:tcPr>
            <w:tcW w:type="dxa" w:w="5071"/>
          </w:tcPr>
          <w:p>
            <w:pPr>
              <w:spacing w:after="20"/>
            </w:pPr>
            <w:r/>
            <w:r>
              <w:rPr>
                <w:rFonts w:ascii="Times New Roman" w:hAnsi="Times New Roman"/>
                <w:sz w:val="18"/>
              </w:rPr>
              <w:t>Ta'sischisi {{direktor}}</w:t>
            </w:r>
          </w:p>
        </w:tc>
      </w:tr>
      <w:tr>
        <w:tc>
          <w:tcPr>
            <w:tcW w:type="dxa" w:w="5071"/>
          </w:tcPr>
          <w:p>
            <w:pPr>
              <w:spacing w:after="20"/>
            </w:pPr>
            <w:r/>
            <w:r>
              <w:rPr>
                <w:rFonts w:ascii="Times New Roman" w:hAnsi="Times New Roman"/>
                <w:sz w:val="18"/>
              </w:rPr>
              <w:t>(imzo)</w:t>
            </w:r>
          </w:p>
        </w:tc>
        <w:tc>
          <w:tcPr>
            <w:tcW w:type="dxa" w:w="5071"/>
          </w:tcPr>
          <w:p>
            <w:pPr>
              <w:spacing w:after="20"/>
            </w:pPr>
            <w:r/>
            <w:r>
              <w:rPr>
                <w:rFonts w:ascii="Times New Roman" w:hAnsi="Times New Roman"/>
                <w:sz w:val="18"/>
              </w:rPr>
              <w:t>(imzo)</w:t>
            </w:r>
          </w:p>
        </w:tc>
      </w:tr>
    </w:tbl>
    <w:p/>
    <w:p>
      <w:pPr>
        <w:spacing w:after="80" w:before="0"/>
      </w:pPr>
      <w:r>
        <w:rPr>
          <w:rFonts w:ascii="Times New Roman" w:hAnsi="Times New Roman"/>
          <w:b w:val="0"/>
          <w:sz w:val="20"/>
        </w:rPr>
      </w:r>
    </w:p>
    <w:p>
      <w:pPr>
        <w:spacing w:after="80" w:before="0"/>
      </w:pPr>
      <w:r>
        <w:rPr>
          <w:rFonts w:ascii="Times New Roman" w:hAnsi="Times New Roman"/>
          <w:b w:val="0"/>
          <w:sz w:val="20"/>
        </w:rPr>
      </w:r>
    </w:p>
    <w:p>
      <w:pPr>
        <w:spacing w:after="80" w:before="0"/>
      </w:pPr>
      <w:r>
        <w:rPr>
          <w:rFonts w:ascii="Times New Roman" w:hAnsi="Times New Roman"/>
          <w:b w:val="0"/>
          <w:sz w:val="20"/>
        </w:rPr>
      </w:r>
    </w:p>
    <w:p>
      <w:pPr>
        <w:spacing w:after="80" w:before="0"/>
      </w:pPr>
      <w:r>
        <w:rPr>
          <w:rFonts w:ascii="Times New Roman" w:hAnsi="Times New Roman"/>
          <w:b w:val="0"/>
          <w:sz w:val="20"/>
        </w:rPr>
      </w:r>
    </w:p>
    <w:p>
      <w:pPr>
        <w:spacing w:after="80" w:before="0"/>
      </w:pPr>
      <w:r>
        <w:rPr>
          <w:rFonts w:ascii="Times New Roman" w:hAnsi="Times New Roman"/>
          <w:b w:val="0"/>
          <w:sz w:val="20"/>
        </w:rPr>
      </w:r>
    </w:p>
    <w:p>
      <w:pPr>
        <w:spacing w:after="40" w:before="0"/>
        <w:jc w:val="both"/>
      </w:pPr>
      <w:r>
        <w:rPr>
          <w:rFonts w:ascii="Times New Roman" w:hAnsi="Times New Roman"/>
          <w:b w:val="0"/>
          <w:sz w:val="20"/>
        </w:rPr>
        <w:t>Ikkinchi nusxasini oldim: ___________________________________________________________</w:t>
      </w:r>
    </w:p>
    <w:p>
      <w:pPr>
        <w:spacing w:after="40" w:before="0"/>
        <w:jc w:val="both"/>
      </w:pPr>
      <w:r>
        <w:rPr>
          <w:rFonts w:ascii="Times New Roman" w:hAnsi="Times New Roman"/>
          <w:b w:val="0"/>
          <w:sz w:val="20"/>
        </w:rPr>
        <w:t>(imzosi, sana)</w:t>
      </w:r>
    </w:p>
    <w:sectPr w:rsidR="00FC693F" w:rsidRPr="0006063C" w:rsidSect="00034616">
      <w:pgSz w:w="12240" w:h="15840"/>
      <w:pgMar w:top="850" w:right="850"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