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jc w:val="center"/>
      </w:pPr>
      <w:r>
        <w:rPr>
          <w:rFonts w:ascii="Arial" w:cs="Arial" w:eastAsia="Arial" w:hAnsi="Arial"/>
          <w:b/>
          <w:bCs/>
          <w:color w:val="1A56DB"/>
          <w:sz w:val="60"/>
          <w:szCs w:val="60"/>
        </w:rPr>
        <w:t xml:space="preserve">GetInSync NextGen</w:t>
      </w:r>
    </w:p>
    <w:p>
      <w:pPr>
        <w:spacing w:after="200"/>
        <w:jc w:val="center"/>
      </w:pPr>
      <w:r>
        <w:rPr>
          <w:rFonts w:ascii="Arial" w:cs="Arial" w:eastAsia="Arial" w:hAnsi="Arial"/>
          <w:color w:val="475569"/>
          <w:sz w:val="32"/>
          <w:szCs w:val="32"/>
        </w:rPr>
        <w:t xml:space="preserve">Making Your CMDB Work for the Business</w:t>
      </w:r>
    </w:p>
    <w:p>
      <w:pPr>
        <w:pBdr>
          <w:top w:val="single" w:color="1A56DB" w:sz="2" w:space="12"/>
        </w:pBdr>
        <w:spacing w:after="40" w:before="600"/>
        <w:jc w:val="center"/>
      </w:pPr>
      <w:r>
        <w:rPr>
          <w:rFonts w:ascii="Arial" w:cs="Arial" w:eastAsia="Arial" w:hAnsi="Arial"/>
          <w:b/>
          <w:bCs/>
          <w:color w:val="0F172A"/>
          <w:sz w:val="28"/>
          <w:szCs w:val="28"/>
        </w:rPr>
        <w:t xml:space="preserve">Product &amp; Technology Overview</w:t>
      </w:r>
    </w:p>
    <w:p>
      <w:pPr>
        <w:spacing w:after="40"/>
        <w:jc w:val="center"/>
      </w:pPr>
      <w:r>
        <w:rPr>
          <w:rFonts w:ascii="Arial" w:cs="Arial" w:eastAsia="Arial" w:hAnsi="Arial"/>
          <w:color w:val="475569"/>
          <w:sz w:val="22"/>
          <w:szCs w:val="22"/>
        </w:rPr>
        <w:t xml:space="preserve">Investor Due Diligence Package</w:t>
      </w:r>
    </w:p>
    <w:p>
      <w:pPr>
        <w:spacing w:after="0" w:before="800"/>
      </w:pPr>
    </w:p>
    <w:p>
      <w:pPr>
        <w:spacing w:after="40"/>
        <w:jc w:val="center"/>
      </w:pPr>
      <w:r>
        <w:rPr>
          <w:rFonts w:ascii="Arial" w:cs="Arial" w:eastAsia="Arial" w:hAnsi="Arial"/>
          <w:color w:val="94A3B8"/>
          <w:sz w:val="20"/>
          <w:szCs w:val="20"/>
        </w:rPr>
        <w:t xml:space="preserve">Allstar Technologies Canada Limited</w:t>
      </w:r>
    </w:p>
    <w:p>
      <w:pPr>
        <w:spacing w:after="40"/>
        <w:jc w:val="center"/>
      </w:pPr>
      <w:r>
        <w:rPr>
          <w:rFonts w:ascii="Arial" w:cs="Arial" w:eastAsia="Arial" w:hAnsi="Arial"/>
          <w:color w:val="2563EB"/>
          <w:sz w:val="20"/>
          <w:szCs w:val="20"/>
        </w:rPr>
        <w:t xml:space="preserve">nextgen.getinsync.ca</w:t>
      </w:r>
    </w:p>
    <w:p>
      <w:pPr>
        <w:jc w:val="center"/>
      </w:pPr>
      <w:r>
        <w:rPr>
          <w:rFonts w:ascii="Arial" w:cs="Arial" w:eastAsia="Arial" w:hAnsi="Arial"/>
          <w:color w:val="94A3B8"/>
          <w:sz w:val="20"/>
          <w:szCs w:val="20"/>
        </w:rPr>
        <w:t xml:space="preserve">March 2026</w:t>
      </w:r>
    </w:p>
    <w:p>
      <w:pPr>
        <w:sectPr>
          <w:pgSz w:w="12240" w:h="15840" w:orient="portrait"/>
          <w:pgMar w:top="2880" w:right="1440" w:bottom="1440" w:left="1440" w:header="708" w:footer="708" w:gutter="0"/>
          <w:pgNumType/>
          <w:docGrid w:linePitch="360"/>
        </w:sectPr>
      </w:pPr>
    </w:p>
    <w:p>
      <w:pPr>
        <w:pStyle w:val="Heading1"/>
        <w:spacing w:after="200" w:before="0"/>
      </w:pPr>
      <w:r>
        <w:rPr>
          <w:rFonts w:ascii="Arial" w:cs="Arial" w:eastAsia="Arial" w:hAnsi="Arial"/>
          <w:b/>
          <w:bCs/>
          <w:color w:val="0F172A"/>
          <w:sz w:val="36"/>
          <w:szCs w:val="36"/>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0F172A"/>
          <w:sz w:val="36"/>
          <w:szCs w:val="36"/>
        </w:rPr>
        <w:t xml:space="preserve">Executive Summary</w:t>
      </w:r>
    </w:p>
    <w:p>
      <w:pPr>
        <w:spacing w:after="80" w:before="80"/>
        <w:jc w:val="left"/>
      </w:pPr>
      <w:r>
        <w:rPr>
          <w:rFonts w:ascii="Arial" w:cs="Arial" w:eastAsia="Arial" w:hAnsi="Arial"/>
          <w:b w:val="false"/>
          <w:bCs w:val="false"/>
          <w:i w:val="false"/>
          <w:iCs w:val="false"/>
          <w:color w:val="475569"/>
          <w:sz w:val="21"/>
          <w:szCs w:val="21"/>
        </w:rPr>
        <w:t xml:space="preserve">Ask any CIO or IT director three questions: How much does each application in your portfolio cost to run? How much do you spend with each technology vendor? How much technical debt are you carrying, and what will it cost to fix? In most organizations, nobody can answer these questions with confidence. The data exists — scattered across contracts, invoices, CMDB records, shared infrastructure allocations, and spreadsheets maintained by different teams — but it is never assembled into a single view that a business stakeholder can trust and act on.</w:t>
      </w:r>
    </w:p>
    <w:p>
      <w:pPr>
        <w:spacing w:after="80" w:before="80"/>
        <w:jc w:val="left"/>
      </w:pPr>
      <w:r>
        <w:rPr>
          <w:rFonts w:ascii="Arial" w:cs="Arial" w:eastAsia="Arial" w:hAnsi="Arial"/>
          <w:b w:val="false"/>
          <w:bCs w:val="false"/>
          <w:i w:val="false"/>
          <w:iCs w:val="false"/>
          <w:color w:val="475569"/>
          <w:sz w:val="21"/>
          <w:szCs w:val="21"/>
        </w:rPr>
        <w:t xml:space="preserve">GetInSync NextGen is a Canadian SaaS platform that solves this problem. It brings application costs, vendor spend, technical health scores, technology risk, and modernization roadmaps into one place — visible to both IT and business stakeholders, updated in real time, and expressed in dollars, not database jargon. It makes the invisible visible: the true cost of every application, the total spend with every vendor, and the price tag on technical debt.</w:t>
      </w:r>
    </w:p>
    <w:p>
      <w:pPr>
        <w:pStyle w:val="Heading2"/>
        <w:spacing w:after="160" w:before="280"/>
      </w:pPr>
      <w:r>
        <w:rPr>
          <w:rFonts w:ascii="Arial" w:cs="Arial" w:eastAsia="Arial" w:hAnsi="Arial"/>
          <w:b/>
          <w:bCs/>
          <w:color w:val="1A56DB"/>
          <w:sz w:val="28"/>
          <w:szCs w:val="28"/>
        </w:rPr>
        <w:t xml:space="preserve">The Market Gap</w:t>
      </w:r>
    </w:p>
    <w:p>
      <w:pPr>
        <w:spacing w:after="80" w:before="80"/>
        <w:jc w:val="left"/>
      </w:pPr>
      <w:r>
        <w:rPr>
          <w:rFonts w:ascii="Arial" w:cs="Arial" w:eastAsia="Arial" w:hAnsi="Arial"/>
          <w:b w:val="false"/>
          <w:bCs w:val="false"/>
          <w:i w:val="false"/>
          <w:iCs w:val="false"/>
          <w:color w:val="475569"/>
          <w:sz w:val="21"/>
          <w:szCs w:val="21"/>
        </w:rPr>
        <w:t xml:space="preserve">Most organizations fall into one of two traps. Either they track applications in spreadsheets — which can record names and owners but cannot aggregate costs across multiple channels, detect stranded infrastructure spend, or calculate technical debt exposure — or they have invested in enterprise APM tools (LeanIX, Ardoq, ServiceNow APM) that are expensive, implementation-heavy, and designed for mature IT organizations with dedicated CMDB teams. In both cases, the same problems persist: the true cost of running each application remains unknown, vendor spend is invisible at the portfolio level, and technical debt is a feeling rather than a number.</w:t>
      </w:r>
    </w:p>
    <w:p>
      <w:pPr>
        <w:spacing w:after="80" w:before="80"/>
        <w:jc w:val="left"/>
      </w:pPr>
      <w:r>
        <w:rPr>
          <w:rFonts w:ascii="Arial" w:cs="Arial" w:eastAsia="Arial" w:hAnsi="Arial"/>
          <w:b w:val="false"/>
          <w:bCs w:val="false"/>
          <w:i w:val="false"/>
          <w:iCs w:val="false"/>
          <w:color w:val="475569"/>
          <w:sz w:val="21"/>
          <w:szCs w:val="21"/>
        </w:rPr>
        <w:t xml:space="preserve">There is no product in the market that makes application cost transparency and portfolio intelligence accessible to mid-market government agencies, municipalities, and public-sector IT departments managing 50 to 2,000 applications with small teams. GetInSync fills that gap.</w:t>
      </w:r>
    </w:p>
    <w:p>
      <w:pPr>
        <w:pStyle w:val="Heading2"/>
        <w:spacing w:after="160" w:before="280"/>
      </w:pPr>
      <w:r>
        <w:rPr>
          <w:rFonts w:ascii="Arial" w:cs="Arial" w:eastAsia="Arial" w:hAnsi="Arial"/>
          <w:b/>
          <w:bCs/>
          <w:color w:val="1A56DB"/>
          <w:sz w:val="28"/>
          <w:szCs w:val="28"/>
        </w:rPr>
        <w:t xml:space="preserve">Product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2"/>
              <w:bottom w:val="single" w:color="1A56DB" w:sz="1"/>
              <w:right w:val="single" w:color="1A56DB" w:sz="1"/>
            </w:tcBorders>
            <w:shd w:fill="EFF6FF" w:val="clear"/>
            <w:tcMar>
              <w:top w:type="dxa" w:w="120"/>
              <w:left w:type="dxa" w:w="200"/>
              <w:bottom w:type="dxa" w:w="120"/>
              <w:right w:type="dxa" w:w="200"/>
            </w:tcMar>
          </w:tcPr>
          <w:p>
            <w:pPr>
              <w:spacing w:after="60"/>
            </w:pPr>
            <w:r>
              <w:rPr>
                <w:rFonts w:ascii="Arial" w:cs="Arial" w:eastAsia="Arial" w:hAnsi="Arial"/>
                <w:b/>
                <w:bCs/>
                <w:color w:val="1A56DB"/>
                <w:sz w:val="21"/>
                <w:szCs w:val="21"/>
              </w:rPr>
              <w:t xml:space="preserve">QuickBooks for Application Portfolio Management</w:t>
            </w:r>
          </w:p>
          <w:p>
            <w:r>
              <w:rPr>
                <w:rFonts w:ascii="Arial" w:cs="Arial" w:eastAsia="Arial" w:hAnsi="Arial"/>
                <w:color w:val="475569"/>
                <w:sz w:val="20"/>
                <w:szCs w:val="20"/>
              </w:rPr>
              <w:t xml:space="preserve">QuickBooks revolutionized small-business accounting by hiding the complexity of double-entry bookkeeping — debits, credits, chart of accounts, journal entries — behind simple questions: Who did you pay? What did you sell? How much do you owe? The business owner never sees the ledger mechanics, but the books are always balanced and audit-ready. GetInSync does the same for application portfolio data. Business stakeholders answer plain-English questions about their applications — not CMDB fields. Behind the scenes, the data model aligns to industry-standard ITSM structures (ServiceNow CSDM), so everything captured in GetInSync is ready to synchronize with enterprise platforms when the organization is ready. But the user never needs to know that. They just see their applications, their health scores, and their action plan.</w:t>
            </w:r>
          </w:p>
        </w:tc>
      </w:tr>
    </w:tbl>
    <w:p>
      <w:pPr>
        <w:spacing w:after="0" w:before="100"/>
      </w:pPr>
    </w:p>
    <w:p>
      <w:pPr>
        <w:pStyle w:val="Heading2"/>
        <w:spacing w:after="160" w:before="280"/>
      </w:pPr>
      <w:r>
        <w:rPr>
          <w:rFonts w:ascii="Arial" w:cs="Arial" w:eastAsia="Arial" w:hAnsi="Arial"/>
          <w:b/>
          <w:bCs/>
          <w:color w:val="1A56DB"/>
          <w:sz w:val="28"/>
          <w:szCs w:val="28"/>
        </w:rPr>
        <w:t xml:space="preserve">Key Differentiators</w:t>
      </w:r>
    </w:p>
    <w:p>
      <w:pPr>
        <w:spacing w:after="120" w:before="120"/>
        <w:jc w:val="left"/>
      </w:pPr>
      <w:r>
        <w:rPr>
          <w:rFonts w:ascii="Arial" w:cs="Arial" w:eastAsia="Arial" w:hAnsi="Arial"/>
          <w:b/>
          <w:bCs/>
          <w:i w:val="false"/>
          <w:iCs w:val="false"/>
          <w:color w:val="475569"/>
          <w:sz w:val="21"/>
          <w:szCs w:val="21"/>
        </w:rPr>
        <w:t xml:space="preserve">GetInSync solves the mysteries that keep CIOs, CFOs, and IT directors up at night — starting with money.</w:t>
      </w:r>
    </w:p>
    <w:p>
      <w:pPr>
        <w:pStyle w:val="ListParagraph"/>
        <w:numPr>
          <w:ilvl w:val="0"/>
          <w:numId w:val="2"/>
        </w:numPr>
        <w:spacing w:after="40" w:before="40"/>
      </w:pPr>
      <w:r>
        <w:rPr>
          <w:rFonts w:ascii="Arial" w:cs="Arial" w:eastAsia="Arial" w:hAnsi="Arial"/>
          <w:b/>
          <w:bCs/>
          <w:i w:val="false"/>
          <w:iCs w:val="false"/>
          <w:color w:val="475569"/>
          <w:sz w:val="21"/>
          <w:szCs w:val="21"/>
        </w:rPr>
        <w:t xml:space="preserve">True cost of every application — no more guessing. </w:t>
      </w:r>
      <w:r>
        <w:rPr>
          <w:rFonts w:ascii="Arial" w:cs="Arial" w:eastAsia="Arial" w:hAnsi="Arial"/>
          <w:b w:val="false"/>
          <w:bCs w:val="false"/>
          <w:i w:val="false"/>
          <w:iCs w:val="false"/>
          <w:color w:val="475569"/>
          <w:sz w:val="21"/>
          <w:szCs w:val="21"/>
        </w:rPr>
        <w:t xml:space="preserve">Most organizations cannot answer a simple question: how much does this application actually cost to run? The answer is scattered across contracts, invoices, shared infrastructure allocations, and spreadsheets that nobody trusts. GetInSync assembles the full picture through three cost channels — IT Service allocations, direct Cost Bundles, and Software Product inventory — all flowing through Deployment Profiles. One click shows the total annual run rate for any application, broken down by channel, with every dollar traceable to a specific deployment instance.</w:t>
      </w:r>
    </w:p>
    <w:p>
      <w:pPr>
        <w:pStyle w:val="ListParagraph"/>
        <w:numPr>
          <w:ilvl w:val="0"/>
          <w:numId w:val="2"/>
        </w:numPr>
        <w:spacing w:after="40" w:before="40"/>
      </w:pPr>
      <w:r>
        <w:rPr>
          <w:rFonts w:ascii="Arial" w:cs="Arial" w:eastAsia="Arial" w:hAnsi="Arial"/>
          <w:b/>
          <w:bCs/>
          <w:i w:val="false"/>
          <w:iCs w:val="false"/>
          <w:color w:val="475569"/>
          <w:sz w:val="21"/>
          <w:szCs w:val="21"/>
        </w:rPr>
        <w:t xml:space="preserve">Vendor and manufacturer spend visibility. </w:t>
      </w:r>
      <w:r>
        <w:rPr>
          <w:rFonts w:ascii="Arial" w:cs="Arial" w:eastAsia="Arial" w:hAnsi="Arial"/>
          <w:b w:val="false"/>
          <w:bCs w:val="false"/>
          <w:i w:val="false"/>
          <w:iCs w:val="false"/>
          <w:color w:val="475569"/>
          <w:sz w:val="21"/>
          <w:szCs w:val="21"/>
        </w:rPr>
        <w:t xml:space="preserve">How much do we pay Microsoft? Oracle? Salesforce? GetInSync aggregates cost data by vendor across the entire portfolio, revealing total spend per supplier that was previously buried in individual contracts and invoices. When it is time to renegotiate a vendor agreement or consolidate licenses, the numbers are already there.</w:t>
      </w:r>
    </w:p>
    <w:p>
      <w:pPr>
        <w:pStyle w:val="ListParagraph"/>
        <w:numPr>
          <w:ilvl w:val="0"/>
          <w:numId w:val="2"/>
        </w:numPr>
        <w:spacing w:after="40" w:before="40"/>
      </w:pPr>
      <w:r>
        <w:rPr>
          <w:rFonts w:ascii="Arial" w:cs="Arial" w:eastAsia="Arial" w:hAnsi="Arial"/>
          <w:b/>
          <w:bCs/>
          <w:i w:val="false"/>
          <w:iCs w:val="false"/>
          <w:color w:val="475569"/>
          <w:sz w:val="21"/>
          <w:szCs w:val="21"/>
        </w:rPr>
        <w:t xml:space="preserve">Technical debt quantified in dollars, not abstractions. </w:t>
      </w:r>
      <w:r>
        <w:rPr>
          <w:rFonts w:ascii="Arial" w:cs="Arial" w:eastAsia="Arial" w:hAnsi="Arial"/>
          <w:b w:val="false"/>
          <w:bCs w:val="false"/>
          <w:i w:val="false"/>
          <w:iCs w:val="false"/>
          <w:color w:val="475569"/>
          <w:sz w:val="21"/>
          <w:szCs w:val="21"/>
        </w:rPr>
        <w:t xml:space="preserve">Technical debt is not a vague feeling — it is a number. GetInSync calculates estimated technical debt per application and sizes the remediation effort using T-shirt sizing (XS through 2XL). The Tech Debt drill-in panel shows exactly how much debt the portfolio carries and where it is concentrated. When the CIO asks “what will it cost to fix our aging infrastructure?” the answer is on the dashboard.</w:t>
      </w:r>
    </w:p>
    <w:p>
      <w:pPr>
        <w:pStyle w:val="ListParagraph"/>
        <w:numPr>
          <w:ilvl w:val="0"/>
          <w:numId w:val="2"/>
        </w:numPr>
        <w:spacing w:after="40" w:before="40"/>
      </w:pPr>
      <w:r>
        <w:rPr>
          <w:rFonts w:ascii="Arial" w:cs="Arial" w:eastAsia="Arial" w:hAnsi="Arial"/>
          <w:b/>
          <w:bCs/>
          <w:i w:val="false"/>
          <w:iCs w:val="false"/>
          <w:color w:val="475569"/>
          <w:sz w:val="21"/>
          <w:szCs w:val="21"/>
        </w:rPr>
        <w:t xml:space="preserve">Stranded cost detection. </w:t>
      </w:r>
      <w:r>
        <w:rPr>
          <w:rFonts w:ascii="Arial" w:cs="Arial" w:eastAsia="Arial" w:hAnsi="Arial"/>
          <w:b w:val="false"/>
          <w:bCs w:val="false"/>
          <w:i w:val="false"/>
          <w:iCs w:val="false"/>
          <w:color w:val="475569"/>
          <w:sz w:val="21"/>
          <w:szCs w:val="21"/>
        </w:rPr>
        <w:t xml:space="preserve">When an IT Service’s total annual cost exceeds the sum of all allocations to applications, the unallocated amount is flagged as stranded cost. This reveals shared infrastructure overhead that is not attributed to any application — a common blind spot where thousands or millions of dollars hide in plain sight.</w:t>
      </w:r>
    </w:p>
    <w:p>
      <w:pPr>
        <w:spacing w:after="120" w:before="200"/>
        <w:jc w:val="left"/>
      </w:pPr>
      <w:r>
        <w:rPr>
          <w:rFonts w:ascii="Arial" w:cs="Arial" w:eastAsia="Arial" w:hAnsi="Arial"/>
          <w:b/>
          <w:bCs/>
          <w:i w:val="false"/>
          <w:iCs w:val="false"/>
          <w:color w:val="475569"/>
          <w:sz w:val="21"/>
          <w:szCs w:val="21"/>
        </w:rPr>
        <w:t xml:space="preserve">Beyond cost transparency, GetInSync delivers:</w:t>
      </w:r>
    </w:p>
    <w:p>
      <w:pPr>
        <w:pStyle w:val="ListParagraph"/>
        <w:numPr>
          <w:ilvl w:val="0"/>
          <w:numId w:val="3"/>
        </w:numPr>
        <w:spacing w:after="40" w:before="40"/>
      </w:pPr>
      <w:r>
        <w:rPr>
          <w:rFonts w:ascii="Arial" w:cs="Arial" w:eastAsia="Arial" w:hAnsi="Arial"/>
          <w:b/>
          <w:bCs/>
          <w:i w:val="false"/>
          <w:iCs w:val="false"/>
          <w:color w:val="475569"/>
          <w:sz w:val="21"/>
          <w:szCs w:val="21"/>
        </w:rPr>
        <w:t xml:space="preserve">Business stakeholder engagement. </w:t>
      </w:r>
      <w:r>
        <w:rPr>
          <w:rFonts w:ascii="Arial" w:cs="Arial" w:eastAsia="Arial" w:hAnsi="Arial"/>
          <w:b w:val="false"/>
          <w:bCs w:val="false"/>
          <w:i w:val="false"/>
          <w:iCs w:val="false"/>
          <w:color w:val="475569"/>
          <w:sz w:val="21"/>
          <w:szCs w:val="21"/>
        </w:rPr>
        <w:t xml:space="preserve">The Steward role lets application owners complete business-value assessments without consuming an Editor license or learning ITSM tools. IT provides the technical scores; the business provides the business scores. The platform merges them into a single picture that both sides trust.</w:t>
      </w:r>
    </w:p>
    <w:p>
      <w:pPr>
        <w:pStyle w:val="ListParagraph"/>
        <w:numPr>
          <w:ilvl w:val="0"/>
          <w:numId w:val="3"/>
        </w:numPr>
        <w:spacing w:after="40" w:before="40"/>
      </w:pPr>
      <w:r>
        <w:rPr>
          <w:rFonts w:ascii="Arial" w:cs="Arial" w:eastAsia="Arial" w:hAnsi="Arial"/>
          <w:b/>
          <w:bCs/>
          <w:i w:val="false"/>
          <w:iCs w:val="false"/>
          <w:color w:val="475569"/>
          <w:sz w:val="21"/>
          <w:szCs w:val="21"/>
        </w:rPr>
        <w:t xml:space="preserve">Assessment-to-Action pipeline. </w:t>
      </w:r>
      <w:r>
        <w:rPr>
          <w:rFonts w:ascii="Arial" w:cs="Arial" w:eastAsia="Arial" w:hAnsi="Arial"/>
          <w:b w:val="false"/>
          <w:bCs w:val="false"/>
          <w:i w:val="false"/>
          <w:iCs w:val="false"/>
          <w:color w:val="475569"/>
          <w:sz w:val="21"/>
          <w:szCs w:val="21"/>
        </w:rPr>
        <w:t xml:space="preserve">Most tools stop at inventory and scoring. GetInSync adds a complete Roadmap module: Scorecard findings generate Initiatives, which group into Programs with cost projections, dependencies, and timeline views. Portfolio data finally drives funded decisions.</w:t>
      </w:r>
    </w:p>
    <w:p>
      <w:pPr>
        <w:pStyle w:val="ListParagraph"/>
        <w:numPr>
          <w:ilvl w:val="0"/>
          <w:numId w:val="3"/>
        </w:numPr>
        <w:spacing w:after="40" w:before="40"/>
      </w:pPr>
      <w:r>
        <w:rPr>
          <w:rFonts w:ascii="Arial" w:cs="Arial" w:eastAsia="Arial" w:hAnsi="Arial"/>
          <w:b/>
          <w:bCs/>
          <w:i w:val="false"/>
          <w:iCs w:val="false"/>
          <w:color w:val="475569"/>
          <w:sz w:val="21"/>
          <w:szCs w:val="21"/>
        </w:rPr>
        <w:t xml:space="preserve">Technology Lifecycle Intelligence. </w:t>
      </w:r>
      <w:r>
        <w:rPr>
          <w:rFonts w:ascii="Arial" w:cs="Arial" w:eastAsia="Arial" w:hAnsi="Arial"/>
          <w:b w:val="false"/>
          <w:bCs w:val="false"/>
          <w:i w:val="false"/>
          <w:iCs w:val="false"/>
          <w:color w:val="475569"/>
          <w:sz w:val="21"/>
          <w:szCs w:val="21"/>
        </w:rPr>
        <w:t xml:space="preserve">A three-tier data pipeline automatically tracks vendor support lifecycle dates for every technology in the portfolio, surfacing end-of-life risk before it becomes an incident.</w:t>
      </w:r>
    </w:p>
    <w:p>
      <w:pPr>
        <w:pStyle w:val="ListParagraph"/>
        <w:numPr>
          <w:ilvl w:val="0"/>
          <w:numId w:val="3"/>
        </w:numPr>
        <w:spacing w:after="40" w:before="40"/>
      </w:pPr>
      <w:r>
        <w:rPr>
          <w:rFonts w:ascii="Arial" w:cs="Arial" w:eastAsia="Arial" w:hAnsi="Arial"/>
          <w:b/>
          <w:bCs/>
          <w:i w:val="false"/>
          <w:iCs w:val="false"/>
          <w:color w:val="475569"/>
          <w:sz w:val="21"/>
          <w:szCs w:val="21"/>
        </w:rPr>
        <w:t xml:space="preserve">ITSM-aligned data model. </w:t>
      </w:r>
      <w:r>
        <w:rPr>
          <w:rFonts w:ascii="Arial" w:cs="Arial" w:eastAsia="Arial" w:hAnsi="Arial"/>
          <w:b w:val="false"/>
          <w:bCs w:val="false"/>
          <w:i w:val="false"/>
          <w:iCs w:val="false"/>
          <w:color w:val="475569"/>
          <w:sz w:val="21"/>
          <w:szCs w:val="21"/>
        </w:rPr>
        <w:t xml:space="preserve">Data collected in GetInSync maps directly to CSDM tables, enabling synchronization with ServiceNow, HaloITSM, or any ITSM platform without schema translation.</w:t>
      </w:r>
    </w:p>
    <w:p>
      <w:pPr>
        <w:pStyle w:val="ListParagraph"/>
        <w:numPr>
          <w:ilvl w:val="0"/>
          <w:numId w:val="3"/>
        </w:numPr>
        <w:spacing w:after="40" w:before="40"/>
      </w:pPr>
      <w:r>
        <w:rPr>
          <w:rFonts w:ascii="Arial" w:cs="Arial" w:eastAsia="Arial" w:hAnsi="Arial"/>
          <w:b/>
          <w:bCs/>
          <w:i w:val="false"/>
          <w:iCs w:val="false"/>
          <w:color w:val="475569"/>
          <w:sz w:val="21"/>
          <w:szCs w:val="21"/>
        </w:rPr>
        <w:t xml:space="preserve">Canadian data residency. </w:t>
      </w:r>
      <w:r>
        <w:rPr>
          <w:rFonts w:ascii="Arial" w:cs="Arial" w:eastAsia="Arial" w:hAnsi="Arial"/>
          <w:b w:val="false"/>
          <w:bCs w:val="false"/>
          <w:i w:val="false"/>
          <w:iCs w:val="false"/>
          <w:color w:val="475569"/>
          <w:sz w:val="21"/>
          <w:szCs w:val="21"/>
        </w:rPr>
        <w:t xml:space="preserve">All data hosted in Montreal (ca-central-1). Multi-region architecture (US, EU) available on demand.</w:t>
      </w:r>
    </w:p>
    <w:p>
      <w:r>
        <w:br w:type="page"/>
      </w:r>
    </w:p>
    <w:p>
      <w:pPr>
        <w:pStyle w:val="Heading1"/>
        <w:spacing w:after="200" w:before="360"/>
      </w:pPr>
      <w:r>
        <w:rPr>
          <w:rFonts w:ascii="Arial" w:cs="Arial" w:eastAsia="Arial" w:hAnsi="Arial"/>
          <w:b/>
          <w:bCs/>
          <w:color w:val="0F172A"/>
          <w:sz w:val="36"/>
          <w:szCs w:val="36"/>
        </w:rPr>
        <w:t xml:space="preserve">Why This Market Exists</w:t>
      </w:r>
    </w:p>
    <w:p>
      <w:pPr>
        <w:spacing w:after="80" w:before="80"/>
        <w:jc w:val="left"/>
      </w:pPr>
      <w:r>
        <w:rPr>
          <w:rFonts w:ascii="Arial" w:cs="Arial" w:eastAsia="Arial" w:hAnsi="Arial"/>
          <w:b w:val="false"/>
          <w:bCs w:val="false"/>
          <w:i w:val="false"/>
          <w:iCs w:val="false"/>
          <w:color w:val="475569"/>
          <w:sz w:val="21"/>
          <w:szCs w:val="21"/>
        </w:rPr>
        <w:t xml:space="preserve">To understand the opportunity GetInSync addresses, it helps to understand a structural gap in how organizations manage application portfolio data today.</w:t>
      </w:r>
    </w:p>
    <w:p>
      <w:pPr>
        <w:pStyle w:val="Heading2"/>
        <w:spacing w:after="160" w:before="280"/>
      </w:pPr>
      <w:r>
        <w:rPr>
          <w:rFonts w:ascii="Arial" w:cs="Arial" w:eastAsia="Arial" w:hAnsi="Arial"/>
          <w:b/>
          <w:bCs/>
          <w:color w:val="1A56DB"/>
          <w:sz w:val="28"/>
          <w:szCs w:val="28"/>
        </w:rPr>
        <w:t xml:space="preserve">The Common Service Data Model</w:t>
      </w:r>
    </w:p>
    <w:p>
      <w:pPr>
        <w:spacing w:after="80" w:before="80"/>
        <w:jc w:val="left"/>
      </w:pPr>
      <w:r>
        <w:rPr>
          <w:rFonts w:ascii="Arial" w:cs="Arial" w:eastAsia="Arial" w:hAnsi="Arial"/>
          <w:b w:val="false"/>
          <w:bCs w:val="false"/>
          <w:i w:val="false"/>
          <w:iCs w:val="false"/>
          <w:color w:val="475569"/>
          <w:sz w:val="21"/>
          <w:szCs w:val="21"/>
        </w:rPr>
        <w:t xml:space="preserve">ServiceNow’s Common Service Data Model (CSDM) has become the industry standard for structuring IT service management data. It defines how applications, services, infrastructure, and business capabilities should be organized in a CMDB so that ITSM, IT operations, portfolio management, and security modules can all work from a single source of truth. The model is structurally sound and widely adopted as a reference framework.</w:t>
      </w:r>
    </w:p>
    <w:p>
      <w:pPr>
        <w:spacing w:after="80" w:before="80"/>
        <w:jc w:val="left"/>
      </w:pPr>
      <w:r>
        <w:rPr>
          <w:rFonts w:ascii="Arial" w:cs="Arial" w:eastAsia="Arial" w:hAnsi="Arial"/>
          <w:b w:val="false"/>
          <w:bCs w:val="false"/>
          <w:i w:val="false"/>
          <w:iCs w:val="false"/>
          <w:color w:val="475569"/>
          <w:sz w:val="21"/>
          <w:szCs w:val="21"/>
        </w:rPr>
        <w:t xml:space="preserve">The challenge is implementation. CSDM introduces multiple abstraction layers and over a dozen entity types: Business Application, Application Service, Application Service Instance, Service Offering, Technical Service, Service Instance, Product Model, and more. Each serves a purpose, but the cumulative cognitive load is significant. Practitioners consistently report that CSDM is difficult to explain to non-architects, hard to implement incrementally, and unrealistic for organizations that still struggle with basic CMDB hygiene.</w:t>
      </w:r>
    </w:p>
    <w:p>
      <w:pPr>
        <w:pStyle w:val="Heading2"/>
        <w:spacing w:after="160" w:before="280"/>
      </w:pPr>
      <w:r>
        <w:rPr>
          <w:rFonts w:ascii="Arial" w:cs="Arial" w:eastAsia="Arial" w:hAnsi="Arial"/>
          <w:b/>
          <w:bCs/>
          <w:color w:val="1A56DB"/>
          <w:sz w:val="28"/>
          <w:szCs w:val="28"/>
        </w:rPr>
        <w:t xml:space="preserve">The Practitioner Reality</w:t>
      </w:r>
    </w:p>
    <w:p>
      <w:pPr>
        <w:spacing w:after="80" w:before="80"/>
        <w:jc w:val="left"/>
      </w:pPr>
      <w:r>
        <w:rPr>
          <w:rFonts w:ascii="Arial" w:cs="Arial" w:eastAsia="Arial" w:hAnsi="Arial"/>
          <w:b w:val="false"/>
          <w:bCs w:val="false"/>
          <w:i w:val="false"/>
          <w:iCs w:val="false"/>
          <w:color w:val="475569"/>
          <w:sz w:val="21"/>
          <w:szCs w:val="21"/>
        </w:rPr>
        <w:t xml:space="preserve">The pattern that emerges from practitioner experience is consistent across organizations of all sizes:</w:t>
      </w:r>
    </w:p>
    <w:p>
      <w:pPr>
        <w:pStyle w:val="ListParagraph"/>
        <w:numPr>
          <w:ilvl w:val="0"/>
          <w:numId w:val="2"/>
        </w:numPr>
        <w:spacing w:after="40" w:before="40"/>
      </w:pPr>
      <w:r>
        <w:rPr>
          <w:rFonts w:ascii="Arial" w:cs="Arial" w:eastAsia="Arial" w:hAnsi="Arial"/>
          <w:b/>
          <w:bCs/>
          <w:i w:val="false"/>
          <w:iCs w:val="false"/>
          <w:color w:val="475569"/>
          <w:sz w:val="21"/>
          <w:szCs w:val="21"/>
        </w:rPr>
        <w:t xml:space="preserve">Complexity blocks adoption. </w:t>
      </w:r>
      <w:r>
        <w:rPr>
          <w:rFonts w:ascii="Arial" w:cs="Arial" w:eastAsia="Arial" w:hAnsi="Arial"/>
          <w:b w:val="false"/>
          <w:bCs w:val="false"/>
          <w:i w:val="false"/>
          <w:iCs w:val="false"/>
          <w:color w:val="475569"/>
          <w:sz w:val="21"/>
          <w:szCs w:val="21"/>
        </w:rPr>
        <w:t xml:space="preserve">The average IT professional struggles to remember which entity goes where and why. Business stakeholders — the people who actually know what an application is worth — are excluded entirely because the model is too abstract for them to navigate.</w:t>
      </w:r>
    </w:p>
    <w:p>
      <w:pPr>
        <w:pStyle w:val="ListParagraph"/>
        <w:numPr>
          <w:ilvl w:val="0"/>
          <w:numId w:val="2"/>
        </w:numPr>
        <w:spacing w:after="40" w:before="40"/>
      </w:pPr>
      <w:r>
        <w:rPr>
          <w:rFonts w:ascii="Arial" w:cs="Arial" w:eastAsia="Arial" w:hAnsi="Arial"/>
          <w:b/>
          <w:bCs/>
          <w:i w:val="false"/>
          <w:iCs w:val="false"/>
          <w:color w:val="475569"/>
          <w:sz w:val="21"/>
          <w:szCs w:val="21"/>
        </w:rPr>
        <w:t xml:space="preserve">Maturity mismatch. </w:t>
      </w:r>
      <w:r>
        <w:rPr>
          <w:rFonts w:ascii="Arial" w:cs="Arial" w:eastAsia="Arial" w:hAnsi="Arial"/>
          <w:b w:val="false"/>
          <w:bCs w:val="false"/>
          <w:i w:val="false"/>
          <w:iCs w:val="false"/>
          <w:color w:val="475569"/>
          <w:sz w:val="21"/>
          <w:szCs w:val="21"/>
        </w:rPr>
        <w:t xml:space="preserve">Many organizations have incomplete CMDBs with partial discovery, weak ownership, and inconsistent CI classification. Asking these teams to adopt CSDM’s full layering is unrealistic. They need value from their data now, not after a multi-year data quality project.</w:t>
      </w:r>
    </w:p>
    <w:p>
      <w:pPr>
        <w:pStyle w:val="ListParagraph"/>
        <w:numPr>
          <w:ilvl w:val="0"/>
          <w:numId w:val="2"/>
        </w:numPr>
        <w:spacing w:after="40" w:before="40"/>
      </w:pPr>
      <w:r>
        <w:rPr>
          <w:rFonts w:ascii="Arial" w:cs="Arial" w:eastAsia="Arial" w:hAnsi="Arial"/>
          <w:b/>
          <w:bCs/>
          <w:i w:val="false"/>
          <w:iCs w:val="false"/>
          <w:color w:val="475569"/>
          <w:sz w:val="21"/>
          <w:szCs w:val="21"/>
        </w:rPr>
        <w:t xml:space="preserve">Time and coordination cost. </w:t>
      </w:r>
      <w:r>
        <w:rPr>
          <w:rFonts w:ascii="Arial" w:cs="Arial" w:eastAsia="Arial" w:hAnsi="Arial"/>
          <w:b w:val="false"/>
          <w:bCs w:val="false"/>
          <w:i w:val="false"/>
          <w:iCs w:val="false"/>
          <w:color w:val="475569"/>
          <w:sz w:val="21"/>
          <w:szCs w:val="21"/>
        </w:rPr>
        <w:t xml:space="preserve">Implementing CSDM correctly means engaging application and service owners across the organization to map stacks and dependencies. This often drags on for months and frequently stalls before reaching the layers that unlock portfolio and EA value.</w:t>
      </w:r>
    </w:p>
    <w:p>
      <w:pPr>
        <w:pStyle w:val="ListParagraph"/>
        <w:numPr>
          <w:ilvl w:val="0"/>
          <w:numId w:val="2"/>
        </w:numPr>
        <w:spacing w:after="40" w:before="40"/>
      </w:pPr>
      <w:r>
        <w:rPr>
          <w:rFonts w:ascii="Arial" w:cs="Arial" w:eastAsia="Arial" w:hAnsi="Arial"/>
          <w:b/>
          <w:bCs/>
          <w:i w:val="false"/>
          <w:iCs w:val="false"/>
          <w:color w:val="475569"/>
          <w:sz w:val="21"/>
          <w:szCs w:val="21"/>
        </w:rPr>
        <w:t xml:space="preserve">Value is deferred. </w:t>
      </w:r>
      <w:r>
        <w:rPr>
          <w:rFonts w:ascii="Arial" w:cs="Arial" w:eastAsia="Arial" w:hAnsi="Arial"/>
          <w:b w:val="false"/>
          <w:bCs w:val="false"/>
          <w:i w:val="false"/>
          <w:iCs w:val="false"/>
          <w:color w:val="475569"/>
          <w:sz w:val="21"/>
          <w:szCs w:val="21"/>
        </w:rPr>
        <w:t xml:space="preserve">The strategic benefits of CSDM — portfolio rationalization, investment decisions, technology risk visibility — only appear when multiple premium modules are in place and data quality is high. Most organizations never reach that threshold.</w:t>
      </w:r>
    </w:p>
    <w:p>
      <w:pPr>
        <w:pStyle w:val="Heading2"/>
        <w:spacing w:after="160" w:before="280"/>
      </w:pPr>
      <w:r>
        <w:rPr>
          <w:rFonts w:ascii="Arial" w:cs="Arial" w:eastAsia="Arial" w:hAnsi="Arial"/>
          <w:b/>
          <w:bCs/>
          <w:color w:val="1A56DB"/>
          <w:sz w:val="28"/>
          <w:szCs w:val="28"/>
        </w:rPr>
        <w:t xml:space="preserve">The Gap GetInSync Fills</w:t>
      </w:r>
    </w:p>
    <w:p>
      <w:pPr>
        <w:spacing w:after="80" w:before="80"/>
        <w:jc w:val="left"/>
      </w:pPr>
      <w:r>
        <w:rPr>
          <w:rFonts w:ascii="Arial" w:cs="Arial" w:eastAsia="Arial" w:hAnsi="Arial"/>
          <w:b w:val="false"/>
          <w:bCs w:val="false"/>
          <w:i w:val="false"/>
          <w:iCs w:val="false"/>
          <w:color w:val="475569"/>
          <w:sz w:val="21"/>
          <w:szCs w:val="21"/>
        </w:rPr>
        <w:t xml:space="preserve">Experienced practitioners consistently recommend the same starting point: begin with Business Applications and Application Service Instances, add infrastructure context later, and explicitly skip CSDM layers that your organization does not need yet. This phased approach is sound — but no product exists to support it. Organizations are left choosing between spreadsheets (which have no structure) and a full CSDM implementation project (which has too much).</w:t>
      </w:r>
    </w:p>
    <w:p>
      <w:pPr>
        <w:spacing w:after="80" w:before="80"/>
        <w:jc w:val="left"/>
      </w:pPr>
      <w:r>
        <w:rPr>
          <w:rFonts w:ascii="Arial" w:cs="Arial" w:eastAsia="Arial" w:hAnsi="Arial"/>
          <w:b w:val="false"/>
          <w:bCs w:val="false"/>
          <w:i w:val="false"/>
          <w:iCs w:val="false"/>
          <w:color w:val="475569"/>
          <w:sz w:val="21"/>
          <w:szCs w:val="21"/>
        </w:rPr>
        <w:t xml:space="preserve">GetInSync occupies the space between these extremes. It implements the essential CSDM entities under plain-English names that business stakeholders can navigate without ITSM training. It delivers portfolio assessment, cost attribution, technology risk, and roadmap planning from day one, without requiring a CMDB to be in place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2"/>
              <w:bottom w:val="single" w:color="1A56DB" w:sz="1"/>
              <w:right w:val="single" w:color="1A56DB" w:sz="1"/>
            </w:tcBorders>
            <w:shd w:fill="EFF6FF" w:val="clear"/>
            <w:tcMar>
              <w:top w:type="dxa" w:w="120"/>
              <w:left w:type="dxa" w:w="200"/>
              <w:bottom w:type="dxa" w:w="120"/>
              <w:right w:type="dxa" w:w="200"/>
            </w:tcMar>
          </w:tcPr>
          <w:p>
            <w:pPr>
              <w:spacing w:after="60"/>
            </w:pPr>
            <w:r>
              <w:rPr>
                <w:rFonts w:ascii="Arial" w:cs="Arial" w:eastAsia="Arial" w:hAnsi="Arial"/>
                <w:b/>
                <w:bCs/>
                <w:color w:val="1A56DB"/>
                <w:sz w:val="21"/>
                <w:szCs w:val="21"/>
              </w:rPr>
              <w:t xml:space="preserve">The On-Ramp to CSDM</w:t>
            </w:r>
          </w:p>
          <w:p>
            <w:r>
              <w:rPr>
                <w:rFonts w:ascii="Arial" w:cs="Arial" w:eastAsia="Arial" w:hAnsi="Arial"/>
                <w:color w:val="475569"/>
                <w:sz w:val="20"/>
                <w:szCs w:val="20"/>
              </w:rPr>
              <w:t xml:space="preserve">GetInSync produces CSDM-compliant data as a byproduct of doing something immediately useful. Organizations get portfolio intelligence today while building the structured data foundation they will need for ServiceNow, HaloITSM, or any ITSM platform tomorrow. The data model is compatible by design — synchronization requires no schema translation.</w:t>
            </w:r>
          </w:p>
        </w:tc>
      </w:tr>
    </w:tbl>
    <w:p>
      <w:pPr>
        <w:spacing w:after="0" w:before="100"/>
      </w:pPr>
    </w:p>
    <w:p>
      <w:pPr>
        <w:pStyle w:val="Heading2"/>
        <w:spacing w:after="160" w:before="280"/>
      </w:pPr>
      <w:r>
        <w:rPr>
          <w:rFonts w:ascii="Arial" w:cs="Arial" w:eastAsia="Arial" w:hAnsi="Arial"/>
          <w:b/>
          <w:bCs/>
          <w:color w:val="1A56DB"/>
          <w:sz w:val="28"/>
          <w:szCs w:val="28"/>
        </w:rPr>
        <w:t xml:space="preserve">Entity Mapping: CSDM to GetInSync</w:t>
      </w:r>
    </w:p>
    <w:p>
      <w:pPr>
        <w:spacing w:after="80" w:before="80"/>
        <w:jc w:val="left"/>
      </w:pPr>
      <w:r>
        <w:rPr>
          <w:rFonts w:ascii="Arial" w:cs="Arial" w:eastAsia="Arial" w:hAnsi="Arial"/>
          <w:b w:val="false"/>
          <w:bCs w:val="false"/>
          <w:i w:val="false"/>
          <w:iCs w:val="false"/>
          <w:color w:val="475569"/>
          <w:sz w:val="21"/>
          <w:szCs w:val="21"/>
        </w:rPr>
        <w:t xml:space="preserve">The following table shows how GetInSync’s plain-English concepts map to CSDM entities. This mapping is what enables future ITSM integration without migration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CSDM Entity</w:t>
            </w:r>
          </w:p>
        </w:tc>
        <w:tc>
          <w:tcPr>
            <w:tcW w:type="dxa" w:w="22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GetInSync Term</w:t>
            </w:r>
          </w:p>
        </w:tc>
        <w:tc>
          <w:tcPr>
            <w:tcW w:type="dxa" w:w="396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Why It Matters</w:t>
            </w:r>
          </w:p>
        </w:tc>
      </w:tr>
      <w:tr>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Business Application</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Application</w:t>
            </w:r>
          </w:p>
        </w:tc>
        <w:tc>
          <w:tcPr>
            <w:tcW w:type="dxa" w:w="39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Same concept, plain name. The app as the business knows it.</w:t>
            </w:r>
          </w:p>
        </w:tc>
      </w:tr>
      <w:tr>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Application Service Instance</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Deployment Profile</w:t>
            </w:r>
          </w:p>
        </w:tc>
        <w:tc>
          <w:tcPr>
            <w:tcW w:type="dxa" w:w="39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Where the app runs. The piece most CMDBs are missing — and where cost and technical health live.</w:t>
            </w:r>
          </w:p>
        </w:tc>
      </w:tr>
      <w:tr>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Service Offering / Technical Service</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IT Service</w:t>
            </w:r>
          </w:p>
        </w:tc>
        <w:tc>
          <w:tcPr>
            <w:tcW w:type="dxa" w:w="39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Shared infrastructure with cost allocation visible to business stakeholders.</w:t>
            </w:r>
          </w:p>
        </w:tc>
      </w:tr>
      <w:tr>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Product Model</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Software Product</w:t>
            </w:r>
          </w:p>
        </w:tc>
        <w:tc>
          <w:tcPr>
            <w:tcW w:type="dxa" w:w="39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Licensed/SaaS software tracked as inventory.</w:t>
            </w:r>
          </w:p>
        </w:tc>
      </w:tr>
      <w:tr>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Contact</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Contact</w:t>
            </w:r>
          </w:p>
        </w:tc>
        <w:tc>
          <w:tcPr>
            <w:tcW w:type="dxa" w:w="39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Business owners, technical owners, support contacts.</w:t>
            </w:r>
          </w:p>
        </w:tc>
      </w:tr>
      <w:tr>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Company</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Vendor / Organization</w:t>
            </w:r>
          </w:p>
        </w:tc>
        <w:tc>
          <w:tcPr>
            <w:tcW w:type="dxa" w:w="39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Vendors, partners, and departments in one directory.</w:t>
            </w:r>
          </w:p>
        </w:tc>
      </w:tr>
    </w:tbl>
    <w:p>
      <w:pPr>
        <w:spacing w:after="0" w:before="100"/>
      </w:pPr>
    </w:p>
    <w:p>
      <w:pPr>
        <w:spacing w:after="80" w:before="80"/>
        <w:jc w:val="left"/>
      </w:pPr>
      <w:r>
        <w:rPr>
          <w:rFonts w:ascii="Arial" w:cs="Arial" w:eastAsia="Arial" w:hAnsi="Arial"/>
          <w:b w:val="false"/>
          <w:bCs w:val="false"/>
          <w:i w:val="false"/>
          <w:iCs w:val="false"/>
          <w:color w:val="475569"/>
          <w:sz w:val="21"/>
          <w:szCs w:val="21"/>
        </w:rPr>
        <w:t xml:space="preserve">GetInSync’s Deployment Profile maps to the Application Service Instance — the entity that CSDM practitioners identify as the most valuable and most commonly missing piece. Most organizations have Business Applications in their CMDB (from Discovery or manual entry) but empty Application Service tables. GetInSync is the curation layer where that gap gets filled, and where business context — cost, health scores, ownership, integrations — is added to raw CMDB inventory.</w:t>
      </w:r>
    </w:p>
    <w:p>
      <w:r>
        <w:br w:type="page"/>
      </w:r>
    </w:p>
    <w:p>
      <w:pPr>
        <w:pStyle w:val="Heading1"/>
        <w:spacing w:after="200" w:before="360"/>
      </w:pPr>
      <w:r>
        <w:rPr>
          <w:rFonts w:ascii="Arial" w:cs="Arial" w:eastAsia="Arial" w:hAnsi="Arial"/>
          <w:b/>
          <w:bCs/>
          <w:color w:val="0F172A"/>
          <w:sz w:val="36"/>
          <w:szCs w:val="36"/>
        </w:rPr>
        <w:t xml:space="preserve">Product Overview</w:t>
      </w:r>
    </w:p>
    <w:p>
      <w:pPr>
        <w:spacing w:after="80" w:before="80"/>
        <w:jc w:val="left"/>
      </w:pPr>
      <w:r>
        <w:rPr>
          <w:rFonts w:ascii="Arial" w:cs="Arial" w:eastAsia="Arial" w:hAnsi="Arial"/>
          <w:b w:val="false"/>
          <w:bCs w:val="false"/>
          <w:i w:val="false"/>
          <w:iCs w:val="false"/>
          <w:color w:val="475569"/>
          <w:sz w:val="21"/>
          <w:szCs w:val="21"/>
        </w:rPr>
        <w:t xml:space="preserve">GetInSync answers three questions that every CIO, IT director, and business stakeholder asks about their application portfolio: What do we have? How healthy is it? What should we do about it? The platform uses plain-English terminology throughout — no CMDB jargon, no ITSM acronyms in the user interface. Behind the scenes, the data model aligns to industry-standard structures so that it integrates cleanly with enterprise ITSM platforms when needed.</w:t>
      </w:r>
    </w:p>
    <w:p>
      <w:pPr>
        <w:pStyle w:val="Heading2"/>
        <w:spacing w:after="160" w:before="280"/>
      </w:pPr>
      <w:r>
        <w:rPr>
          <w:rFonts w:ascii="Arial" w:cs="Arial" w:eastAsia="Arial" w:hAnsi="Arial"/>
          <w:b/>
          <w:bCs/>
          <w:color w:val="1A56DB"/>
          <w:sz w:val="28"/>
          <w:szCs w:val="28"/>
        </w:rPr>
        <w:t xml:space="preserve">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Term</w:t>
            </w:r>
          </w:p>
        </w:tc>
        <w:tc>
          <w:tcPr>
            <w:tcW w:type="dxa" w:w="656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What It Means</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Namespace</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Your organization’s account. All workspaces, users, catalogs, and configuration live here.</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Workspace</w:t>
            </w:r>
          </w:p>
        </w:tc>
        <w:tc>
          <w:tcPr>
            <w:tcW w:type="dxa" w:w="6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A division or business unit within the namespace. Applications and portfolios are scoped to a workspace (e.g., “Finance Department,” “Central IT”).</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Portfolio</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A logical grouping of applications within a workspace (e.g., “Critizen Services,” “Finance Apps”). Supports nested hierarchies.</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Business Application</w:t>
            </w:r>
          </w:p>
        </w:tc>
        <w:tc>
          <w:tcPr>
            <w:tcW w:type="dxa" w:w="6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An application in your portfolio — represents a business capability, not a server or database instance.</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Deployment Profile</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Where and how a specific application instance runs. The anchor for cost attribution and technical assessment. The same app can have multiple profiles (production, DR, SaaS, on-prem).</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IT Service</w:t>
            </w:r>
          </w:p>
        </w:tc>
        <w:tc>
          <w:tcPr>
            <w:tcW w:type="dxa" w:w="6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A shared infrastructure service (e.g., Azure SQL, Network Services) with cost allocation to deployment profiles.</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Software Product</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Licensed or SaaS software tracked as inventory against deployment profiles.</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Technology Product</w:t>
            </w:r>
          </w:p>
        </w:tc>
        <w:tc>
          <w:tcPr>
            <w:tcW w:type="dxa" w:w="6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Infrastructure components (OS, database, web server, framework, runtime) with automated lifecycle tracking.</w:t>
            </w:r>
          </w:p>
        </w:tc>
      </w:tr>
    </w:tbl>
    <w:p>
      <w:pPr>
        <w:spacing w:after="0" w:before="120"/>
      </w:pPr>
    </w:p>
    <w:p>
      <w:pPr>
        <w:pStyle w:val="Heading2"/>
        <w:spacing w:after="160" w:before="280"/>
      </w:pPr>
      <w:r>
        <w:rPr>
          <w:rFonts w:ascii="Arial" w:cs="Arial" w:eastAsia="Arial" w:hAnsi="Arial"/>
          <w:b/>
          <w:bCs/>
          <w:color w:val="1A56DB"/>
          <w:sz w:val="28"/>
          <w:szCs w:val="28"/>
        </w:rPr>
        <w:t xml:space="preserve">Data Architecture</w:t>
      </w:r>
    </w:p>
    <w:p>
      <w:pPr>
        <w:spacing w:after="80" w:before="80"/>
        <w:jc w:val="left"/>
      </w:pPr>
      <w:r>
        <w:rPr>
          <w:rFonts w:ascii="Arial" w:cs="Arial" w:eastAsia="Arial" w:hAnsi="Arial"/>
          <w:b w:val="false"/>
          <w:bCs w:val="false"/>
          <w:i w:val="false"/>
          <w:iCs w:val="false"/>
          <w:color w:val="475569"/>
          <w:sz w:val="21"/>
          <w:szCs w:val="21"/>
        </w:rPr>
        <w:t xml:space="preserve">The data model follows a clear hierarchy that enforces multi-tenant isolation while supporting cross-workspace visibility through a publish/subscribe pattern:</w:t>
      </w:r>
    </w:p>
    <w:p>
      <w:pPr>
        <w:spacing w:after="120" w:before="120"/>
        <w:jc w:val="left"/>
      </w:pPr>
      <w:r>
        <w:rPr>
          <w:rFonts w:ascii="Arial" w:cs="Arial" w:eastAsia="Arial" w:hAnsi="Arial"/>
          <w:b/>
          <w:bCs/>
          <w:i w:val="false"/>
          <w:iCs w:val="false"/>
          <w:color w:val="475569"/>
          <w:sz w:val="21"/>
          <w:szCs w:val="21"/>
        </w:rPr>
        <w:t xml:space="preserve">Namespace</w:t>
      </w:r>
      <w:r>
        <w:rPr>
          <w:rFonts w:ascii="Arial" w:cs="Arial" w:eastAsia="Arial" w:hAnsi="Arial"/>
          <w:b w:val="false"/>
          <w:bCs w:val="false"/>
          <w:i w:val="false"/>
          <w:iCs w:val="false"/>
          <w:color w:val="475569"/>
          <w:sz w:val="21"/>
          <w:szCs w:val="21"/>
        </w:rPr>
        <w:t xml:space="preserve"> → </w:t>
      </w:r>
      <w:r>
        <w:rPr>
          <w:rFonts w:ascii="Arial" w:cs="Arial" w:eastAsia="Arial" w:hAnsi="Arial"/>
          <w:b/>
          <w:bCs/>
          <w:i w:val="false"/>
          <w:iCs w:val="false"/>
          <w:color w:val="475569"/>
          <w:sz w:val="21"/>
          <w:szCs w:val="21"/>
        </w:rPr>
        <w:t xml:space="preserve">Workspace</w:t>
      </w:r>
      <w:r>
        <w:rPr>
          <w:rFonts w:ascii="Arial" w:cs="Arial" w:eastAsia="Arial" w:hAnsi="Arial"/>
          <w:b w:val="false"/>
          <w:bCs w:val="false"/>
          <w:i w:val="false"/>
          <w:iCs w:val="false"/>
          <w:color w:val="475569"/>
          <w:sz w:val="21"/>
          <w:szCs w:val="21"/>
        </w:rPr>
        <w:t xml:space="preserve"> → </w:t>
      </w:r>
      <w:r>
        <w:rPr>
          <w:rFonts w:ascii="Arial" w:cs="Arial" w:eastAsia="Arial" w:hAnsi="Arial"/>
          <w:b/>
          <w:bCs/>
          <w:i w:val="false"/>
          <w:iCs w:val="false"/>
          <w:color w:val="475569"/>
          <w:sz w:val="21"/>
          <w:szCs w:val="21"/>
        </w:rPr>
        <w:t xml:space="preserve">Application</w:t>
      </w:r>
      <w:r>
        <w:rPr>
          <w:rFonts w:ascii="Arial" w:cs="Arial" w:eastAsia="Arial" w:hAnsi="Arial"/>
          <w:b w:val="false"/>
          <w:bCs w:val="false"/>
          <w:i w:val="false"/>
          <w:iCs w:val="false"/>
          <w:color w:val="475569"/>
          <w:sz w:val="21"/>
          <w:szCs w:val="21"/>
        </w:rPr>
        <w:t xml:space="preserve"> → </w:t>
      </w:r>
      <w:r>
        <w:rPr>
          <w:rFonts w:ascii="Arial" w:cs="Arial" w:eastAsia="Arial" w:hAnsi="Arial"/>
          <w:b/>
          <w:bCs/>
          <w:i w:val="false"/>
          <w:iCs w:val="false"/>
          <w:color w:val="475569"/>
          <w:sz w:val="21"/>
          <w:szCs w:val="21"/>
        </w:rPr>
        <w:t xml:space="preserve">Deployment Profile</w:t>
      </w:r>
      <w:r>
        <w:rPr>
          <w:rFonts w:ascii="Arial" w:cs="Arial" w:eastAsia="Arial" w:hAnsi="Arial"/>
          <w:b w:val="false"/>
          <w:bCs w:val="false"/>
          <w:i w:val="false"/>
          <w:iCs w:val="false"/>
          <w:color w:val="475569"/>
          <w:sz w:val="21"/>
          <w:szCs w:val="21"/>
        </w:rPr>
        <w:t xml:space="preserve"> (assessment + cost anchor)</w:t>
      </w:r>
    </w:p>
    <w:p>
      <w:pPr>
        <w:spacing w:after="80" w:before="80"/>
        <w:jc w:val="left"/>
      </w:pPr>
      <w:r>
        <w:rPr>
          <w:rFonts w:ascii="Arial" w:cs="Arial" w:eastAsia="Arial" w:hAnsi="Arial"/>
          <w:b w:val="false"/>
          <w:bCs w:val="false"/>
          <w:i w:val="false"/>
          <w:iCs w:val="false"/>
          <w:color w:val="475569"/>
          <w:sz w:val="21"/>
          <w:szCs w:val="21"/>
        </w:rPr>
        <w:t xml:space="preserve">The Deployment Profile is the most important architectural decision in the product. The same application software can be deployed in multiple environments with different technical characteristics. SAP running in a Toronto data center has different technical health than SAP running as SaaS in AWS. By anchoring assessments and costs at the deployment level, GetInSync captures this reality while enterprise competitors typically assess at the application level and lose the nuance.</w:t>
      </w:r>
    </w:p>
    <w:p>
      <w:pPr>
        <w:pStyle w:val="Heading2"/>
        <w:spacing w:after="160" w:before="280"/>
      </w:pPr>
      <w:r>
        <w:rPr>
          <w:rFonts w:ascii="Arial" w:cs="Arial" w:eastAsia="Arial" w:hAnsi="Arial"/>
          <w:b/>
          <w:bCs/>
          <w:color w:val="1A56DB"/>
          <w:sz w:val="28"/>
          <w:szCs w:val="28"/>
        </w:rPr>
        <w:t xml:space="preserve">Making the CMDB Work for Business Stakeholders</w:t>
      </w:r>
    </w:p>
    <w:p>
      <w:pPr>
        <w:spacing w:after="80" w:before="80"/>
        <w:jc w:val="left"/>
      </w:pPr>
      <w:r>
        <w:rPr>
          <w:rFonts w:ascii="Arial" w:cs="Arial" w:eastAsia="Arial" w:hAnsi="Arial"/>
          <w:b w:val="false"/>
          <w:bCs w:val="false"/>
          <w:i w:val="false"/>
          <w:iCs w:val="false"/>
          <w:color w:val="475569"/>
          <w:sz w:val="21"/>
          <w:szCs w:val="21"/>
        </w:rPr>
        <w:t xml:space="preserve">Most CMDBs are built by IT operations teams for IT operations purposes. They track servers, IP addresses, and configuration items in a language that business stakeholders do not speak. The result is a paradox: the CMDB contains valuable data about the application landscape, but the people who make portfolio decisions — CIOs, division directors, application owners — cannot access or interpret it.</w:t>
      </w:r>
    </w:p>
    <w:p>
      <w:pPr>
        <w:spacing w:after="80" w:before="80"/>
        <w:jc w:val="left"/>
      </w:pPr>
      <w:r>
        <w:rPr>
          <w:rFonts w:ascii="Arial" w:cs="Arial" w:eastAsia="Arial" w:hAnsi="Arial"/>
          <w:b w:val="false"/>
          <w:bCs w:val="false"/>
          <w:i w:val="false"/>
          <w:iCs w:val="false"/>
          <w:color w:val="475569"/>
          <w:sz w:val="21"/>
          <w:szCs w:val="21"/>
        </w:rPr>
        <w:t xml:space="preserve">GetInSync solves this by providing a business-friendly layer on top of CMDB-quality data. Business users answer plain-English questions about their applications (“How satisfied are your users?” “Does this application support current business goals?”). IT staff provide the technical scores. The platform merges both perspectives into a single health picture that drives real decisions.</w:t>
      </w:r>
    </w:p>
    <w:p>
      <w:pPr>
        <w:spacing w:after="80" w:before="80"/>
        <w:jc w:val="left"/>
      </w:pPr>
      <w:r>
        <w:rPr>
          <w:rFonts w:ascii="Arial" w:cs="Arial" w:eastAsia="Arial" w:hAnsi="Arial"/>
          <w:b w:val="false"/>
          <w:bCs w:val="false"/>
          <w:i w:val="false"/>
          <w:iCs w:val="false"/>
          <w:color w:val="475569"/>
          <w:sz w:val="21"/>
          <w:szCs w:val="21"/>
        </w:rPr>
        <w:t xml:space="preserve">Under the hood, the data model aligns to the Common Service Data Model (CSDM) — the industry standard used by ServiceNow and adopted by most enterprise ITSM platforms. This means that data collected in GetInSync is inherently structured for ITSM integration. When an organization is ready to synchronize with ServiceNow, Jira Service Management, HaloITSM, or any CSDM-aligned platform, the data requires no schema translation. GetInSync is the system of engagement where data is curated. The ITSM platform is the system of record where it is consumed.</w:t>
      </w:r>
    </w:p>
    <w:p>
      <w:r>
        <w:br w:type="page"/>
      </w:r>
    </w:p>
    <w:p>
      <w:pPr>
        <w:pStyle w:val="Heading1"/>
        <w:spacing w:after="200" w:before="360"/>
      </w:pPr>
      <w:r>
        <w:rPr>
          <w:rFonts w:ascii="Arial" w:cs="Arial" w:eastAsia="Arial" w:hAnsi="Arial"/>
          <w:b/>
          <w:bCs/>
          <w:color w:val="0F172A"/>
          <w:sz w:val="36"/>
          <w:szCs w:val="36"/>
        </w:rPr>
        <w:t xml:space="preserve">Platform Capabilities</w:t>
      </w:r>
    </w:p>
    <w:p>
      <w:pPr>
        <w:spacing w:after="80" w:before="80"/>
        <w:jc w:val="left"/>
      </w:pPr>
      <w:r>
        <w:rPr>
          <w:rFonts w:ascii="Arial" w:cs="Arial" w:eastAsia="Arial" w:hAnsi="Arial"/>
          <w:b w:val="false"/>
          <w:bCs w:val="false"/>
          <w:i w:val="false"/>
          <w:iCs w:val="false"/>
          <w:color w:val="475569"/>
          <w:sz w:val="21"/>
          <w:szCs w:val="21"/>
        </w:rPr>
        <w:t xml:space="preserve">GetInSync is designed so that a business stakeholder with no ITSM background can navigate the platform and understand their portfolio within minutes. The interface is organized into four main tabs — Overview, App Health, Tech Health, and Roadmap — with a persistent scope bar that filters all views by workspace and portfolio. The following sections describe each capability area.</w:t>
      </w:r>
    </w:p>
    <w:p>
      <w:pPr>
        <w:pStyle w:val="Heading2"/>
        <w:spacing w:after="160" w:before="280"/>
      </w:pPr>
      <w:r>
        <w:rPr>
          <w:rFonts w:ascii="Arial" w:cs="Arial" w:eastAsia="Arial" w:hAnsi="Arial"/>
          <w:b/>
          <w:bCs/>
          <w:color w:val="1A56DB"/>
          <w:sz w:val="28"/>
          <w:szCs w:val="28"/>
        </w:rPr>
        <w:t xml:space="preserve">Portfolio Assessment: TIME and PAID Frameworks</w:t>
      </w:r>
    </w:p>
    <w:p>
      <w:pPr>
        <w:spacing w:after="80" w:before="80"/>
        <w:jc w:val="left"/>
      </w:pPr>
      <w:r>
        <w:rPr>
          <w:rFonts w:ascii="Arial" w:cs="Arial" w:eastAsia="Arial" w:hAnsi="Arial"/>
          <w:b w:val="false"/>
          <w:bCs w:val="false"/>
          <w:i w:val="false"/>
          <w:iCs w:val="false"/>
          <w:color w:val="475569"/>
          <w:sz w:val="21"/>
          <w:szCs w:val="21"/>
        </w:rPr>
        <w:t xml:space="preserve">Every application in the portfolio is assessed using two complementary quadrant models. Together, they answer: what should we do with this application, and how urgently?</w:t>
      </w:r>
    </w:p>
    <w:p>
      <w:pPr>
        <w:pStyle w:val="Heading3"/>
        <w:spacing w:after="120" w:before="200"/>
      </w:pPr>
      <w:r>
        <w:rPr>
          <w:rFonts w:ascii="Arial" w:cs="Arial" w:eastAsia="Arial" w:hAnsi="Arial"/>
          <w:b/>
          <w:bCs/>
          <w:color w:val="0F172A"/>
          <w:sz w:val="24"/>
          <w:szCs w:val="24"/>
        </w:rPr>
        <w:t xml:space="preserve">TIME Framework — Strategic Direction</w:t>
      </w:r>
    </w:p>
    <w:p>
      <w:pPr>
        <w:spacing w:after="80" w:before="80"/>
        <w:jc w:val="left"/>
      </w:pPr>
      <w:r>
        <w:rPr>
          <w:rFonts w:ascii="Arial" w:cs="Arial" w:eastAsia="Arial" w:hAnsi="Arial"/>
          <w:b w:val="false"/>
          <w:bCs w:val="false"/>
          <w:i w:val="false"/>
          <w:iCs w:val="false"/>
          <w:color w:val="475569"/>
          <w:sz w:val="21"/>
          <w:szCs w:val="21"/>
        </w:rPr>
        <w:t xml:space="preserve">The TIME framework plots applications on two axes — Business Fit versus Technical Health — and assigns a strategic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Quadrant</w:t>
            </w:r>
          </w:p>
        </w:tc>
        <w:tc>
          <w:tcPr>
            <w:tcW w:type="dxa" w:w="30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Condition</w:t>
            </w:r>
          </w:p>
        </w:tc>
        <w:tc>
          <w:tcPr>
            <w:tcW w:type="dxa" w:w="456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Recommended Action</w:t>
            </w:r>
          </w:p>
        </w:tc>
      </w:tr>
      <w:t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Invest</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High Business Fit + High Technical Health</w:t>
            </w:r>
          </w:p>
        </w:tc>
        <w:tc>
          <w:tcPr>
            <w:tcW w:type="dxa" w:w="45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Fund and grow. Expand features, grow the user base.</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Tolerate</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Low Business Fit + High Technical Health</w:t>
            </w:r>
          </w:p>
        </w:tc>
        <w:tc>
          <w:tcPr>
            <w:tcW w:type="dxa" w:w="4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Maintain only. The technology works but the business case is weak.</w:t>
            </w:r>
          </w:p>
        </w:tc>
      </w:tr>
      <w:t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Modernize</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High Business Fit + Low Technical Health</w:t>
            </w:r>
          </w:p>
        </w:tc>
        <w:tc>
          <w:tcPr>
            <w:tcW w:type="dxa" w:w="45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Replatform, re-architect, or replace. The business depends on it but the foundation is crumbling.</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Eliminate</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Low Business Fit + Low Technical Health</w:t>
            </w:r>
          </w:p>
        </w:tc>
        <w:tc>
          <w:tcPr>
            <w:tcW w:type="dxa" w:w="4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Plan retirement. Neither the business case nor the technology justifies continued investment.</w:t>
            </w:r>
          </w:p>
        </w:tc>
      </w:tr>
    </w:tbl>
    <w:p>
      <w:pPr>
        <w:spacing w:after="0" w:before="100"/>
      </w:pPr>
    </w:p>
    <w:p>
      <w:pPr>
        <w:pStyle w:val="Heading3"/>
        <w:spacing w:after="120" w:before="200"/>
      </w:pPr>
      <w:r>
        <w:rPr>
          <w:rFonts w:ascii="Arial" w:cs="Arial" w:eastAsia="Arial" w:hAnsi="Arial"/>
          <w:b/>
          <w:bCs/>
          <w:color w:val="0F172A"/>
          <w:sz w:val="24"/>
          <w:szCs w:val="24"/>
        </w:rPr>
        <w:t xml:space="preserve">PAID Framework — Remediation Urgency</w:t>
      </w:r>
    </w:p>
    <w:p>
      <w:pPr>
        <w:spacing w:after="80" w:before="80"/>
        <w:jc w:val="left"/>
      </w:pPr>
      <w:r>
        <w:rPr>
          <w:rFonts w:ascii="Arial" w:cs="Arial" w:eastAsia="Arial" w:hAnsi="Arial"/>
          <w:b w:val="false"/>
          <w:bCs w:val="false"/>
          <w:i w:val="false"/>
          <w:iCs w:val="false"/>
          <w:color w:val="475569"/>
          <w:sz w:val="21"/>
          <w:szCs w:val="21"/>
        </w:rPr>
        <w:t xml:space="preserve">The PAID framework uses the same underlying assessment data but applies different calculations to answer a different question: how urgently do we need to address technical debt?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Quadrant</w:t>
            </w:r>
          </w:p>
        </w:tc>
        <w:tc>
          <w:tcPr>
            <w:tcW w:type="dxa" w:w="30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Condition</w:t>
            </w:r>
          </w:p>
        </w:tc>
        <w:tc>
          <w:tcPr>
            <w:tcW w:type="dxa" w:w="456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Recommended Action</w:t>
            </w:r>
          </w:p>
        </w:tc>
      </w:tr>
      <w:t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Address</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High Criticality + High Technical Risk</w:t>
            </w:r>
          </w:p>
        </w:tc>
        <w:tc>
          <w:tcPr>
            <w:tcW w:type="dxa" w:w="45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Immediate remediation with dedicated resources. This is the fire alarm.</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Plan</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High Criticality + Low Technical Risk</w:t>
            </w:r>
          </w:p>
        </w:tc>
        <w:tc>
          <w:tcPr>
            <w:tcW w:type="dxa" w:w="4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Proactive maintenance — scheduled refresh cycles before anything goes end-of-life.</w:t>
            </w:r>
          </w:p>
        </w:tc>
      </w:tr>
      <w:t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Delay</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Low Criticality + High Technical Risk</w:t>
            </w:r>
          </w:p>
        </w:tc>
        <w:tc>
          <w:tcPr>
            <w:tcW w:type="dxa" w:w="45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Documented risk acceptance. Revisit when resources are available.</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Ignore</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Low Criticality + Low Technical Risk</w:t>
            </w:r>
          </w:p>
        </w:tc>
        <w:tc>
          <w:tcPr>
            <w:tcW w:type="dxa" w:w="4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Minimal monitoring. No active investment needed.</w:t>
            </w:r>
          </w:p>
        </w:tc>
      </w:tr>
    </w:tbl>
    <w:p>
      <w:pPr>
        <w:spacing w:after="0" w:before="100"/>
      </w:pPr>
    </w:p>
    <w:p>
      <w:pPr>
        <w:pStyle w:val="Heading3"/>
        <w:spacing w:after="120" w:before="200"/>
      </w:pPr>
      <w:r>
        <w:rPr>
          <w:rFonts w:ascii="Arial" w:cs="Arial" w:eastAsia="Arial" w:hAnsi="Arial"/>
          <w:b/>
          <w:bCs/>
          <w:color w:val="0F172A"/>
          <w:sz w:val="24"/>
          <w:szCs w:val="24"/>
        </w:rPr>
        <w:t xml:space="preserve">Assessment Process</w:t>
      </w:r>
    </w:p>
    <w:p>
      <w:pPr>
        <w:spacing w:after="80" w:before="80"/>
        <w:jc w:val="left"/>
      </w:pPr>
      <w:r>
        <w:rPr>
          <w:rFonts w:ascii="Arial" w:cs="Arial" w:eastAsia="Arial" w:hAnsi="Arial"/>
          <w:b w:val="false"/>
          <w:bCs w:val="false"/>
          <w:i w:val="false"/>
          <w:iCs w:val="false"/>
          <w:color w:val="475569"/>
          <w:sz w:val="21"/>
          <w:szCs w:val="21"/>
        </w:rPr>
        <w:t xml:space="preserve">The assessment process is designed to bring business stakeholders and IT staff together around a shared scoring framework. Each assessment scores an application across two groups of factors:</w:t>
      </w:r>
    </w:p>
    <w:p>
      <w:pPr>
        <w:pStyle w:val="ListParagraph"/>
        <w:numPr>
          <w:ilvl w:val="0"/>
          <w:numId w:val="3"/>
        </w:numPr>
        <w:spacing w:after="40" w:before="40"/>
      </w:pPr>
      <w:r>
        <w:rPr>
          <w:rFonts w:ascii="Arial" w:cs="Arial" w:eastAsia="Arial" w:hAnsi="Arial"/>
          <w:b/>
          <w:bCs/>
          <w:i w:val="false"/>
          <w:iCs w:val="false"/>
          <w:color w:val="475569"/>
          <w:sz w:val="21"/>
          <w:szCs w:val="21"/>
        </w:rPr>
        <w:t xml:space="preserve">Business Factors (B1–B10): </w:t>
      </w:r>
      <w:r>
        <w:rPr>
          <w:rFonts w:ascii="Arial" w:cs="Arial" w:eastAsia="Arial" w:hAnsi="Arial"/>
          <w:b w:val="false"/>
          <w:bCs w:val="false"/>
          <w:i w:val="false"/>
          <w:iCs w:val="false"/>
          <w:color w:val="475569"/>
          <w:sz w:val="21"/>
          <w:szCs w:val="21"/>
        </w:rPr>
        <w:t xml:space="preserve">Strategic alignment, user satisfaction, functional coverage, revenue/cost impact, regulatory necessity, organizational reach, and data quality. Scored once per application — business value does not change based on where the app runs.</w:t>
      </w:r>
    </w:p>
    <w:p>
      <w:pPr>
        <w:pStyle w:val="ListParagraph"/>
        <w:numPr>
          <w:ilvl w:val="0"/>
          <w:numId w:val="3"/>
        </w:numPr>
        <w:spacing w:after="40" w:before="40"/>
      </w:pPr>
      <w:r>
        <w:rPr>
          <w:rFonts w:ascii="Arial" w:cs="Arial" w:eastAsia="Arial" w:hAnsi="Arial"/>
          <w:b/>
          <w:bCs/>
          <w:i w:val="false"/>
          <w:iCs w:val="false"/>
          <w:color w:val="475569"/>
          <w:sz w:val="21"/>
          <w:szCs w:val="21"/>
        </w:rPr>
        <w:t xml:space="preserve">Technical Factors (T01–T15): </w:t>
      </w:r>
      <w:r>
        <w:rPr>
          <w:rFonts w:ascii="Arial" w:cs="Arial" w:eastAsia="Arial" w:hAnsi="Arial"/>
          <w:b w:val="false"/>
          <w:bCs w:val="false"/>
          <w:i w:val="false"/>
          <w:iCs w:val="false"/>
          <w:color w:val="475569"/>
          <w:sz w:val="21"/>
          <w:szCs w:val="21"/>
        </w:rPr>
        <w:t xml:space="preserve">Platform currency, security controls, scalability, disaster recovery, integration quality, code quality, and vendor support. Scored per deployment profile — each deployment has its own infrastructure characteristics.</w:t>
      </w:r>
    </w:p>
    <w:p>
      <w:pPr>
        <w:spacing w:after="80" w:before="80"/>
        <w:jc w:val="left"/>
      </w:pPr>
      <w:r>
        <w:rPr>
          <w:rFonts w:ascii="Arial" w:cs="Arial" w:eastAsia="Arial" w:hAnsi="Arial"/>
          <w:b w:val="false"/>
          <w:bCs w:val="false"/>
          <w:i w:val="false"/>
          <w:iCs w:val="false"/>
          <w:color w:val="475569"/>
          <w:sz w:val="21"/>
          <w:szCs w:val="21"/>
        </w:rPr>
        <w:t xml:space="preserve">Each factor is rated 1–5 with configurable weights. The platform calculates four derived scores (Business Fit, Technical Health, Business Criticality, Technical Risk) and places the application on both quadrant charts automatically. Assessment factors and weights are configurable at the namespace level, ensuring consistent criteria across all workspaces.</w:t>
      </w:r>
    </w:p>
    <w:p>
      <w:pPr>
        <w:spacing w:after="80" w:before="80"/>
        <w:jc w:val="left"/>
      </w:pPr>
      <w:r>
        <w:rPr>
          <w:rFonts w:ascii="Arial" w:cs="Arial" w:eastAsia="Arial" w:hAnsi="Arial"/>
          <w:b w:val="false"/>
          <w:bCs w:val="false"/>
          <w:i w:val="false"/>
          <w:iCs w:val="false"/>
          <w:color w:val="475569"/>
          <w:sz w:val="21"/>
          <w:szCs w:val="21"/>
        </w:rPr>
        <w:t xml:space="preserve">The App Health tab visualizes assessed applications as an interactive bubble chart. Bubble position indicates quadrant placement, bubble size represents criticality or cost weight, and clicking any bubble opens the application for detailed review.</w:t>
      </w:r>
    </w:p>
    <w:p>
      <w:pPr>
        <w:spacing w:after="0" w:before="60"/>
      </w:pPr>
    </w:p>
    <w:p>
      <w:pPr>
        <w:spacing w:after="80" w:before="80"/>
        <w:jc w:val="center"/>
      </w:pPr>
      <w:r>
        <w:rPr>
          <w:rFonts w:ascii="Arial" w:cs="Arial" w:eastAsia="Arial" w:hAnsi="Arial"/>
          <w:b w:val="false"/>
          <w:bCs w:val="false"/>
          <w:i/>
          <w:iCs/>
          <w:color w:val="94A3B8"/>
          <w:sz w:val="21"/>
          <w:szCs w:val="21"/>
        </w:rPr>
        <w:t xml:space="preserve">[Figure — TIME quadrant bubble chart showing applications plotted by Business Fit vs Technical Health]</w:t>
      </w:r>
    </w:p>
    <w:p>
      <w:pPr>
        <w:spacing w:after="0" w:before="60"/>
      </w:pPr>
    </w:p>
    <w:p>
      <w:r>
        <w:br w:type="page"/>
      </w:r>
    </w:p>
    <w:p>
      <w:pPr>
        <w:pStyle w:val="Heading2"/>
        <w:spacing w:after="160" w:before="280"/>
      </w:pPr>
      <w:r>
        <w:rPr>
          <w:rFonts w:ascii="Arial" w:cs="Arial" w:eastAsia="Arial" w:hAnsi="Arial"/>
          <w:b/>
          <w:bCs/>
          <w:color w:val="1A56DB"/>
          <w:sz w:val="28"/>
          <w:szCs w:val="28"/>
        </w:rPr>
        <w:t xml:space="preserve">Technology Health Intelligence</w:t>
      </w:r>
    </w:p>
    <w:p>
      <w:pPr>
        <w:spacing w:after="80" w:before="80"/>
        <w:jc w:val="left"/>
      </w:pPr>
      <w:r>
        <w:rPr>
          <w:rFonts w:ascii="Arial" w:cs="Arial" w:eastAsia="Arial" w:hAnsi="Arial"/>
          <w:b w:val="false"/>
          <w:bCs w:val="false"/>
          <w:i w:val="false"/>
          <w:iCs w:val="false"/>
          <w:color w:val="475569"/>
          <w:sz w:val="21"/>
          <w:szCs w:val="21"/>
        </w:rPr>
        <w:t xml:space="preserve">Infrastructure risk is one of the most valuable datasets locked inside a CMDB — and one of the least visible to business stakeholders. The Tech Health tab takes technology lifecycle data that would normally require a DBA or infrastructure engineer to interpret and presents it as a clear, color-coded dashboard that any business leader can read: what technology are we running, is the vendor still supporting it, and which business-critical applications are at risk?</w:t>
      </w:r>
    </w:p>
    <w:p>
      <w:pPr>
        <w:pStyle w:val="Heading3"/>
        <w:spacing w:after="120" w:before="200"/>
      </w:pPr>
      <w:r>
        <w:rPr>
          <w:rFonts w:ascii="Arial" w:cs="Arial" w:eastAsia="Arial" w:hAnsi="Arial"/>
          <w:b/>
          <w:bCs/>
          <w:color w:val="0F172A"/>
          <w:sz w:val="24"/>
          <w:szCs w:val="24"/>
        </w:rPr>
        <w:t xml:space="preserve">Lifecycle Tracking</w:t>
      </w:r>
    </w:p>
    <w:p>
      <w:pPr>
        <w:spacing w:after="80" w:before="80"/>
        <w:jc w:val="left"/>
      </w:pPr>
      <w:r>
        <w:rPr>
          <w:rFonts w:ascii="Arial" w:cs="Arial" w:eastAsia="Arial" w:hAnsi="Arial"/>
          <w:b w:val="false"/>
          <w:bCs w:val="false"/>
          <w:i w:val="false"/>
          <w:iCs w:val="false"/>
          <w:color w:val="475569"/>
          <w:sz w:val="21"/>
          <w:szCs w:val="21"/>
        </w:rPr>
        <w:t xml:space="preserve">Every application runs on technology — operating systems, databases, web servers, frameworks, and runtimes. Each technology product has a vendor support lifecycle: mainstream support, extended support, and end-of-life. When support ends, the organization is exposed to security vulnerabilities, compliance gaps, and operational risk.</w:t>
      </w:r>
    </w:p>
    <w:p>
      <w:pPr>
        <w:spacing w:after="80" w:before="80"/>
        <w:jc w:val="left"/>
      </w:pPr>
      <w:r>
        <w:rPr>
          <w:rFonts w:ascii="Arial" w:cs="Arial" w:eastAsia="Arial" w:hAnsi="Arial"/>
          <w:b w:val="false"/>
          <w:bCs w:val="false"/>
          <w:i w:val="false"/>
          <w:iCs w:val="false"/>
          <w:color w:val="475569"/>
          <w:sz w:val="21"/>
          <w:szCs w:val="21"/>
        </w:rPr>
        <w:t xml:space="preserve">GetInSync tracks these lifecycles automatically through a three-tier data pipeline:</w:t>
      </w:r>
    </w:p>
    <w:p>
      <w:pPr>
        <w:pStyle w:val="ListParagraph"/>
        <w:numPr>
          <w:ilvl w:val="0"/>
          <w:numId w:val="4"/>
        </w:numPr>
        <w:spacing w:after="40" w:before="40"/>
      </w:pPr>
      <w:r>
        <w:rPr>
          <w:rFonts w:ascii="Arial" w:cs="Arial" w:eastAsia="Arial" w:hAnsi="Arial"/>
          <w:b/>
          <w:bCs/>
          <w:color w:val="475569"/>
          <w:sz w:val="21"/>
          <w:szCs w:val="21"/>
        </w:rPr>
        <w:t xml:space="preserve">Database cache </w:t>
      </w:r>
      <w:r>
        <w:rPr>
          <w:rFonts w:ascii="Arial" w:cs="Arial" w:eastAsia="Arial" w:hAnsi="Arial"/>
          <w:color w:val="475569"/>
          <w:sz w:val="21"/>
          <w:szCs w:val="21"/>
        </w:rPr>
        <w:t xml:space="preserve">— 76 pre-loaded lifecycle reference records covering major platforms (Windows Server, RHEL, Ubuntu, SQL Server, PostgreSQL, Oracle, .NET, Java, and more). Lifecycle status is trigger-computed, not manually maintained.</w:t>
      </w:r>
    </w:p>
    <w:p>
      <w:pPr>
        <w:pStyle w:val="ListParagraph"/>
        <w:numPr>
          <w:ilvl w:val="0"/>
          <w:numId w:val="4"/>
        </w:numPr>
        <w:spacing w:after="40" w:before="40"/>
      </w:pPr>
      <w:r>
        <w:rPr>
          <w:rFonts w:ascii="Arial" w:cs="Arial" w:eastAsia="Arial" w:hAnsi="Arial"/>
          <w:b/>
          <w:bCs/>
          <w:color w:val="475569"/>
          <w:sz w:val="21"/>
          <w:szCs w:val="21"/>
        </w:rPr>
        <w:t xml:space="preserve">endoflife.date API </w:t>
      </w:r>
      <w:r>
        <w:rPr>
          <w:rFonts w:ascii="Arial" w:cs="Arial" w:eastAsia="Arial" w:hAnsi="Arial"/>
          <w:color w:val="475569"/>
          <w:sz w:val="21"/>
          <w:szCs w:val="21"/>
        </w:rPr>
        <w:t xml:space="preserve">— For products not in the cache, an automated lookup against the endoflife.date public database retrieves vendor lifecycle dates.</w:t>
      </w:r>
    </w:p>
    <w:p>
      <w:pPr>
        <w:pStyle w:val="ListParagraph"/>
        <w:numPr>
          <w:ilvl w:val="0"/>
          <w:numId w:val="4"/>
        </w:numPr>
        <w:spacing w:after="40" w:before="40"/>
      </w:pPr>
      <w:r>
        <w:rPr>
          <w:rFonts w:ascii="Arial" w:cs="Arial" w:eastAsia="Arial" w:hAnsi="Arial"/>
          <w:b/>
          <w:bCs/>
          <w:color w:val="475569"/>
          <w:sz w:val="21"/>
          <w:szCs w:val="21"/>
        </w:rPr>
        <w:t xml:space="preserve">AI-assisted lookup </w:t>
      </w:r>
      <w:r>
        <w:rPr>
          <w:rFonts w:ascii="Arial" w:cs="Arial" w:eastAsia="Arial" w:hAnsi="Arial"/>
          <w:color w:val="475569"/>
          <w:sz w:val="21"/>
          <w:szCs w:val="21"/>
        </w:rPr>
        <w:t xml:space="preserve">— For niche or vendor-specific products not found in public databases, a Supabase Edge Function calls the Anthropic Claude API to search vendor documentation and return structured lifecycle dates.</w:t>
      </w:r>
    </w:p>
    <w:p>
      <w:pPr>
        <w:pStyle w:val="Heading3"/>
        <w:spacing w:after="120" w:before="200"/>
      </w:pPr>
      <w:r>
        <w:rPr>
          <w:rFonts w:ascii="Arial" w:cs="Arial" w:eastAsia="Arial" w:hAnsi="Arial"/>
          <w:b/>
          <w:bCs/>
          <w:color w:val="0F172A"/>
          <w:sz w:val="24"/>
          <w:szCs w:val="24"/>
        </w:rPr>
        <w:t xml:space="preserve">Dashboard Views</w:t>
      </w:r>
    </w:p>
    <w:p>
      <w:pPr>
        <w:spacing w:after="80" w:before="80"/>
        <w:jc w:val="left"/>
      </w:pPr>
      <w:r>
        <w:rPr>
          <w:rFonts w:ascii="Arial" w:cs="Arial" w:eastAsia="Arial" w:hAnsi="Arial"/>
          <w:b w:val="false"/>
          <w:bCs w:val="false"/>
          <w:i w:val="false"/>
          <w:iCs w:val="false"/>
          <w:color w:val="475569"/>
          <w:sz w:val="21"/>
          <w:szCs w:val="21"/>
        </w:rPr>
        <w:t xml:space="preserve">The Technology Health tab provides four sub-tabs:</w:t>
      </w:r>
    </w:p>
    <w:p>
      <w:pPr>
        <w:pStyle w:val="ListParagraph"/>
        <w:numPr>
          <w:ilvl w:val="0"/>
          <w:numId w:val="2"/>
        </w:numPr>
        <w:spacing w:after="40" w:before="40"/>
      </w:pPr>
      <w:r>
        <w:rPr>
          <w:rFonts w:ascii="Arial" w:cs="Arial" w:eastAsia="Arial" w:hAnsi="Arial"/>
          <w:b/>
          <w:bCs/>
          <w:i w:val="false"/>
          <w:iCs w:val="false"/>
          <w:color w:val="475569"/>
          <w:sz w:val="21"/>
          <w:szCs w:val="21"/>
        </w:rPr>
        <w:t xml:space="preserve">Analysis </w:t>
      </w:r>
      <w:r>
        <w:rPr>
          <w:rFonts w:ascii="Arial" w:cs="Arial" w:eastAsia="Arial" w:hAnsi="Arial"/>
          <w:b w:val="false"/>
          <w:bCs w:val="false"/>
          <w:i w:val="false"/>
          <w:iCs w:val="false"/>
          <w:color w:val="475569"/>
          <w:sz w:val="21"/>
          <w:szCs w:val="21"/>
        </w:rPr>
        <w:t xml:space="preserve">— Infrastructure matrix of applications by technology category (OS, Database, Web Server, Framework, Runtime). Lifecycle status badges (Current, Extended, EOL, Unknown) at a glance. Crown Jewel indicators highlight business-critical applications.</w:t>
      </w:r>
    </w:p>
    <w:p>
      <w:pPr>
        <w:pStyle w:val="ListParagraph"/>
        <w:numPr>
          <w:ilvl w:val="0"/>
          <w:numId w:val="2"/>
        </w:numPr>
        <w:spacing w:after="40" w:before="40"/>
      </w:pPr>
      <w:r>
        <w:rPr>
          <w:rFonts w:ascii="Arial" w:cs="Arial" w:eastAsia="Arial" w:hAnsi="Arial"/>
          <w:b/>
          <w:bCs/>
          <w:i w:val="false"/>
          <w:iCs w:val="false"/>
          <w:color w:val="475569"/>
          <w:sz w:val="21"/>
          <w:szCs w:val="21"/>
        </w:rPr>
        <w:t xml:space="preserve">By Application </w:t>
      </w:r>
      <w:r>
        <w:rPr>
          <w:rFonts w:ascii="Arial" w:cs="Arial" w:eastAsia="Arial" w:hAnsi="Arial"/>
          <w:b w:val="false"/>
          <w:bCs w:val="false"/>
          <w:i w:val="false"/>
          <w:iCs w:val="false"/>
          <w:color w:val="475569"/>
          <w:sz w:val="21"/>
          <w:szCs w:val="21"/>
        </w:rPr>
        <w:t xml:space="preserve">— Application-centric view showing each application’s linked technology products with lifecycle status.</w:t>
      </w:r>
    </w:p>
    <w:p>
      <w:pPr>
        <w:pStyle w:val="ListParagraph"/>
        <w:numPr>
          <w:ilvl w:val="0"/>
          <w:numId w:val="2"/>
        </w:numPr>
        <w:spacing w:after="40" w:before="40"/>
      </w:pPr>
      <w:r>
        <w:rPr>
          <w:rFonts w:ascii="Arial" w:cs="Arial" w:eastAsia="Arial" w:hAnsi="Arial"/>
          <w:b/>
          <w:bCs/>
          <w:i w:val="false"/>
          <w:iCs w:val="false"/>
          <w:color w:val="475569"/>
          <w:sz w:val="21"/>
          <w:szCs w:val="21"/>
        </w:rPr>
        <w:t xml:space="preserve">By Technology </w:t>
      </w:r>
      <w:r>
        <w:rPr>
          <w:rFonts w:ascii="Arial" w:cs="Arial" w:eastAsia="Arial" w:hAnsi="Arial"/>
          <w:b w:val="false"/>
          <w:bCs w:val="false"/>
          <w:i w:val="false"/>
          <w:iCs w:val="false"/>
          <w:color w:val="475569"/>
          <w:sz w:val="21"/>
          <w:szCs w:val="21"/>
        </w:rPr>
        <w:t xml:space="preserve">— Technology-centric view grouped by product. Shows which applications use each technology, enabling impact analysis for upgrade planning.</w:t>
      </w:r>
    </w:p>
    <w:p>
      <w:pPr>
        <w:pStyle w:val="ListParagraph"/>
        <w:numPr>
          <w:ilvl w:val="0"/>
          <w:numId w:val="2"/>
        </w:numPr>
        <w:spacing w:after="40" w:before="40"/>
      </w:pPr>
      <w:r>
        <w:rPr>
          <w:rFonts w:ascii="Arial" w:cs="Arial" w:eastAsia="Arial" w:hAnsi="Arial"/>
          <w:b/>
          <w:bCs/>
          <w:i w:val="false"/>
          <w:iCs w:val="false"/>
          <w:color w:val="475569"/>
          <w:sz w:val="21"/>
          <w:szCs w:val="21"/>
        </w:rPr>
        <w:t xml:space="preserve">By Server (Plus tier) </w:t>
      </w:r>
      <w:r>
        <w:rPr>
          <w:rFonts w:ascii="Arial" w:cs="Arial" w:eastAsia="Arial" w:hAnsi="Arial"/>
          <w:b w:val="false"/>
          <w:bCs w:val="false"/>
          <w:i w:val="false"/>
          <w:iCs w:val="false"/>
          <w:color w:val="475569"/>
          <w:sz w:val="21"/>
          <w:szCs w:val="21"/>
        </w:rPr>
        <w:t xml:space="preserve">— Server/infrastructure-centric view mapping physical and virtual servers to applications and their technology stacks.</w:t>
      </w:r>
    </w:p>
    <w:p>
      <w:pPr>
        <w:pStyle w:val="Heading3"/>
        <w:spacing w:after="120" w:before="200"/>
      </w:pPr>
      <w:r>
        <w:rPr>
          <w:rFonts w:ascii="Arial" w:cs="Arial" w:eastAsia="Arial" w:hAnsi="Arial"/>
          <w:b/>
          <w:bCs/>
          <w:color w:val="0F172A"/>
          <w:sz w:val="24"/>
          <w:szCs w:val="24"/>
        </w:rPr>
        <w:t xml:space="preserve">Data Quality Badges</w:t>
      </w:r>
    </w:p>
    <w:p>
      <w:pPr>
        <w:spacing w:after="80" w:before="80"/>
        <w:jc w:val="left"/>
      </w:pPr>
      <w:r>
        <w:rPr>
          <w:rFonts w:ascii="Arial" w:cs="Arial" w:eastAsia="Arial" w:hAnsi="Arial"/>
          <w:b w:val="false"/>
          <w:bCs w:val="false"/>
          <w:i w:val="false"/>
          <w:iCs w:val="false"/>
          <w:color w:val="475569"/>
          <w:sz w:val="21"/>
          <w:szCs w:val="21"/>
        </w:rPr>
        <w:t xml:space="preserve">Technology products display verification badges indicating data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Badge</w:t>
            </w:r>
          </w:p>
        </w:tc>
        <w:tc>
          <w:tcPr>
            <w:tcW w:type="dxa" w:w="696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Meaning</w:t>
            </w:r>
          </w:p>
        </w:tc>
      </w:tr>
      <w:tr>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Verified</w:t>
            </w:r>
          </w:p>
        </w:tc>
        <w:tc>
          <w:tcPr>
            <w:tcW w:type="dxa" w:w="69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Lifecycle dates confirmed against vendor documentation or a trusted data source.</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Unverified</w:t>
            </w:r>
          </w:p>
        </w:tc>
        <w:tc>
          <w:tcPr>
            <w:tcW w:type="dxa" w:w="69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Lifecycle dates exist but have not been cross-checked against an authoritative source.</w:t>
            </w:r>
          </w:p>
        </w:tc>
      </w:tr>
      <w:tr>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Stale</w:t>
            </w:r>
          </w:p>
        </w:tc>
        <w:tc>
          <w:tcPr>
            <w:tcW w:type="dxa" w:w="69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Lifecycle data has not been refreshed in over 90 days and may be outdated.</w:t>
            </w:r>
          </w:p>
        </w:tc>
      </w:tr>
    </w:tbl>
    <w:p>
      <w:pPr>
        <w:spacing w:after="0" w:before="60"/>
      </w:pPr>
    </w:p>
    <w:p>
      <w:pPr>
        <w:spacing w:after="80" w:before="80"/>
        <w:jc w:val="center"/>
      </w:pPr>
      <w:r>
        <w:rPr>
          <w:rFonts w:ascii="Arial" w:cs="Arial" w:eastAsia="Arial" w:hAnsi="Arial"/>
          <w:b w:val="false"/>
          <w:bCs w:val="false"/>
          <w:i/>
          <w:iCs/>
          <w:color w:val="94A3B8"/>
          <w:sz w:val="21"/>
          <w:szCs w:val="21"/>
        </w:rPr>
        <w:t xml:space="preserve">[Figure — Technology Health Analysis matrix showing lifecycle status badges across OS, Database, and Web Server categories]</w:t>
      </w:r>
    </w:p>
    <w:p>
      <w:pPr>
        <w:spacing w:after="0" w:before="60"/>
      </w:pPr>
    </w:p>
    <w:p>
      <w:r>
        <w:br w:type="page"/>
      </w:r>
    </w:p>
    <w:p>
      <w:pPr>
        <w:pStyle w:val="Heading2"/>
        <w:spacing w:after="160" w:before="280"/>
      </w:pPr>
      <w:r>
        <w:rPr>
          <w:rFonts w:ascii="Arial" w:cs="Arial" w:eastAsia="Arial" w:hAnsi="Arial"/>
          <w:b/>
          <w:bCs/>
          <w:color w:val="1A56DB"/>
          <w:sz w:val="28"/>
          <w:szCs w:val="28"/>
        </w:rPr>
        <w:t xml:space="preserve">Cost Attribution and Budget Management</w:t>
      </w:r>
    </w:p>
    <w:p>
      <w:pPr>
        <w:spacing w:after="80" w:before="80"/>
        <w:jc w:val="left"/>
      </w:pPr>
      <w:r>
        <w:rPr>
          <w:rFonts w:ascii="Arial" w:cs="Arial" w:eastAsia="Arial" w:hAnsi="Arial"/>
          <w:b w:val="false"/>
          <w:bCs w:val="false"/>
          <w:i w:val="false"/>
          <w:iCs w:val="false"/>
          <w:color w:val="475569"/>
          <w:sz w:val="21"/>
          <w:szCs w:val="21"/>
        </w:rPr>
        <w:t xml:space="preserve">One of the most common frustrations for CIOs and business leaders is the inability to answer a simple question: how much does this application actually cost to run? The data exists across contracts, invoices, shared infrastructure allocations, and CMDB records — but it is never assembled into a single view that a business stakeholder can act on. GetInSync solves this with a structured cost attribution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2"/>
              <w:bottom w:val="single" w:color="1A56DB" w:sz="1"/>
              <w:right w:val="single" w:color="1A56DB" w:sz="1"/>
            </w:tcBorders>
            <w:shd w:fill="EFF6FF" w:val="clear"/>
            <w:tcMar>
              <w:top w:type="dxa" w:w="120"/>
              <w:left w:type="dxa" w:w="200"/>
              <w:bottom w:type="dxa" w:w="120"/>
              <w:right w:type="dxa" w:w="200"/>
            </w:tcMar>
          </w:tcPr>
          <w:p>
            <w:pPr>
              <w:spacing w:after="60"/>
            </w:pPr>
            <w:r>
              <w:rPr>
                <w:rFonts w:ascii="Arial" w:cs="Arial" w:eastAsia="Arial" w:hAnsi="Arial"/>
                <w:b/>
                <w:bCs/>
                <w:color w:val="1A56DB"/>
                <w:sz w:val="21"/>
                <w:szCs w:val="21"/>
              </w:rPr>
              <w:t xml:space="preserve">Every dollar needs a home and an owner.</w:t>
            </w:r>
          </w:p>
          <w:p>
            <w:r>
              <w:rPr>
                <w:rFonts w:ascii="Arial" w:cs="Arial" w:eastAsia="Arial" w:hAnsi="Arial"/>
                <w:color w:val="475569"/>
                <w:sz w:val="20"/>
                <w:szCs w:val="20"/>
              </w:rPr>
              <w:t xml:space="preserve">Cost attribution in GetInSync follows a simple rule: all costs flow through Deployment Profiles, never directly to Business Applications. This ensures that every dollar of IT spend is traceable to a specific deployment instance, giving business stakeholders cost transparency they have never had before.</w:t>
            </w:r>
          </w:p>
        </w:tc>
      </w:tr>
    </w:tbl>
    <w:p>
      <w:pPr>
        <w:spacing w:after="0" w:before="100"/>
      </w:pPr>
    </w:p>
    <w:p>
      <w:pPr>
        <w:pStyle w:val="Heading3"/>
        <w:spacing w:after="120" w:before="200"/>
      </w:pPr>
      <w:r>
        <w:rPr>
          <w:rFonts w:ascii="Arial" w:cs="Arial" w:eastAsia="Arial" w:hAnsi="Arial"/>
          <w:b/>
          <w:bCs/>
          <w:color w:val="0F172A"/>
          <w:sz w:val="24"/>
          <w:szCs w:val="24"/>
        </w:rPr>
        <w:t xml:space="preserve">Cost Channels</w:t>
      </w:r>
    </w:p>
    <w:p>
      <w:pPr>
        <w:spacing w:after="80" w:before="80"/>
        <w:jc w:val="left"/>
      </w:pPr>
      <w:r>
        <w:rPr>
          <w:rFonts w:ascii="Arial" w:cs="Arial" w:eastAsia="Arial" w:hAnsi="Arial"/>
          <w:b w:val="false"/>
          <w:bCs w:val="false"/>
          <w:i w:val="false"/>
          <w:iCs w:val="false"/>
          <w:color w:val="475569"/>
          <w:sz w:val="21"/>
          <w:szCs w:val="21"/>
        </w:rPr>
        <w:t xml:space="preserve">Costs are organized into two primary channels, with Software Products tracked as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Channel</w:t>
            </w:r>
          </w:p>
        </w:tc>
        <w:tc>
          <w:tcPr>
            <w:tcW w:type="dxa" w:w="456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What It Tracks</w:t>
            </w:r>
          </w:p>
        </w:tc>
        <w:tc>
          <w:tcPr>
            <w:tcW w:type="dxa" w:w="24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CSDM Equivalent</w:t>
            </w:r>
          </w:p>
        </w:tc>
      </w:tr>
      <w:tr>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IT Services</w:t>
            </w:r>
          </w:p>
        </w:tc>
        <w:tc>
          <w:tcPr>
            <w:tcW w:type="dxa" w:w="45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Shared infrastructure allocations (hosting, network, support contracts). Cost allocated to Deployment Profiles by fixed amount or percentage.</w:t>
            </w:r>
          </w:p>
        </w:tc>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service_offering / cmdb_ci_service_technical</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Cost Bundles</w:t>
            </w:r>
          </w:p>
        </w:tc>
        <w:tc>
          <w:tcPr>
            <w:tcW w:type="dxa" w:w="4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Everything else: consulting, MSP fees, one-time project costs. Attributed to the primary Deployment Profile of each application.</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r>
      <w:tr>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Software Products (inventory)</w:t>
            </w:r>
          </w:p>
        </w:tc>
        <w:tc>
          <w:tcPr>
            <w:tcW w:type="dxa" w:w="45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Licensed/SaaS software linked to Deployment Profiles for tracking purposes. No direct cost columns — cost flows through IT Services.</w:t>
            </w:r>
          </w:p>
        </w:tc>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alm_product_model</w:t>
            </w:r>
          </w:p>
        </w:tc>
      </w:tr>
    </w:tbl>
    <w:p>
      <w:pPr>
        <w:spacing w:after="0" w:before="100"/>
      </w:pPr>
    </w:p>
    <w:p>
      <w:pPr>
        <w:pStyle w:val="Heading3"/>
        <w:spacing w:after="120" w:before="200"/>
      </w:pPr>
      <w:r>
        <w:rPr>
          <w:rFonts w:ascii="Arial" w:cs="Arial" w:eastAsia="Arial" w:hAnsi="Arial"/>
          <w:b/>
          <w:bCs/>
          <w:color w:val="0F172A"/>
          <w:sz w:val="24"/>
          <w:szCs w:val="24"/>
        </w:rPr>
        <w:t xml:space="preserve">Stranded Cost Visibility</w:t>
      </w:r>
    </w:p>
    <w:p>
      <w:pPr>
        <w:spacing w:after="80" w:before="80"/>
        <w:jc w:val="left"/>
      </w:pPr>
      <w:r>
        <w:rPr>
          <w:rFonts w:ascii="Arial" w:cs="Arial" w:eastAsia="Arial" w:hAnsi="Arial"/>
          <w:b w:val="false"/>
          <w:bCs w:val="false"/>
          <w:i w:val="false"/>
          <w:iCs w:val="false"/>
          <w:color w:val="475569"/>
          <w:sz w:val="21"/>
          <w:szCs w:val="21"/>
        </w:rPr>
        <w:t xml:space="preserve">When an IT Service’s total annual cost exceeds the sum of all allocations to Deployment Profiles, the unallocated amount is flagged as stranded cost. This reveals shared infrastructure overhead that is not attributed to any application — a common blind spot in IT budgeting.</w:t>
      </w:r>
    </w:p>
    <w:p>
      <w:pPr>
        <w:pStyle w:val="Heading3"/>
        <w:spacing w:after="120" w:before="200"/>
      </w:pPr>
      <w:r>
        <w:rPr>
          <w:rFonts w:ascii="Arial" w:cs="Arial" w:eastAsia="Arial" w:hAnsi="Arial"/>
          <w:b/>
          <w:bCs/>
          <w:color w:val="0F172A"/>
          <w:sz w:val="24"/>
          <w:szCs w:val="24"/>
        </w:rPr>
        <w:t xml:space="preserve">Vendor Spend Aggregation</w:t>
      </w:r>
    </w:p>
    <w:p>
      <w:pPr>
        <w:spacing w:after="80" w:before="80"/>
        <w:jc w:val="left"/>
      </w:pPr>
      <w:r>
        <w:rPr>
          <w:rFonts w:ascii="Arial" w:cs="Arial" w:eastAsia="Arial" w:hAnsi="Arial"/>
          <w:b w:val="false"/>
          <w:bCs w:val="false"/>
          <w:i w:val="false"/>
          <w:iCs w:val="false"/>
          <w:color w:val="475569"/>
          <w:sz w:val="21"/>
          <w:szCs w:val="21"/>
        </w:rPr>
        <w:t xml:space="preserve">Cost data is aggregated by vendor across the entire portfolio, showing total spend per supplier across all cost channels. When it is time to renegotiate a vendor agreement, plan a consolidation, or answer the question “how much do we pay Microsoft?” the numbers are already assembled.</w:t>
      </w:r>
    </w:p>
    <w:p>
      <w:pPr>
        <w:spacing w:after="0" w:before="60"/>
      </w:pPr>
    </w:p>
    <w:p>
      <w:pPr>
        <w:spacing w:after="80" w:before="80"/>
        <w:jc w:val="center"/>
      </w:pPr>
      <w:r>
        <w:rPr>
          <w:rFonts w:ascii="Arial" w:cs="Arial" w:eastAsia="Arial" w:hAnsi="Arial"/>
          <w:b w:val="false"/>
          <w:bCs w:val="false"/>
          <w:i/>
          <w:iCs/>
          <w:color w:val="94A3B8"/>
          <w:sz w:val="21"/>
          <w:szCs w:val="21"/>
        </w:rPr>
        <w:t xml:space="preserve">[Figure — Cost Analysis drill-in showing three-channel breakdown and vendor spend]</w:t>
      </w:r>
    </w:p>
    <w:p>
      <w:pPr>
        <w:spacing w:after="0" w:before="60"/>
      </w:pPr>
    </w:p>
    <w:p>
      <w:r>
        <w:br w:type="page"/>
      </w:r>
    </w:p>
    <w:p>
      <w:pPr>
        <w:pStyle w:val="Heading2"/>
        <w:spacing w:after="160" w:before="280"/>
      </w:pPr>
      <w:r>
        <w:rPr>
          <w:rFonts w:ascii="Arial" w:cs="Arial" w:eastAsia="Arial" w:hAnsi="Arial"/>
          <w:b/>
          <w:bCs/>
          <w:color w:val="1A56DB"/>
          <w:sz w:val="28"/>
          <w:szCs w:val="28"/>
        </w:rPr>
        <w:t xml:space="preserve">Financial Planning and Budget Intelligence</w:t>
      </w:r>
    </w:p>
    <w:p>
      <w:pPr>
        <w:spacing w:after="80" w:before="80"/>
        <w:jc w:val="left"/>
      </w:pPr>
      <w:r>
        <w:rPr>
          <w:rFonts w:ascii="Arial" w:cs="Arial" w:eastAsia="Arial" w:hAnsi="Arial"/>
          <w:b w:val="false"/>
          <w:bCs w:val="false"/>
          <w:i w:val="false"/>
          <w:iCs w:val="false"/>
          <w:color w:val="475569"/>
          <w:sz w:val="21"/>
          <w:szCs w:val="21"/>
        </w:rPr>
        <w:t xml:space="preserve">Cost attribution tells you what you are spending. Budget intelligence tells you whether that spending is under control — and where it is headed. GetInSync provides a dedicated budget dashboard that brings financial planning into the same platform where portfolio health is tracked, eliminating the gap between “what does it cost?” and “are we on budget?”</w:t>
      </w:r>
    </w:p>
    <w:p>
      <w:pPr>
        <w:pStyle w:val="Heading3"/>
        <w:spacing w:after="120" w:before="200"/>
      </w:pPr>
      <w:r>
        <w:rPr>
          <w:rFonts w:ascii="Arial" w:cs="Arial" w:eastAsia="Arial" w:hAnsi="Arial"/>
          <w:b/>
          <w:bCs/>
          <w:color w:val="0F172A"/>
          <w:sz w:val="24"/>
          <w:szCs w:val="24"/>
        </w:rPr>
        <w:t xml:space="preserve">Multi-Year Budget Tracking</w:t>
      </w:r>
    </w:p>
    <w:p>
      <w:pPr>
        <w:spacing w:after="80" w:before="80"/>
        <w:jc w:val="left"/>
      </w:pPr>
      <w:r>
        <w:rPr>
          <w:rFonts w:ascii="Arial" w:cs="Arial" w:eastAsia="Arial" w:hAnsi="Arial"/>
          <w:b w:val="false"/>
          <w:bCs w:val="false"/>
          <w:i w:val="false"/>
          <w:iCs w:val="false"/>
          <w:color w:val="475569"/>
          <w:sz w:val="21"/>
          <w:szCs w:val="21"/>
        </w:rPr>
        <w:t xml:space="preserve">Budgets are managed at the workspace level with full multi-year history. Each workspace can have a budget record for every fiscal year, enabling year-over-year trend analysis. The platform tracks:</w:t>
      </w:r>
    </w:p>
    <w:p>
      <w:pPr>
        <w:pStyle w:val="ListParagraph"/>
        <w:numPr>
          <w:ilvl w:val="0"/>
          <w:numId w:val="2"/>
        </w:numPr>
        <w:spacing w:after="40" w:before="40"/>
      </w:pPr>
      <w:r>
        <w:rPr>
          <w:rFonts w:ascii="Arial" w:cs="Arial" w:eastAsia="Arial" w:hAnsi="Arial"/>
          <w:b/>
          <w:bCs/>
          <w:i w:val="false"/>
          <w:iCs w:val="false"/>
          <w:color w:val="475569"/>
          <w:sz w:val="21"/>
          <w:szCs w:val="21"/>
        </w:rPr>
        <w:t xml:space="preserve">Workspace budgets </w:t>
      </w:r>
      <w:r>
        <w:rPr>
          <w:rFonts w:ascii="Arial" w:cs="Arial" w:eastAsia="Arial" w:hAnsi="Arial"/>
          <w:b w:val="false"/>
          <w:bCs w:val="false"/>
          <w:i w:val="false"/>
          <w:iCs w:val="false"/>
          <w:color w:val="475569"/>
          <w:sz w:val="21"/>
          <w:szCs w:val="21"/>
        </w:rPr>
        <w:t xml:space="preserve">— Annual budget amount per workspace per fiscal year, with an active-year flag. Compare what was allocated to what was actually spent, across multiple years.</w:t>
      </w:r>
    </w:p>
    <w:p>
      <w:pPr>
        <w:pStyle w:val="ListParagraph"/>
        <w:numPr>
          <w:ilvl w:val="0"/>
          <w:numId w:val="2"/>
        </w:numPr>
        <w:spacing w:after="40" w:before="40"/>
      </w:pPr>
      <w:r>
        <w:rPr>
          <w:rFonts w:ascii="Arial" w:cs="Arial" w:eastAsia="Arial" w:hAnsi="Arial"/>
          <w:b/>
          <w:bCs/>
          <w:i w:val="false"/>
          <w:iCs w:val="false"/>
          <w:color w:val="475569"/>
          <w:sz w:val="21"/>
          <w:szCs w:val="21"/>
        </w:rPr>
        <w:t xml:space="preserve">Application budgets </w:t>
      </w:r>
      <w:r>
        <w:rPr>
          <w:rFonts w:ascii="Arial" w:cs="Arial" w:eastAsia="Arial" w:hAnsi="Arial"/>
          <w:b w:val="false"/>
          <w:bCs w:val="false"/>
          <w:i w:val="false"/>
          <w:iCs w:val="false"/>
          <w:color w:val="475569"/>
          <w:sz w:val="21"/>
          <w:szCs w:val="21"/>
        </w:rPr>
        <w:t xml:space="preserve">— Per-application budget amount versus actual run rate. Instantly see which applications are over budget, which are underspent, and which have no budget assigned at all.</w:t>
      </w:r>
    </w:p>
    <w:p>
      <w:pPr>
        <w:pStyle w:val="ListParagraph"/>
        <w:numPr>
          <w:ilvl w:val="0"/>
          <w:numId w:val="2"/>
        </w:numPr>
        <w:spacing w:after="40" w:before="40"/>
      </w:pPr>
      <w:r>
        <w:rPr>
          <w:rFonts w:ascii="Arial" w:cs="Arial" w:eastAsia="Arial" w:hAnsi="Arial"/>
          <w:b/>
          <w:bCs/>
          <w:i w:val="false"/>
          <w:iCs w:val="false"/>
          <w:color w:val="475569"/>
          <w:sz w:val="21"/>
          <w:szCs w:val="21"/>
        </w:rPr>
        <w:t xml:space="preserve">IT Service budgets </w:t>
      </w:r>
      <w:r>
        <w:rPr>
          <w:rFonts w:ascii="Arial" w:cs="Arial" w:eastAsia="Arial" w:hAnsi="Arial"/>
          <w:b w:val="false"/>
          <w:bCs w:val="false"/>
          <w:i w:val="false"/>
          <w:iCs w:val="false"/>
          <w:color w:val="475569"/>
          <w:sz w:val="21"/>
          <w:szCs w:val="21"/>
        </w:rPr>
        <w:t xml:space="preserve">— Capacity budget for shared infrastructure services versus committed allocations. Provider workspaces (Central IT, Shared Services) can track whether their infrastructure budget is keeping pace with demand from consuming workspaces.</w:t>
      </w:r>
    </w:p>
    <w:p>
      <w:pPr>
        <w:pStyle w:val="Heading3"/>
        <w:spacing w:after="120" w:before="200"/>
      </w:pPr>
      <w:r>
        <w:rPr>
          <w:rFonts w:ascii="Arial" w:cs="Arial" w:eastAsia="Arial" w:hAnsi="Arial"/>
          <w:b/>
          <w:bCs/>
          <w:color w:val="0F172A"/>
          <w:sz w:val="24"/>
          <w:szCs w:val="24"/>
        </w:rPr>
        <w:t xml:space="preserve">Budget Health at a Glance</w:t>
      </w:r>
    </w:p>
    <w:p>
      <w:pPr>
        <w:spacing w:after="80" w:before="80"/>
        <w:jc w:val="left"/>
      </w:pPr>
      <w:r>
        <w:rPr>
          <w:rFonts w:ascii="Arial" w:cs="Arial" w:eastAsia="Arial" w:hAnsi="Arial"/>
          <w:b w:val="false"/>
          <w:bCs w:val="false"/>
          <w:i w:val="false"/>
          <w:iCs w:val="false"/>
          <w:color w:val="475569"/>
          <w:sz w:val="21"/>
          <w:szCs w:val="21"/>
        </w:rPr>
        <w:t xml:space="preserve">Every budget — workspace, application, and IT Service — is assigned a color-coded health status based on the ratio of actual spending to allocated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Status</w:t>
            </w:r>
          </w:p>
        </w:tc>
        <w:tc>
          <w:tcPr>
            <w:tcW w:type="dxa" w:w="32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Condition</w:t>
            </w:r>
          </w:p>
        </w:tc>
        <w:tc>
          <w:tcPr>
            <w:tcW w:type="dxa" w:w="376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Signal</w:t>
            </w:r>
          </w:p>
        </w:tc>
      </w:tr>
      <w:tr>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Healthy (green)</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Spending at or below 80% of budget</w:t>
            </w:r>
          </w:p>
        </w:tc>
        <w:tc>
          <w:tcPr>
            <w:tcW w:type="dxa" w:w="37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On track. No action needed.</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Tight (amber)</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Spending between 80–100% of budget</w:t>
            </w:r>
          </w:p>
        </w:tc>
        <w:tc>
          <w:tcPr>
            <w:tcW w:type="dxa" w:w="3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Watch closely. Approaching the limit.</w:t>
            </w:r>
          </w:p>
        </w:tc>
      </w:tr>
      <w:tr>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Over (orange)</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Spending 100–110% of budget</w:t>
            </w:r>
          </w:p>
        </w:tc>
        <w:tc>
          <w:tcPr>
            <w:tcW w:type="dxa" w:w="37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Over budget. Review and reallocate.</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Critical (red)</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Spending exceeds 110% of budget</w:t>
            </w:r>
          </w:p>
        </w:tc>
        <w:tc>
          <w:tcPr>
            <w:tcW w:type="dxa" w:w="3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Immediate attention. Escalate to finance.</w:t>
            </w:r>
          </w:p>
        </w:tc>
      </w:tr>
    </w:tbl>
    <w:p>
      <w:pPr>
        <w:spacing w:after="0" w:before="100"/>
      </w:pPr>
    </w:p>
    <w:p>
      <w:pPr>
        <w:spacing w:after="80" w:before="80"/>
        <w:jc w:val="left"/>
      </w:pPr>
      <w:r>
        <w:rPr>
          <w:rFonts w:ascii="Arial" w:cs="Arial" w:eastAsia="Arial" w:hAnsi="Arial"/>
          <w:b w:val="false"/>
          <w:bCs w:val="false"/>
          <w:i w:val="false"/>
          <w:iCs w:val="false"/>
          <w:color w:val="475569"/>
          <w:sz w:val="21"/>
          <w:szCs w:val="21"/>
        </w:rPr>
        <w:t xml:space="preserve">Applications and services with no budget assigned or no cost data are flagged separately, ensuring that gaps in budget coverage are visible rather than hidden.</w:t>
      </w:r>
    </w:p>
    <w:p>
      <w:pPr>
        <w:pStyle w:val="Heading3"/>
        <w:spacing w:after="120" w:before="200"/>
      </w:pPr>
      <w:r>
        <w:rPr>
          <w:rFonts w:ascii="Arial" w:cs="Arial" w:eastAsia="Arial" w:hAnsi="Arial"/>
          <w:b/>
          <w:bCs/>
          <w:color w:val="0F172A"/>
          <w:sz w:val="24"/>
          <w:szCs w:val="24"/>
        </w:rPr>
        <w:t xml:space="preserve">Variance Analysis and Forecasting</w:t>
      </w:r>
    </w:p>
    <w:p>
      <w:pPr>
        <w:spacing w:after="80" w:before="80"/>
        <w:jc w:val="left"/>
      </w:pPr>
      <w:r>
        <w:rPr>
          <w:rFonts w:ascii="Arial" w:cs="Arial" w:eastAsia="Arial" w:hAnsi="Arial"/>
          <w:b w:val="false"/>
          <w:bCs w:val="false"/>
          <w:i w:val="false"/>
          <w:iCs w:val="false"/>
          <w:color w:val="475569"/>
          <w:sz w:val="21"/>
          <w:szCs w:val="21"/>
        </w:rPr>
        <w:t xml:space="preserve">The budget dashboard surfaces three types of financial intelligence:</w:t>
      </w:r>
    </w:p>
    <w:p>
      <w:pPr>
        <w:pStyle w:val="ListParagraph"/>
        <w:numPr>
          <w:ilvl w:val="0"/>
          <w:numId w:val="3"/>
        </w:numPr>
        <w:spacing w:after="40" w:before="40"/>
      </w:pPr>
      <w:r>
        <w:rPr>
          <w:rFonts w:ascii="Arial" w:cs="Arial" w:eastAsia="Arial" w:hAnsi="Arial"/>
          <w:b/>
          <w:bCs/>
          <w:i w:val="false"/>
          <w:iCs w:val="false"/>
          <w:color w:val="475569"/>
          <w:sz w:val="21"/>
          <w:szCs w:val="21"/>
        </w:rPr>
        <w:t xml:space="preserve">Current-year variance. </w:t>
      </w:r>
      <w:r>
        <w:rPr>
          <w:rFonts w:ascii="Arial" w:cs="Arial" w:eastAsia="Arial" w:hAnsi="Arial"/>
          <w:b w:val="false"/>
          <w:bCs w:val="false"/>
          <w:i w:val="false"/>
          <w:iCs w:val="false"/>
          <w:color w:val="475569"/>
          <w:sz w:val="21"/>
          <w:szCs w:val="21"/>
        </w:rPr>
        <w:t xml:space="preserve">For every workspace and application, the dashboard shows budget amount versus actual run rate, with the difference expressed in dollars and as a percentage. Budget owners see immediately where money is under or over.</w:t>
      </w:r>
    </w:p>
    <w:p>
      <w:pPr>
        <w:pStyle w:val="ListParagraph"/>
        <w:numPr>
          <w:ilvl w:val="0"/>
          <w:numId w:val="3"/>
        </w:numPr>
        <w:spacing w:after="40" w:before="40"/>
      </w:pPr>
      <w:r>
        <w:rPr>
          <w:rFonts w:ascii="Arial" w:cs="Arial" w:eastAsia="Arial" w:hAnsi="Arial"/>
          <w:b/>
          <w:bCs/>
          <w:i w:val="false"/>
          <w:iCs w:val="false"/>
          <w:color w:val="475569"/>
          <w:sz w:val="21"/>
          <w:szCs w:val="21"/>
        </w:rPr>
        <w:t xml:space="preserve">Year-over-year trends. </w:t>
      </w:r>
      <w:r>
        <w:rPr>
          <w:rFonts w:ascii="Arial" w:cs="Arial" w:eastAsia="Arial" w:hAnsi="Arial"/>
          <w:b w:val="false"/>
          <w:bCs w:val="false"/>
          <w:i w:val="false"/>
          <w:iCs w:val="false"/>
          <w:color w:val="475569"/>
          <w:sz w:val="21"/>
          <w:szCs w:val="21"/>
        </w:rPr>
        <w:t xml:space="preserve">Multi-year budget history enables trend analysis: is this workspace’s spending growing, shrinking, or stable? Are specific applications consuming an increasing share of the budget? These trends inform future budget requests and rationalization decisions.</w:t>
      </w:r>
    </w:p>
    <w:p>
      <w:pPr>
        <w:pStyle w:val="ListParagraph"/>
        <w:numPr>
          <w:ilvl w:val="0"/>
          <w:numId w:val="3"/>
        </w:numPr>
        <w:spacing w:after="40" w:before="40"/>
      </w:pPr>
      <w:r>
        <w:rPr>
          <w:rFonts w:ascii="Arial" w:cs="Arial" w:eastAsia="Arial" w:hAnsi="Arial"/>
          <w:b/>
          <w:bCs/>
          <w:i w:val="false"/>
          <w:iCs w:val="false"/>
          <w:color w:val="475569"/>
          <w:sz w:val="21"/>
          <w:szCs w:val="21"/>
        </w:rPr>
        <w:t xml:space="preserve">Stranded and unallocated spend. </w:t>
      </w:r>
      <w:r>
        <w:rPr>
          <w:rFonts w:ascii="Arial" w:cs="Arial" w:eastAsia="Arial" w:hAnsi="Arial"/>
          <w:b w:val="false"/>
          <w:bCs w:val="false"/>
          <w:i w:val="false"/>
          <w:iCs w:val="false"/>
          <w:color w:val="475569"/>
          <w:sz w:val="21"/>
          <w:szCs w:val="21"/>
        </w:rPr>
        <w:t xml:space="preserve">At the workspace level, the dashboard shows unallocated budget (workspace budget minus the sum of application and service budgets) and stranded IT Service costs. These are the dollars hiding between the cracks — visible nowhere else in the organization.</w:t>
      </w:r>
    </w:p>
    <w:p>
      <w:pPr>
        <w:pStyle w:val="Heading3"/>
        <w:spacing w:after="120" w:before="200"/>
      </w:pPr>
      <w:r>
        <w:rPr>
          <w:rFonts w:ascii="Arial" w:cs="Arial" w:eastAsia="Arial" w:hAnsi="Arial"/>
          <w:b/>
          <w:bCs/>
          <w:color w:val="0F172A"/>
          <w:sz w:val="24"/>
          <w:szCs w:val="24"/>
        </w:rPr>
        <w:t xml:space="preserve">Budget Transfers and Audit Trail</w:t>
      </w:r>
    </w:p>
    <w:p>
      <w:pPr>
        <w:spacing w:after="80" w:before="80"/>
        <w:jc w:val="left"/>
      </w:pPr>
      <w:r>
        <w:rPr>
          <w:rFonts w:ascii="Arial" w:cs="Arial" w:eastAsia="Arial" w:hAnsi="Arial"/>
          <w:b w:val="false"/>
          <w:bCs w:val="false"/>
          <w:i w:val="false"/>
          <w:iCs w:val="false"/>
          <w:color w:val="475569"/>
          <w:sz w:val="21"/>
          <w:szCs w:val="21"/>
        </w:rPr>
        <w:t xml:space="preserve">When budgets are reallocated between applications or services, the transfer is tracked with a full audit trail: source, destination, amount, reason, and approver. This supports SOC 2 compliance and provides finance teams with the change history they need for year-end reconciliation.</w:t>
      </w:r>
    </w:p>
    <w:p>
      <w:pPr>
        <w:spacing w:after="0" w:before="60"/>
      </w:pPr>
    </w:p>
    <w:p>
      <w:pPr>
        <w:spacing w:after="80" w:before="80"/>
        <w:jc w:val="center"/>
      </w:pPr>
      <w:r>
        <w:rPr>
          <w:rFonts w:ascii="Arial" w:cs="Arial" w:eastAsia="Arial" w:hAnsi="Arial"/>
          <w:b w:val="false"/>
          <w:bCs w:val="false"/>
          <w:i/>
          <w:iCs/>
          <w:color w:val="94A3B8"/>
          <w:sz w:val="21"/>
          <w:szCs w:val="21"/>
        </w:rPr>
        <w:t xml:space="preserve">[Figure — Budget dashboard showing workspace budget health, application variance, and year-over-year trend]</w:t>
      </w:r>
    </w:p>
    <w:p>
      <w:pPr>
        <w:spacing w:after="0" w:before="60"/>
      </w:pPr>
    </w:p>
    <w:p>
      <w:pPr>
        <w:pStyle w:val="Heading3"/>
        <w:spacing w:after="120" w:before="200"/>
      </w:pPr>
      <w:r>
        <w:rPr>
          <w:rFonts w:ascii="Arial" w:cs="Arial" w:eastAsia="Arial" w:hAnsi="Arial"/>
          <w:b/>
          <w:bCs/>
          <w:color w:val="0F172A"/>
          <w:sz w:val="24"/>
          <w:szCs w:val="24"/>
        </w:rPr>
        <w:t xml:space="preserve">Cost Attribution Maturity</w:t>
      </w:r>
    </w:p>
    <w:p>
      <w:pPr>
        <w:spacing w:after="80" w:before="80"/>
        <w:jc w:val="left"/>
      </w:pPr>
      <w:r>
        <w:rPr>
          <w:rFonts w:ascii="Arial" w:cs="Arial" w:eastAsia="Arial" w:hAnsi="Arial"/>
          <w:b w:val="false"/>
          <w:bCs w:val="false"/>
          <w:i w:val="false"/>
          <w:iCs w:val="false"/>
          <w:color w:val="475569"/>
          <w:sz w:val="21"/>
          <w:szCs w:val="21"/>
        </w:rPr>
        <w:t xml:space="preserve">Organizations mature their cost tracking over time. GetInSync supports a natural progression from rough estimates to full chargeback: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Level</w:t>
            </w:r>
          </w:p>
        </w:tc>
        <w:tc>
          <w:tcPr>
            <w:tcW w:type="dxa" w:w="30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What You Know</w:t>
            </w:r>
          </w:p>
        </w:tc>
        <w:tc>
          <w:tcPr>
            <w:tcW w:type="dxa" w:w="456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How GetInSync Tracks It</w:t>
            </w:r>
          </w:p>
        </w:tc>
      </w:tr>
      <w:t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0 — Not tracked</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We have the app but no cost data</w:t>
            </w:r>
          </w:p>
        </w:tc>
        <w:tc>
          <w:tcPr>
            <w:tcW w:type="dxa" w:w="45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Application exists; no cost channels linked. Dashboard shows the gap.</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1 — Estimated</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Roughly $15K for infrastructure</w:t>
            </w:r>
          </w:p>
        </w:tc>
        <w:tc>
          <w:tcPr>
            <w:tcW w:type="dxa" w:w="4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Cost Bundle on the primary DP. One number, one owner.</w:t>
            </w:r>
          </w:p>
        </w:tc>
      </w:tr>
      <w:t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2 — Categorized</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Software license is $8K; infra is estimated</w:t>
            </w:r>
          </w:p>
        </w:tc>
        <w:tc>
          <w:tcPr>
            <w:tcW w:type="dxa" w:w="45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Software Product linked + Cost Bundle for infrastructure estimate.</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3 — Attributed</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Shared hosting is $100K; this app uses 15%</w:t>
            </w:r>
          </w:p>
        </w:tc>
        <w:tc>
          <w:tcPr>
            <w:tcW w:type="dxa" w:w="4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IT Service with cost pool; DP allocation at 15%. Stranded cost visible.</w:t>
            </w:r>
          </w:p>
        </w:tc>
      </w:tr>
      <w:t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4 — Full chargeback</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Every dollar attributed, reconciled, auditable</w:t>
            </w:r>
          </w:p>
        </w:tc>
        <w:tc>
          <w:tcPr>
            <w:tcW w:type="dxa" w:w="45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All three channels active. Stranded cost near zero. Budget variance tracked.</w:t>
            </w:r>
          </w:p>
        </w:tc>
      </w:tr>
    </w:tbl>
    <w:p>
      <w:pPr>
        <w:spacing w:after="0" w:before="100"/>
      </w:pPr>
    </w:p>
    <w:p>
      <w:pPr>
        <w:spacing w:after="80" w:before="80"/>
        <w:jc w:val="left"/>
      </w:pPr>
      <w:r>
        <w:rPr>
          <w:rFonts w:ascii="Arial" w:cs="Arial" w:eastAsia="Arial" w:hAnsi="Arial"/>
          <w:b w:val="false"/>
          <w:bCs w:val="false"/>
          <w:i w:val="false"/>
          <w:iCs w:val="false"/>
          <w:color w:val="475569"/>
          <w:sz w:val="21"/>
          <w:szCs w:val="21"/>
        </w:rPr>
        <w:t xml:space="preserve">This maturity model is a natural land-and-expand path: customers start at Level 1 with simple estimates and grow into full chargeback as their organization matures. Each level delivers incrementally more value without requiring a wholesale change in process.</w:t>
      </w:r>
    </w:p>
    <w:p>
      <w:r>
        <w:br w:type="page"/>
      </w:r>
    </w:p>
    <w:p>
      <w:pPr>
        <w:pStyle w:val="Heading2"/>
        <w:spacing w:after="160" w:before="280"/>
      </w:pPr>
      <w:r>
        <w:rPr>
          <w:rFonts w:ascii="Arial" w:cs="Arial" w:eastAsia="Arial" w:hAnsi="Arial"/>
          <w:b/>
          <w:bCs/>
          <w:color w:val="1A56DB"/>
          <w:sz w:val="28"/>
          <w:szCs w:val="28"/>
        </w:rPr>
        <w:t xml:space="preserve">Roadmap: Assessment to Action Pipeline</w:t>
      </w:r>
    </w:p>
    <w:p>
      <w:pPr>
        <w:spacing w:after="80" w:before="80"/>
        <w:jc w:val="left"/>
      </w:pPr>
      <w:r>
        <w:rPr>
          <w:rFonts w:ascii="Arial" w:cs="Arial" w:eastAsia="Arial" w:hAnsi="Arial"/>
          <w:b w:val="false"/>
          <w:bCs w:val="false"/>
          <w:i w:val="false"/>
          <w:iCs w:val="false"/>
          <w:color w:val="475569"/>
          <w:sz w:val="21"/>
          <w:szCs w:val="21"/>
        </w:rPr>
        <w:t xml:space="preserve">This is where GetInSync closes the loop that most CMDB and APM tools leave open. Organizations invest significant effort in building application inventories, scoring health, and identifying risk — then export the results to a spreadsheet and hope someone turns them into a funded project. The Roadmap tab eliminates that gap by connecting assessment findings directly to budgeted initiatives with timelines, cost projections, and executive-level program rollups.</w:t>
      </w:r>
    </w:p>
    <w:p>
      <w:pPr>
        <w:pStyle w:val="Heading3"/>
        <w:spacing w:after="120" w:before="200"/>
      </w:pPr>
      <w:r>
        <w:rPr>
          <w:rFonts w:ascii="Arial" w:cs="Arial" w:eastAsia="Arial" w:hAnsi="Arial"/>
          <w:b/>
          <w:bCs/>
          <w:color w:val="0F172A"/>
          <w:sz w:val="24"/>
          <w:szCs w:val="24"/>
        </w:rPr>
        <w:t xml:space="preserve">Assessment-to-Action Flow</w:t>
      </w:r>
    </w:p>
    <w:p>
      <w:pPr>
        <w:spacing w:after="120" w:before="120"/>
        <w:jc w:val="left"/>
      </w:pPr>
      <w:r>
        <w:rPr>
          <w:rFonts w:ascii="Arial" w:cs="Arial" w:eastAsia="Arial" w:hAnsi="Arial"/>
          <w:b/>
          <w:bCs/>
          <w:i w:val="false"/>
          <w:iCs w:val="false"/>
          <w:color w:val="475569"/>
          <w:sz w:val="21"/>
          <w:szCs w:val="21"/>
        </w:rPr>
        <w:t xml:space="preserve">Scorecard Findings</w:t>
      </w:r>
      <w:r>
        <w:rPr>
          <w:rFonts w:ascii="Arial" w:cs="Arial" w:eastAsia="Arial" w:hAnsi="Arial"/>
          <w:b w:val="false"/>
          <w:bCs w:val="false"/>
          <w:i w:val="false"/>
          <w:iCs w:val="false"/>
          <w:color w:val="475569"/>
          <w:sz w:val="21"/>
          <w:szCs w:val="21"/>
        </w:rPr>
        <w:t xml:space="preserve"> → </w:t>
      </w:r>
      <w:r>
        <w:rPr>
          <w:rFonts w:ascii="Arial" w:cs="Arial" w:eastAsia="Arial" w:hAnsi="Arial"/>
          <w:b/>
          <w:bCs/>
          <w:i w:val="false"/>
          <w:iCs w:val="false"/>
          <w:color w:val="475569"/>
          <w:sz w:val="21"/>
          <w:szCs w:val="21"/>
        </w:rPr>
        <w:t xml:space="preserve">Initiatives</w:t>
      </w:r>
      <w:r>
        <w:rPr>
          <w:rFonts w:ascii="Arial" w:cs="Arial" w:eastAsia="Arial" w:hAnsi="Arial"/>
          <w:b w:val="false"/>
          <w:bCs w:val="false"/>
          <w:i w:val="false"/>
          <w:iCs w:val="false"/>
          <w:color w:val="475569"/>
          <w:sz w:val="21"/>
          <w:szCs w:val="21"/>
        </w:rPr>
        <w:t xml:space="preserve"> → </w:t>
      </w:r>
      <w:r>
        <w:rPr>
          <w:rFonts w:ascii="Arial" w:cs="Arial" w:eastAsia="Arial" w:hAnsi="Arial"/>
          <w:b/>
          <w:bCs/>
          <w:i w:val="false"/>
          <w:iCs w:val="false"/>
          <w:color w:val="475569"/>
          <w:sz w:val="21"/>
          <w:szCs w:val="21"/>
        </w:rPr>
        <w:t xml:space="preserve">Programs</w:t>
      </w:r>
      <w:r>
        <w:rPr>
          <w:rFonts w:ascii="Arial" w:cs="Arial" w:eastAsia="Arial" w:hAnsi="Arial"/>
          <w:b w:val="false"/>
          <w:bCs w:val="false"/>
          <w:i w:val="false"/>
          <w:iCs w:val="false"/>
          <w:color w:val="475569"/>
          <w:sz w:val="21"/>
          <w:szCs w:val="21"/>
        </w:rPr>
        <w:t xml:space="preserve"> (with cost projections and dependencies)</w:t>
      </w:r>
    </w:p>
    <w:p>
      <w:pPr>
        <w:pStyle w:val="Heading3"/>
        <w:spacing w:after="120" w:before="200"/>
      </w:pPr>
      <w:r>
        <w:rPr>
          <w:rFonts w:ascii="Arial" w:cs="Arial" w:eastAsia="Arial" w:hAnsi="Arial"/>
          <w:b/>
          <w:bCs/>
          <w:color w:val="0F172A"/>
          <w:sz w:val="24"/>
          <w:szCs w:val="24"/>
        </w:rPr>
        <w:t xml:space="preserve">Scorecard</w:t>
      </w:r>
    </w:p>
    <w:p>
      <w:pPr>
        <w:spacing w:after="80" w:before="80"/>
        <w:jc w:val="left"/>
      </w:pPr>
      <w:r>
        <w:rPr>
          <w:rFonts w:ascii="Arial" w:cs="Arial" w:eastAsia="Arial" w:hAnsi="Arial"/>
          <w:b w:val="false"/>
          <w:bCs w:val="false"/>
          <w:i w:val="false"/>
          <w:iCs w:val="false"/>
          <w:color w:val="475569"/>
          <w:sz w:val="21"/>
          <w:szCs w:val="21"/>
        </w:rPr>
        <w:t xml:space="preserve">Assessment findings are grouped into six domains: IT Cost and Optimization Management, Business Process Alignment, Technology and Infrastructure, Data Quality and Architecture, Compliance and Risk, and General. Each finding captures a title, rationale, and impact level (High, Medium, Low). Findings are the input to the pipeline — they can be promoted to Initiatives when ready for action.</w:t>
      </w:r>
    </w:p>
    <w:p>
      <w:pPr>
        <w:pStyle w:val="Heading3"/>
        <w:spacing w:after="120" w:before="200"/>
      </w:pPr>
      <w:r>
        <w:rPr>
          <w:rFonts w:ascii="Arial" w:cs="Arial" w:eastAsia="Arial" w:hAnsi="Arial"/>
          <w:b/>
          <w:bCs/>
          <w:color w:val="0F172A"/>
          <w:sz w:val="24"/>
          <w:szCs w:val="24"/>
        </w:rPr>
        <w:t xml:space="preserve">Initiatives</w:t>
      </w:r>
    </w:p>
    <w:p>
      <w:pPr>
        <w:spacing w:after="80" w:before="80"/>
        <w:jc w:val="left"/>
      </w:pPr>
      <w:r>
        <w:rPr>
          <w:rFonts w:ascii="Arial" w:cs="Arial" w:eastAsia="Arial" w:hAnsi="Arial"/>
          <w:b w:val="false"/>
          <w:bCs w:val="false"/>
          <w:i w:val="false"/>
          <w:iCs w:val="false"/>
          <w:color w:val="475569"/>
          <w:sz w:val="21"/>
          <w:szCs w:val="21"/>
        </w:rPr>
        <w:t xml:space="preserve">An initiative is a planned project that addresses one or more applications. Each initiative tracks title, type (Modernize, Migrate, Consolidate, Retire, Enhance), priority (Critical, High, Medium, Low), strategic theme (Optimize, Growth, Risk), time horizon, one-time and recurring cost estimates, run rate impact, and linked applications.</w:t>
      </w:r>
    </w:p>
    <w:p>
      <w:pPr>
        <w:spacing w:after="80" w:before="80"/>
        <w:jc w:val="left"/>
      </w:pPr>
      <w:r>
        <w:rPr>
          <w:rFonts w:ascii="Arial" w:cs="Arial" w:eastAsia="Arial" w:hAnsi="Arial"/>
          <w:b w:val="false"/>
          <w:bCs w:val="false"/>
          <w:i w:val="false"/>
          <w:iCs w:val="false"/>
          <w:color w:val="475569"/>
          <w:sz w:val="21"/>
          <w:szCs w:val="21"/>
        </w:rPr>
        <w:t xml:space="preserve">Three view modes are available:</w:t>
      </w:r>
    </w:p>
    <w:p>
      <w:pPr>
        <w:pStyle w:val="ListParagraph"/>
        <w:numPr>
          <w:ilvl w:val="0"/>
          <w:numId w:val="2"/>
        </w:numPr>
        <w:spacing w:after="40" w:before="40"/>
      </w:pPr>
      <w:r>
        <w:rPr>
          <w:rFonts w:ascii="Arial" w:cs="Arial" w:eastAsia="Arial" w:hAnsi="Arial"/>
          <w:b/>
          <w:bCs/>
          <w:i w:val="false"/>
          <w:iCs w:val="false"/>
          <w:color w:val="475569"/>
          <w:sz w:val="21"/>
          <w:szCs w:val="21"/>
        </w:rPr>
        <w:t xml:space="preserve">Grid </w:t>
      </w:r>
      <w:r>
        <w:rPr>
          <w:rFonts w:ascii="Arial" w:cs="Arial" w:eastAsia="Arial" w:hAnsi="Arial"/>
          <w:b w:val="false"/>
          <w:bCs w:val="false"/>
          <w:i w:val="false"/>
          <w:iCs w:val="false"/>
          <w:color w:val="475569"/>
          <w:sz w:val="21"/>
          <w:szCs w:val="21"/>
        </w:rPr>
        <w:t xml:space="preserve">— Sortable, filterable table with a filter drawer for workspace, domain, theme, priority, status, and time horizon. CSV export available.</w:t>
      </w:r>
    </w:p>
    <w:p>
      <w:pPr>
        <w:pStyle w:val="ListParagraph"/>
        <w:numPr>
          <w:ilvl w:val="0"/>
          <w:numId w:val="2"/>
        </w:numPr>
        <w:spacing w:after="40" w:before="40"/>
      </w:pPr>
      <w:r>
        <w:rPr>
          <w:rFonts w:ascii="Arial" w:cs="Arial" w:eastAsia="Arial" w:hAnsi="Arial"/>
          <w:b/>
          <w:bCs/>
          <w:i w:val="false"/>
          <w:iCs w:val="false"/>
          <w:color w:val="475569"/>
          <w:sz w:val="21"/>
          <w:szCs w:val="21"/>
        </w:rPr>
        <w:t xml:space="preserve">Gantt (Enterprise tier) </w:t>
      </w:r>
      <w:r>
        <w:rPr>
          <w:rFonts w:ascii="Arial" w:cs="Arial" w:eastAsia="Arial" w:hAnsi="Arial"/>
          <w:b w:val="false"/>
          <w:bCs w:val="false"/>
          <w:i w:val="false"/>
          <w:iCs w:val="false"/>
          <w:color w:val="475569"/>
          <w:sz w:val="21"/>
          <w:szCs w:val="21"/>
        </w:rPr>
        <w:t xml:space="preserve">— Timeline view with drag-and-drop scheduling across quarters.</w:t>
      </w:r>
    </w:p>
    <w:p>
      <w:pPr>
        <w:pStyle w:val="ListParagraph"/>
        <w:numPr>
          <w:ilvl w:val="0"/>
          <w:numId w:val="2"/>
        </w:numPr>
        <w:spacing w:after="40" w:before="40"/>
      </w:pPr>
      <w:r>
        <w:rPr>
          <w:rFonts w:ascii="Arial" w:cs="Arial" w:eastAsia="Arial" w:hAnsi="Arial"/>
          <w:b/>
          <w:bCs/>
          <w:i w:val="false"/>
          <w:iCs w:val="false"/>
          <w:color w:val="475569"/>
          <w:sz w:val="21"/>
          <w:szCs w:val="21"/>
        </w:rPr>
        <w:t xml:space="preserve">Kanban (Enterprise tier) </w:t>
      </w:r>
      <w:r>
        <w:rPr>
          <w:rFonts w:ascii="Arial" w:cs="Arial" w:eastAsia="Arial" w:hAnsi="Arial"/>
          <w:b w:val="false"/>
          <w:bCs w:val="false"/>
          <w:i w:val="false"/>
          <w:iCs w:val="false"/>
          <w:color w:val="475569"/>
          <w:sz w:val="21"/>
          <w:szCs w:val="21"/>
        </w:rPr>
        <w:t xml:space="preserve">— Status-column board for visual workflow management.</w:t>
      </w:r>
    </w:p>
    <w:p>
      <w:pPr>
        <w:spacing w:after="0" w:before="60"/>
      </w:pPr>
    </w:p>
    <w:p>
      <w:pPr>
        <w:spacing w:after="80" w:before="80"/>
        <w:jc w:val="center"/>
      </w:pPr>
      <w:r>
        <w:rPr>
          <w:rFonts w:ascii="Arial" w:cs="Arial" w:eastAsia="Arial" w:hAnsi="Arial"/>
          <w:b w:val="false"/>
          <w:bCs w:val="false"/>
          <w:i/>
          <w:iCs/>
          <w:color w:val="94A3B8"/>
          <w:sz w:val="21"/>
          <w:szCs w:val="21"/>
        </w:rPr>
        <w:t xml:space="preserve">[Figure — Roadmap Initiatives grid showing KPI bar, initiative table with priority, cost estimates, and status]</w:t>
      </w:r>
    </w:p>
    <w:p>
      <w:pPr>
        <w:spacing w:after="0" w:before="60"/>
      </w:pPr>
    </w:p>
    <w:p>
      <w:pPr>
        <w:pStyle w:val="Heading3"/>
        <w:spacing w:after="120" w:before="200"/>
      </w:pPr>
      <w:r>
        <w:rPr>
          <w:rFonts w:ascii="Arial" w:cs="Arial" w:eastAsia="Arial" w:hAnsi="Arial"/>
          <w:b/>
          <w:bCs/>
          <w:color w:val="0F172A"/>
          <w:sz w:val="24"/>
          <w:szCs w:val="24"/>
        </w:rPr>
        <w:t xml:space="preserve">Ideas</w:t>
      </w:r>
    </w:p>
    <w:p>
      <w:pPr>
        <w:spacing w:after="80" w:before="80"/>
        <w:jc w:val="left"/>
      </w:pPr>
      <w:r>
        <w:rPr>
          <w:rFonts w:ascii="Arial" w:cs="Arial" w:eastAsia="Arial" w:hAnsi="Arial"/>
          <w:b w:val="false"/>
          <w:bCs w:val="false"/>
          <w:i w:val="false"/>
          <w:iCs w:val="false"/>
          <w:color w:val="475569"/>
          <w:sz w:val="21"/>
          <w:szCs w:val="21"/>
        </w:rPr>
        <w:t xml:space="preserve">A lightweight capture mechanism for suggestions that have not been formalized into initiatives. Ideas follow a status workflow: Submitted, Under Review, Approved, Declined, Deferred. Approved ideas can be promoted to Initiatives, maintaining the audit trail from ideation through execution.</w:t>
      </w:r>
    </w:p>
    <w:p>
      <w:pPr>
        <w:pStyle w:val="Heading3"/>
        <w:spacing w:after="120" w:before="200"/>
      </w:pPr>
      <w:r>
        <w:rPr>
          <w:rFonts w:ascii="Arial" w:cs="Arial" w:eastAsia="Arial" w:hAnsi="Arial"/>
          <w:b/>
          <w:bCs/>
          <w:color w:val="0F172A"/>
          <w:sz w:val="24"/>
          <w:szCs w:val="24"/>
        </w:rPr>
        <w:t xml:space="preserve">Programs (Enterprise Tier)</w:t>
      </w:r>
    </w:p>
    <w:p>
      <w:pPr>
        <w:spacing w:after="80" w:before="80"/>
        <w:jc w:val="left"/>
      </w:pPr>
      <w:r>
        <w:rPr>
          <w:rFonts w:ascii="Arial" w:cs="Arial" w:eastAsia="Arial" w:hAnsi="Arial"/>
          <w:b w:val="false"/>
          <w:bCs w:val="false"/>
          <w:i w:val="false"/>
          <w:iCs w:val="false"/>
          <w:color w:val="475569"/>
          <w:sz w:val="21"/>
          <w:szCs w:val="21"/>
        </w:rPr>
        <w:t xml:space="preserve">Related initiatives group into programs with a budget envelope, business drivers, and dependency mapping. Programs provide the executive-level rollup: total investment, timeline, and strategic alignment across a portfolio of related work.</w:t>
      </w:r>
    </w:p>
    <w:p>
      <w:r>
        <w:br w:type="page"/>
      </w:r>
    </w:p>
    <w:p>
      <w:pPr>
        <w:pStyle w:val="Heading2"/>
        <w:spacing w:after="160" w:before="280"/>
      </w:pPr>
      <w:r>
        <w:rPr>
          <w:rFonts w:ascii="Arial" w:cs="Arial" w:eastAsia="Arial" w:hAnsi="Arial"/>
          <w:b/>
          <w:bCs/>
          <w:color w:val="1A56DB"/>
          <w:sz w:val="28"/>
          <w:szCs w:val="28"/>
        </w:rPr>
        <w:t xml:space="preserve">Integration Mapping</w:t>
      </w:r>
    </w:p>
    <w:p>
      <w:pPr>
        <w:spacing w:after="80" w:before="80"/>
        <w:jc w:val="left"/>
      </w:pPr>
      <w:r>
        <w:rPr>
          <w:rFonts w:ascii="Arial" w:cs="Arial" w:eastAsia="Arial" w:hAnsi="Arial"/>
          <w:b w:val="false"/>
          <w:bCs w:val="false"/>
          <w:i w:val="false"/>
          <w:iCs w:val="false"/>
          <w:color w:val="475569"/>
          <w:sz w:val="21"/>
          <w:szCs w:val="21"/>
        </w:rPr>
        <w:t xml:space="preserve">Application dependencies are the most dangerous blind spot in any portfolio. An application that looks safe to retire might be sending nightly data feeds to three other systems. A migration project might fail because nobody mapped the downstream integrations. This dependency knowledge usually lives in the heads of a few senior staff — invisible to business decision-makers. GetInSync makes it visible and structured, tracking both internal integrations (between managed applications) and external integrations (to systems outside the portfolio).</w:t>
      </w:r>
    </w:p>
    <w:p>
      <w:pPr>
        <w:pStyle w:val="Heading3"/>
        <w:spacing w:after="120" w:before="200"/>
      </w:pPr>
      <w:r>
        <w:rPr>
          <w:rFonts w:ascii="Arial" w:cs="Arial" w:eastAsia="Arial" w:hAnsi="Arial"/>
          <w:b/>
          <w:bCs/>
          <w:color w:val="0F172A"/>
          <w:sz w:val="24"/>
          <w:szCs w:val="24"/>
        </w:rPr>
        <w:t xml:space="preserve">Integration Properties</w:t>
      </w:r>
    </w:p>
    <w:p>
      <w:pPr>
        <w:spacing w:after="80" w:before="80"/>
        <w:jc w:val="left"/>
      </w:pPr>
      <w:r>
        <w:rPr>
          <w:rFonts w:ascii="Arial" w:cs="Arial" w:eastAsia="Arial" w:hAnsi="Arial"/>
          <w:b w:val="false"/>
          <w:bCs w:val="false"/>
          <w:i w:val="false"/>
          <w:iCs w:val="false"/>
          <w:color w:val="475569"/>
          <w:sz w:val="21"/>
          <w:szCs w:val="21"/>
        </w:rPr>
        <w:t xml:space="preserve">Each integration captures direction (upstream, downstream, bidirectional), method (API, file transfer, database link, SSO, manual, event-driven), frequency (real-time through on-demand), data format, data sensitivity, data classification, and status. All dropdown values are driven by database reference tables — never hardcoded — allowing organizations to extend the vocabulary without code changes.</w:t>
      </w:r>
    </w:p>
    <w:p>
      <w:pPr>
        <w:pStyle w:val="Heading3"/>
        <w:spacing w:after="120" w:before="200"/>
      </w:pPr>
      <w:r>
        <w:rPr>
          <w:rFonts w:ascii="Arial" w:cs="Arial" w:eastAsia="Arial" w:hAnsi="Arial"/>
          <w:b/>
          <w:bCs/>
          <w:color w:val="0F172A"/>
          <w:sz w:val="24"/>
          <w:szCs w:val="24"/>
        </w:rPr>
        <w:t xml:space="preserve">Visual Topology</w:t>
      </w:r>
    </w:p>
    <w:p>
      <w:pPr>
        <w:spacing w:after="80" w:before="80"/>
        <w:jc w:val="left"/>
      </w:pPr>
      <w:r>
        <w:rPr>
          <w:rFonts w:ascii="Arial" w:cs="Arial" w:eastAsia="Arial" w:hAnsi="Arial"/>
          <w:b w:val="false"/>
          <w:bCs w:val="false"/>
          <w:i w:val="false"/>
          <w:iCs w:val="false"/>
          <w:color w:val="475569"/>
          <w:sz w:val="21"/>
          <w:szCs w:val="21"/>
        </w:rPr>
        <w:t xml:space="preserve">The Visual tab on each application renders a force-directed graph showing the application’s integration topology. Connections are color-coded by status and direction, providing a quick visual summary of data flow dependencies. This is particularly valuable during migration planning, where understanding the blast radius of a change is critical.</w:t>
      </w:r>
    </w:p>
    <w:p>
      <w:pPr>
        <w:pStyle w:val="Heading2"/>
        <w:spacing w:after="160" w:before="280"/>
      </w:pPr>
      <w:r>
        <w:rPr>
          <w:rFonts w:ascii="Arial" w:cs="Arial" w:eastAsia="Arial" w:hAnsi="Arial"/>
          <w:b/>
          <w:bCs/>
          <w:color w:val="1A56DB"/>
          <w:sz w:val="28"/>
          <w:szCs w:val="28"/>
        </w:rPr>
        <w:t xml:space="preserve">Enterprise Catalogs</w:t>
      </w:r>
    </w:p>
    <w:p>
      <w:pPr>
        <w:spacing w:after="80" w:before="80"/>
        <w:jc w:val="left"/>
      </w:pPr>
      <w:r>
        <w:rPr>
          <w:rFonts w:ascii="Arial" w:cs="Arial" w:eastAsia="Arial" w:hAnsi="Arial"/>
          <w:b w:val="false"/>
          <w:bCs w:val="false"/>
          <w:i w:val="false"/>
          <w:iCs w:val="false"/>
          <w:color w:val="475569"/>
          <w:sz w:val="21"/>
          <w:szCs w:val="21"/>
        </w:rPr>
        <w:t xml:space="preserve">Enterprise-tier customers gain access to three shared catalogs that serve as the single source of truth across all workspaces:</w:t>
      </w:r>
    </w:p>
    <w:p>
      <w:pPr>
        <w:pStyle w:val="ListParagraph"/>
        <w:numPr>
          <w:ilvl w:val="0"/>
          <w:numId w:val="2"/>
        </w:numPr>
        <w:spacing w:after="40" w:before="40"/>
      </w:pPr>
      <w:r>
        <w:rPr>
          <w:rFonts w:ascii="Arial" w:cs="Arial" w:eastAsia="Arial" w:hAnsi="Arial"/>
          <w:b/>
          <w:bCs/>
          <w:i w:val="false"/>
          <w:iCs w:val="false"/>
          <w:color w:val="475569"/>
          <w:sz w:val="21"/>
          <w:szCs w:val="21"/>
        </w:rPr>
        <w:t xml:space="preserve">Software Catalog </w:t>
      </w:r>
      <w:r>
        <w:rPr>
          <w:rFonts w:ascii="Arial" w:cs="Arial" w:eastAsia="Arial" w:hAnsi="Arial"/>
          <w:b w:val="false"/>
          <w:bCs w:val="false"/>
          <w:i w:val="false"/>
          <w:iCs w:val="false"/>
          <w:color w:val="475569"/>
          <w:sz w:val="21"/>
          <w:szCs w:val="21"/>
        </w:rPr>
        <w:t xml:space="preserve">— Software product records tracking vendor, product name, version, and licensing model. Linked to deployment profiles as inventory.</w:t>
      </w:r>
    </w:p>
    <w:p>
      <w:pPr>
        <w:pStyle w:val="ListParagraph"/>
        <w:numPr>
          <w:ilvl w:val="0"/>
          <w:numId w:val="2"/>
        </w:numPr>
        <w:spacing w:after="40" w:before="40"/>
      </w:pPr>
      <w:r>
        <w:rPr>
          <w:rFonts w:ascii="Arial" w:cs="Arial" w:eastAsia="Arial" w:hAnsi="Arial"/>
          <w:b/>
          <w:bCs/>
          <w:i w:val="false"/>
          <w:iCs w:val="false"/>
          <w:color w:val="475569"/>
          <w:sz w:val="21"/>
          <w:szCs w:val="21"/>
        </w:rPr>
        <w:t xml:space="preserve">Technology Catalog </w:t>
      </w:r>
      <w:r>
        <w:rPr>
          <w:rFonts w:ascii="Arial" w:cs="Arial" w:eastAsia="Arial" w:hAnsi="Arial"/>
          <w:b w:val="false"/>
          <w:bCs w:val="false"/>
          <w:i w:val="false"/>
          <w:iCs w:val="false"/>
          <w:color w:val="475569"/>
          <w:sz w:val="21"/>
          <w:szCs w:val="21"/>
        </w:rPr>
        <w:t xml:space="preserve">— Technology product records with full lifecycle management. 15 categories including Operating System, Database, Web Server, Framework, and Language/Runtime. Feeds the Technology Health dashboard.</w:t>
      </w:r>
    </w:p>
    <w:p>
      <w:pPr>
        <w:pStyle w:val="ListParagraph"/>
        <w:numPr>
          <w:ilvl w:val="0"/>
          <w:numId w:val="2"/>
        </w:numPr>
        <w:spacing w:after="40" w:before="40"/>
      </w:pPr>
      <w:r>
        <w:rPr>
          <w:rFonts w:ascii="Arial" w:cs="Arial" w:eastAsia="Arial" w:hAnsi="Arial"/>
          <w:b/>
          <w:bCs/>
          <w:i w:val="false"/>
          <w:iCs w:val="false"/>
          <w:color w:val="475569"/>
          <w:sz w:val="21"/>
          <w:szCs w:val="21"/>
        </w:rPr>
        <w:t xml:space="preserve">IT Service Catalog </w:t>
      </w:r>
      <w:r>
        <w:rPr>
          <w:rFonts w:ascii="Arial" w:cs="Arial" w:eastAsia="Arial" w:hAnsi="Arial"/>
          <w:b w:val="false"/>
          <w:bCs w:val="false"/>
          <w:i w:val="false"/>
          <w:iCs w:val="false"/>
          <w:color w:val="475569"/>
          <w:sz w:val="21"/>
          <w:szCs w:val="21"/>
        </w:rPr>
        <w:t xml:space="preserve">— Shared infrastructure services with annual cost and service owner. The primary cost channel for deployment profile cost attribution. Stranded cost visibility built in.</w:t>
      </w:r>
    </w:p>
    <w:p>
      <w:r>
        <w:br w:type="page"/>
      </w:r>
    </w:p>
    <w:p>
      <w:pPr>
        <w:pStyle w:val="Heading1"/>
        <w:spacing w:after="200" w:before="360"/>
      </w:pPr>
      <w:r>
        <w:rPr>
          <w:rFonts w:ascii="Arial" w:cs="Arial" w:eastAsia="Arial" w:hAnsi="Arial"/>
          <w:b/>
          <w:bCs/>
          <w:color w:val="0F172A"/>
          <w:sz w:val="36"/>
          <w:szCs w:val="36"/>
        </w:rPr>
        <w:t xml:space="preserve">Platform Architecture</w:t>
      </w:r>
    </w:p>
    <w:p>
      <w:pPr>
        <w:pStyle w:val="Heading2"/>
        <w:spacing w:after="160" w:before="280"/>
      </w:pPr>
      <w:r>
        <w:rPr>
          <w:rFonts w:ascii="Arial" w:cs="Arial" w:eastAsia="Arial" w:hAnsi="Arial"/>
          <w:b/>
          <w:bCs/>
          <w:color w:val="1A56DB"/>
          <w:sz w:val="28"/>
          <w:szCs w:val="28"/>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Component</w:t>
            </w:r>
          </w:p>
        </w:tc>
        <w:tc>
          <w:tcPr>
            <w:tcW w:type="dxa" w:w="30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Technology</w:t>
            </w:r>
          </w:p>
        </w:tc>
        <w:tc>
          <w:tcPr>
            <w:tcW w:type="dxa" w:w="416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Details</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Frontend</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React + TypeScript + Vite + Tailwind</w:t>
            </w:r>
          </w:p>
        </w:tc>
        <w:tc>
          <w:tcPr>
            <w:tcW w:type="dxa" w:w="41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Single-page application, responsive design</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Database</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Supabase (PostgreSQL)</w:t>
            </w:r>
          </w:p>
        </w:tc>
        <w:tc>
          <w:tcPr>
            <w:tcW w:type="dxa" w:w="4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Hosted in ca-central-1 (Montreal, Canada)</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Authentication</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Supabase Auth</w:t>
            </w:r>
          </w:p>
        </w:tc>
        <w:tc>
          <w:tcPr>
            <w:tcW w:type="dxa" w:w="41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Email/password + Google OAuth. Microsoft OAuth pending publisher verification.</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Edge Functions</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Supabase Edge Functions (Deno)</w:t>
            </w:r>
          </w:p>
        </w:tc>
        <w:tc>
          <w:tcPr>
            <w:tcW w:type="dxa" w:w="4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AI lifecycle lookup, session enforcement, future MCP/AI Chat</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Secrets Management</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Supabase Vault</w:t>
            </w:r>
          </w:p>
        </w:tc>
        <w:tc>
          <w:tcPr>
            <w:tcW w:type="dxa" w:w="41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Database/customer-scoped secrets</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Deployment</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Netlify</w:t>
            </w:r>
          </w:p>
        </w:tc>
        <w:tc>
          <w:tcPr>
            <w:tcW w:type="dxa" w:w="4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Continuous deployment from GitHub</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Source Control</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GitHub</w:t>
            </w:r>
          </w:p>
        </w:tc>
        <w:tc>
          <w:tcPr>
            <w:tcW w:type="dxa" w:w="41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Dual-repo: application code + architecture documentation</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Testing</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Vitest + pgTAP</w:t>
            </w:r>
          </w:p>
        </w:tc>
        <w:tc>
          <w:tcPr>
            <w:tcW w:type="dxa" w:w="4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55 unit tests + 391 database regression assertions</w:t>
            </w:r>
          </w:p>
        </w:tc>
      </w:tr>
    </w:tbl>
    <w:p>
      <w:pPr>
        <w:spacing w:after="0" w:before="120"/>
      </w:pPr>
    </w:p>
    <w:p>
      <w:pPr>
        <w:pStyle w:val="Heading2"/>
        <w:spacing w:after="160" w:before="280"/>
      </w:pPr>
      <w:r>
        <w:rPr>
          <w:rFonts w:ascii="Arial" w:cs="Arial" w:eastAsia="Arial" w:hAnsi="Arial"/>
          <w:b/>
          <w:bCs/>
          <w:color w:val="1A56DB"/>
          <w:sz w:val="28"/>
          <w:szCs w:val="28"/>
        </w:rPr>
        <w:t xml:space="preserve">Security Posture</w:t>
      </w:r>
    </w:p>
    <w:p>
      <w:pPr>
        <w:spacing w:after="80" w:before="80"/>
        <w:jc w:val="left"/>
      </w:pPr>
      <w:r>
        <w:rPr>
          <w:rFonts w:ascii="Arial" w:cs="Arial" w:eastAsia="Arial" w:hAnsi="Arial"/>
          <w:b w:val="false"/>
          <w:bCs w:val="false"/>
          <w:i w:val="false"/>
          <w:iCs w:val="false"/>
          <w:color w:val="475569"/>
          <w:sz w:val="21"/>
          <w:szCs w:val="21"/>
        </w:rPr>
        <w:t xml:space="preserve">Security is enforced at the database level through PostgreSQL Row-Level Security (RLS), not application middleware. This means that even if the frontend is compromised, data isolation is enforced by the database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Metric</w:t>
            </w:r>
          </w:p>
        </w:tc>
        <w:tc>
          <w:tcPr>
            <w:tcW w:type="dxa" w:w="576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Current Value</w:t>
            </w:r>
          </w:p>
        </w:tc>
      </w:tr>
      <w:tr>
        <w:tc>
          <w:tcPr>
            <w:tcW w:type="dxa" w:w="36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Database tables</w:t>
            </w:r>
          </w:p>
        </w:tc>
        <w:tc>
          <w:tcPr>
            <w:tcW w:type="dxa" w:w="57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92</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Row-Level Security policies</w:t>
            </w:r>
          </w:p>
        </w:tc>
        <w:tc>
          <w:tcPr>
            <w:tcW w:type="dxa" w:w="5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357</w:t>
            </w:r>
          </w:p>
        </w:tc>
      </w:tr>
      <w:tr>
        <w:tc>
          <w:tcPr>
            <w:tcW w:type="dxa" w:w="36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Audit triggers</w:t>
            </w:r>
          </w:p>
        </w:tc>
        <w:tc>
          <w:tcPr>
            <w:tcW w:type="dxa" w:w="57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50</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Database views</w:t>
            </w:r>
          </w:p>
        </w:tc>
        <w:tc>
          <w:tcPr>
            <w:tcW w:type="dxa" w:w="5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31 (all security_invoker=true)</w:t>
            </w:r>
          </w:p>
        </w:tc>
      </w:tr>
      <w:tr>
        <w:tc>
          <w:tcPr>
            <w:tcW w:type="dxa" w:w="36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Database functions</w:t>
            </w:r>
          </w:p>
        </w:tc>
        <w:tc>
          <w:tcPr>
            <w:tcW w:type="dxa" w:w="57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55</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Explicit GRANTs</w:t>
            </w:r>
          </w:p>
        </w:tc>
        <w:tc>
          <w:tcPr>
            <w:tcW w:type="dxa" w:w="5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On all 92 tables + all 31 views</w:t>
            </w:r>
          </w:p>
        </w:tc>
      </w:tr>
      <w:tr>
        <w:tc>
          <w:tcPr>
            <w:tcW w:type="dxa" w:w="36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pgTAP regression assertions</w:t>
            </w:r>
          </w:p>
        </w:tc>
        <w:tc>
          <w:tcPr>
            <w:tcW w:type="dxa" w:w="57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391+</w:t>
            </w:r>
          </w:p>
        </w:tc>
      </w:tr>
    </w:tbl>
    <w:p>
      <w:pPr>
        <w:spacing w:after="0" w:before="100"/>
      </w:pPr>
    </w:p>
    <w:p>
      <w:pPr>
        <w:spacing w:after="80" w:before="80"/>
        <w:jc w:val="left"/>
      </w:pPr>
      <w:r>
        <w:rPr>
          <w:rFonts w:ascii="Arial" w:cs="Arial" w:eastAsia="Arial" w:hAnsi="Arial"/>
          <w:b w:val="false"/>
          <w:bCs w:val="false"/>
          <w:i w:val="false"/>
          <w:iCs w:val="false"/>
          <w:color w:val="475569"/>
          <w:sz w:val="21"/>
          <w:szCs w:val="21"/>
        </w:rPr>
        <w:t xml:space="preserve">Every table follows a four-policy RLS pattern: separate SELECT, INSERT, UPDATE, and DELETE policies. Platform admin override is available across all namespaces. All database views use security_invoker=true, meaning they execute with the calling user’s permissions rather than the view owner’s — preventing privilege escalation through views.</w:t>
      </w:r>
    </w:p>
    <w:p>
      <w:pPr>
        <w:pStyle w:val="Heading2"/>
        <w:spacing w:after="160" w:before="280"/>
      </w:pPr>
      <w:r>
        <w:rPr>
          <w:rFonts w:ascii="Arial" w:cs="Arial" w:eastAsia="Arial" w:hAnsi="Arial"/>
          <w:b/>
          <w:bCs/>
          <w:color w:val="1A56DB"/>
          <w:sz w:val="28"/>
          <w:szCs w:val="28"/>
        </w:rPr>
        <w:t xml:space="preserve">Multi-Tenancy</w:t>
      </w:r>
    </w:p>
    <w:p>
      <w:pPr>
        <w:spacing w:after="80" w:before="80"/>
        <w:jc w:val="left"/>
      </w:pPr>
      <w:r>
        <w:rPr>
          <w:rFonts w:ascii="Arial" w:cs="Arial" w:eastAsia="Arial" w:hAnsi="Arial"/>
          <w:b w:val="false"/>
          <w:bCs w:val="false"/>
          <w:i w:val="false"/>
          <w:iCs w:val="false"/>
          <w:color w:val="475569"/>
          <w:sz w:val="21"/>
          <w:szCs w:val="21"/>
        </w:rPr>
        <w:t xml:space="preserve">Namespaces are hard boundaries. Nothing crosses namespace boundaries except platform admin operations. Each namespace represents a separate legal entity, and RLS enforces isolation at the database level. Within a namespace, workspaces provide organizational division, and a publish/subscribe model allows cross-workspace application sharing without data duplication.</w:t>
      </w:r>
    </w:p>
    <w:p>
      <w:pPr>
        <w:pStyle w:val="Heading2"/>
        <w:spacing w:after="160" w:before="280"/>
      </w:pPr>
      <w:r>
        <w:rPr>
          <w:rFonts w:ascii="Arial" w:cs="Arial" w:eastAsia="Arial" w:hAnsi="Arial"/>
          <w:b/>
          <w:bCs/>
          <w:color w:val="1A56DB"/>
          <w:sz w:val="28"/>
          <w:szCs w:val="28"/>
        </w:rPr>
        <w:t xml:space="preserve">Data Residency</w:t>
      </w:r>
    </w:p>
    <w:p>
      <w:pPr>
        <w:spacing w:after="80" w:before="80"/>
        <w:jc w:val="left"/>
      </w:pPr>
      <w:r>
        <w:rPr>
          <w:rFonts w:ascii="Arial" w:cs="Arial" w:eastAsia="Arial" w:hAnsi="Arial"/>
          <w:b w:val="false"/>
          <w:bCs w:val="false"/>
          <w:i w:val="false"/>
          <w:iCs w:val="false"/>
          <w:color w:val="475569"/>
          <w:sz w:val="21"/>
          <w:szCs w:val="21"/>
        </w:rPr>
        <w:t xml:space="preserve">The namespace table includes a region column (ca/us/eu). All 17 current namespaces are hosted in Canada (ca-central-1). US and EU regions deploy on demand when the first customer in that region requires it, using separate Supabase projects per region. This architecture ensures data sovereignty compliance for regulated industries.</w:t>
      </w:r>
    </w:p>
    <w:p>
      <w:pPr>
        <w:pStyle w:val="Heading2"/>
        <w:spacing w:after="160" w:before="280"/>
      </w:pPr>
      <w:r>
        <w:rPr>
          <w:rFonts w:ascii="Arial" w:cs="Arial" w:eastAsia="Arial" w:hAnsi="Arial"/>
          <w:b/>
          <w:bCs/>
          <w:color w:val="1A56DB"/>
          <w:sz w:val="28"/>
          <w:szCs w:val="28"/>
        </w:rPr>
        <w:t xml:space="preserve">Roles and Licensing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2000"/>
        <w:gridCol w:w="2000"/>
        <w:gridCol w:w="960"/>
      </w:tblGrid>
      <w:tr>
        <w:tc>
          <w:tcPr>
            <w:tcW w:type="dxa" w:w="16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Role</w:t>
            </w:r>
          </w:p>
        </w:tc>
        <w:tc>
          <w:tcPr>
            <w:tcW w:type="dxa" w:w="14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Create Apps</w:t>
            </w:r>
          </w:p>
        </w:tc>
        <w:tc>
          <w:tcPr>
            <w:tcW w:type="dxa" w:w="14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Edit Apps</w:t>
            </w:r>
          </w:p>
        </w:tc>
        <w:tc>
          <w:tcPr>
            <w:tcW w:type="dxa" w:w="20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Assess (Business)</w:t>
            </w:r>
          </w:p>
        </w:tc>
        <w:tc>
          <w:tcPr>
            <w:tcW w:type="dxa" w:w="20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Assess (Technical)</w:t>
            </w:r>
          </w:p>
        </w:tc>
        <w:tc>
          <w:tcPr>
            <w:tcW w:type="dxa" w:w="96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License Cost</w:t>
            </w:r>
          </w:p>
        </w:tc>
      </w:tr>
      <w:tr>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Admin</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Yes</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All</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Yes</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Yes</w:t>
            </w:r>
          </w:p>
        </w:tc>
        <w:tc>
          <w:tcPr>
            <w:tcW w:type="dxa" w:w="9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Editor seat</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Editor</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Yes</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Assigned</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Yes</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Yes</w:t>
            </w:r>
          </w:p>
        </w:tc>
        <w:tc>
          <w:tcPr>
            <w:tcW w:type="dxa" w:w="9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Editor seat</w:t>
            </w:r>
          </w:p>
        </w:tc>
      </w:tr>
      <w:tr>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Steward</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No</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Owned only</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Yes (Business Fit only)</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No</w:t>
            </w:r>
          </w:p>
        </w:tc>
        <w:tc>
          <w:tcPr>
            <w:tcW w:type="dxa" w:w="9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Free</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Viewer</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No</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No</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No</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No</w:t>
            </w:r>
          </w:p>
        </w:tc>
        <w:tc>
          <w:tcPr>
            <w:tcW w:type="dxa" w:w="9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Free</w:t>
            </w:r>
          </w:p>
        </w:tc>
      </w:tr>
      <w:tr>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Restricted</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No</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No</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No</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No</w:t>
            </w:r>
          </w:p>
        </w:tc>
        <w:tc>
          <w:tcPr>
            <w:tcW w:type="dxa" w:w="9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Free</w:t>
            </w:r>
          </w:p>
        </w:tc>
      </w:tr>
    </w:tbl>
    <w:p>
      <w:pPr>
        <w:spacing w:after="0" w:before="100"/>
      </w:pPr>
    </w:p>
    <w:p>
      <w:pPr>
        <w:spacing w:after="80" w:before="80"/>
        <w:jc w:val="left"/>
      </w:pPr>
      <w:r>
        <w:rPr>
          <w:rFonts w:ascii="Arial" w:cs="Arial" w:eastAsia="Arial" w:hAnsi="Arial"/>
          <w:b w:val="false"/>
          <w:bCs w:val="false"/>
          <w:i w:val="false"/>
          <w:iCs w:val="false"/>
          <w:color w:val="475569"/>
          <w:sz w:val="21"/>
          <w:szCs w:val="21"/>
        </w:rPr>
        <w:t xml:space="preserve">The Steward role is the key to making the CMDB come alive for the business. In traditional ITSM tools, business stakeholders are either locked out entirely or need expensive licensed seats just to contribute their knowledge about an application’s business value. GetInSync’s Steward role lets application owners complete Business Fit assessments — answering questions about strategic alignment, user satisfaction, and regulatory necessity — without consuming an Editor seat. In a 200-application portfolio with 50 application owners, this means 50 business voices contributing to portfolio intelligence at no additional licensing cost. The result is a richer, more accurate portfolio picture that reflects both IT reality and business value.</w:t>
      </w:r>
    </w:p>
    <w:p>
      <w:pPr>
        <w:pStyle w:val="Heading2"/>
        <w:spacing w:after="160" w:before="280"/>
      </w:pPr>
      <w:r>
        <w:rPr>
          <w:rFonts w:ascii="Arial" w:cs="Arial" w:eastAsia="Arial" w:hAnsi="Arial"/>
          <w:b/>
          <w:bCs/>
          <w:color w:val="1A56DB"/>
          <w:sz w:val="28"/>
          <w:szCs w:val="28"/>
        </w:rPr>
        <w:t xml:space="preserve">SOC 2 Readiness and Data Governance</w:t>
      </w:r>
    </w:p>
    <w:p>
      <w:pPr>
        <w:spacing w:after="80" w:before="80"/>
        <w:jc w:val="left"/>
      </w:pPr>
      <w:r>
        <w:rPr>
          <w:rFonts w:ascii="Arial" w:cs="Arial" w:eastAsia="Arial" w:hAnsi="Arial"/>
          <w:b w:val="false"/>
          <w:bCs w:val="false"/>
          <w:i w:val="false"/>
          <w:iCs w:val="false"/>
          <w:color w:val="475569"/>
          <w:sz w:val="21"/>
          <w:szCs w:val="21"/>
        </w:rPr>
        <w:t xml:space="preserve">When business stakeholders contribute data about their applications, they need to trust that the platform handles it responsibly. GetInSync is designed for SOC 2 Type II compliance. A namespace-wide audit log tracks who did what, when, and to which entity. Fifty audit triggers provide automated change tracking across all critical tables. Architecture documentation follows a living-spec model with SOC 2-compliant change logging, version tracking, and mandatory status indicators on every document.</w:t>
      </w:r>
    </w:p>
    <w:p>
      <w:r>
        <w:br w:type="page"/>
      </w:r>
    </w:p>
    <w:p>
      <w:pPr>
        <w:pStyle w:val="Heading1"/>
        <w:spacing w:after="200" w:before="360"/>
      </w:pPr>
      <w:r>
        <w:rPr>
          <w:rFonts w:ascii="Arial" w:cs="Arial" w:eastAsia="Arial" w:hAnsi="Arial"/>
          <w:b/>
          <w:bCs/>
          <w:color w:val="0F172A"/>
          <w:sz w:val="36"/>
          <w:szCs w:val="36"/>
        </w:rPr>
        <w:t xml:space="preserve">User Experience</w:t>
      </w:r>
    </w:p>
    <w:p>
      <w:pPr>
        <w:pStyle w:val="Heading2"/>
        <w:spacing w:after="160" w:before="280"/>
      </w:pPr>
      <w:r>
        <w:rPr>
          <w:rFonts w:ascii="Arial" w:cs="Arial" w:eastAsia="Arial" w:hAnsi="Arial"/>
          <w:b/>
          <w:bCs/>
          <w:color w:val="1A56DB"/>
          <w:sz w:val="28"/>
          <w:szCs w:val="28"/>
        </w:rPr>
        <w:t xml:space="preserve">Getting Started</w:t>
      </w:r>
    </w:p>
    <w:p>
      <w:pPr>
        <w:spacing w:after="80" w:before="80"/>
        <w:jc w:val="left"/>
      </w:pPr>
      <w:r>
        <w:rPr>
          <w:rFonts w:ascii="Arial" w:cs="Arial" w:eastAsia="Arial" w:hAnsi="Arial"/>
          <w:b w:val="false"/>
          <w:bCs w:val="false"/>
          <w:i w:val="false"/>
          <w:iCs w:val="false"/>
          <w:color w:val="475569"/>
          <w:sz w:val="21"/>
          <w:szCs w:val="21"/>
        </w:rPr>
        <w:t xml:space="preserve">New users can begin seeing value within five minutes. The onboarding flow is designed around progressive disclosure: start with a workspace, browse existing applications, and run a first assessment. Advanced features (catalogs, programs, workspace groups) reveal themselves as the organization’s maturity grows.</w:t>
      </w:r>
    </w:p>
    <w:p>
      <w:pPr>
        <w:pStyle w:val="Heading3"/>
        <w:spacing w:after="120" w:before="200"/>
      </w:pPr>
      <w:r>
        <w:rPr>
          <w:rFonts w:ascii="Arial" w:cs="Arial" w:eastAsia="Arial" w:hAnsi="Arial"/>
          <w:b/>
          <w:bCs/>
          <w:color w:val="0F172A"/>
          <w:sz w:val="24"/>
          <w:szCs w:val="24"/>
        </w:rPr>
        <w:t xml:space="preserve">First Session Flow</w:t>
      </w:r>
    </w:p>
    <w:p>
      <w:pPr>
        <w:pStyle w:val="ListParagraph"/>
        <w:numPr>
          <w:ilvl w:val="0"/>
          <w:numId w:val="5"/>
        </w:numPr>
        <w:spacing w:after="40" w:before="40"/>
      </w:pPr>
      <w:r>
        <w:rPr>
          <w:rFonts w:ascii="Arial" w:cs="Arial" w:eastAsia="Arial" w:hAnsi="Arial"/>
          <w:b/>
          <w:bCs/>
          <w:color w:val="475569"/>
          <w:sz w:val="21"/>
          <w:szCs w:val="21"/>
        </w:rPr>
        <w:t xml:space="preserve">Select a workspace </w:t>
      </w:r>
      <w:r>
        <w:rPr>
          <w:rFonts w:ascii="Arial" w:cs="Arial" w:eastAsia="Arial" w:hAnsi="Arial"/>
          <w:color w:val="475569"/>
          <w:sz w:val="21"/>
          <w:szCs w:val="21"/>
        </w:rPr>
        <w:t xml:space="preserve">using the scope bar at the top of the screen. This filters the entire dashboard to that workspace’s applications.</w:t>
      </w:r>
    </w:p>
    <w:p>
      <w:pPr>
        <w:pStyle w:val="ListParagraph"/>
        <w:numPr>
          <w:ilvl w:val="0"/>
          <w:numId w:val="5"/>
        </w:numPr>
        <w:spacing w:after="40" w:before="40"/>
      </w:pPr>
      <w:r>
        <w:rPr>
          <w:rFonts w:ascii="Arial" w:cs="Arial" w:eastAsia="Arial" w:hAnsi="Arial"/>
          <w:b/>
          <w:bCs/>
          <w:color w:val="475569"/>
          <w:sz w:val="21"/>
          <w:szCs w:val="21"/>
        </w:rPr>
        <w:t xml:space="preserve">Explore the Overview dashboard </w:t>
      </w:r>
      <w:r>
        <w:rPr>
          <w:rFonts w:ascii="Arial" w:cs="Arial" w:eastAsia="Arial" w:hAnsi="Arial"/>
          <w:color w:val="475569"/>
          <w:sz w:val="21"/>
          <w:szCs w:val="21"/>
        </w:rPr>
        <w:t xml:space="preserve">— KPI cards, portfolio breakdown, and quick actions across all workspaces.</w:t>
      </w:r>
    </w:p>
    <w:p>
      <w:pPr>
        <w:pStyle w:val="ListParagraph"/>
        <w:numPr>
          <w:ilvl w:val="0"/>
          <w:numId w:val="5"/>
        </w:numPr>
        <w:spacing w:after="40" w:before="40"/>
      </w:pPr>
      <w:r>
        <w:rPr>
          <w:rFonts w:ascii="Arial" w:cs="Arial" w:eastAsia="Arial" w:hAnsi="Arial"/>
          <w:b/>
          <w:bCs/>
          <w:color w:val="475569"/>
          <w:sz w:val="21"/>
          <w:szCs w:val="21"/>
        </w:rPr>
        <w:t xml:space="preserve">Browse applications </w:t>
      </w:r>
      <w:r>
        <w:rPr>
          <w:rFonts w:ascii="Arial" w:cs="Arial" w:eastAsia="Arial" w:hAnsi="Arial"/>
          <w:color w:val="475569"/>
          <w:sz w:val="21"/>
          <w:szCs w:val="21"/>
        </w:rPr>
        <w:t xml:space="preserve">— click any application to see its detail view with deployment profiles, integrations, and assessment scores.</w:t>
      </w:r>
    </w:p>
    <w:p>
      <w:pPr>
        <w:pStyle w:val="ListParagraph"/>
        <w:numPr>
          <w:ilvl w:val="0"/>
          <w:numId w:val="5"/>
        </w:numPr>
        <w:spacing w:after="40" w:before="40"/>
      </w:pPr>
      <w:r>
        <w:rPr>
          <w:rFonts w:ascii="Arial" w:cs="Arial" w:eastAsia="Arial" w:hAnsi="Arial"/>
          <w:b/>
          <w:bCs/>
          <w:color w:val="475569"/>
          <w:sz w:val="21"/>
          <w:szCs w:val="21"/>
        </w:rPr>
        <w:t xml:space="preserve">Run a first assessment </w:t>
      </w:r>
      <w:r>
        <w:rPr>
          <w:rFonts w:ascii="Arial" w:cs="Arial" w:eastAsia="Arial" w:hAnsi="Arial"/>
          <w:color w:val="475569"/>
          <w:sz w:val="21"/>
          <w:szCs w:val="21"/>
        </w:rPr>
        <w:t xml:space="preserve">— score business factors and technical factors. The platform calculates TIME and PAID placement automatically.</w:t>
      </w:r>
    </w:p>
    <w:p>
      <w:pPr>
        <w:pStyle w:val="Heading2"/>
        <w:spacing w:after="160" w:before="280"/>
      </w:pPr>
      <w:r>
        <w:rPr>
          <w:rFonts w:ascii="Arial" w:cs="Arial" w:eastAsia="Arial" w:hAnsi="Arial"/>
          <w:b/>
          <w:bCs/>
          <w:color w:val="1A56DB"/>
          <w:sz w:val="28"/>
          <w:szCs w:val="28"/>
        </w:rPr>
        <w:t xml:space="preserve">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Tab</w:t>
            </w:r>
          </w:p>
        </w:tc>
        <w:tc>
          <w:tcPr>
            <w:tcW w:type="dxa" w:w="22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Scope</w:t>
            </w:r>
          </w:p>
        </w:tc>
        <w:tc>
          <w:tcPr>
            <w:tcW w:type="dxa" w:w="556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Purpose</w:t>
            </w:r>
          </w:p>
        </w:tc>
      </w:tr>
      <w:tr>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Overview</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Namespace-wide</w:t>
            </w:r>
          </w:p>
        </w:tc>
        <w:tc>
          <w:tcPr>
            <w:tcW w:type="dxa" w:w="55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Cross-workspace comparison. KPIs, assessment completion, TIME distribution, lifecycle risk.</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App Health</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Workspace + Portfolio</w:t>
            </w:r>
          </w:p>
        </w:tc>
        <w:tc>
          <w:tcPr>
            <w:tcW w:type="dxa" w:w="5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Primary working view. Bubble charts, KPI drill-ins, application table, assessment wizard.</w:t>
            </w:r>
          </w:p>
        </w:tc>
      </w:tr>
      <w:tr>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Tech Health</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Workspace or Namespace</w:t>
            </w:r>
          </w:p>
        </w:tc>
        <w:tc>
          <w:tcPr>
            <w:tcW w:type="dxa" w:w="55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Infrastructure risk dashboard. Lifecycle status, technology-to-application mapping.</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Roadmap</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Namespace-wide</w:t>
            </w:r>
          </w:p>
        </w:tc>
        <w:tc>
          <w:tcPr>
            <w:tcW w:type="dxa" w:w="5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Action planning. Scorecard, Initiatives (Grid/Gantt/Kanban), Ideas, Programs.</w:t>
            </w:r>
          </w:p>
        </w:tc>
      </w:tr>
    </w:tbl>
    <w:p>
      <w:pPr>
        <w:spacing w:after="0" w:before="100"/>
      </w:pPr>
    </w:p>
    <w:p>
      <w:pPr>
        <w:spacing w:after="80" w:before="80"/>
        <w:jc w:val="left"/>
      </w:pPr>
      <w:r>
        <w:rPr>
          <w:rFonts w:ascii="Arial" w:cs="Arial" w:eastAsia="Arial" w:hAnsi="Arial"/>
          <w:b w:val="false"/>
          <w:bCs w:val="false"/>
          <w:i w:val="false"/>
          <w:iCs w:val="false"/>
          <w:color w:val="475569"/>
          <w:sz w:val="21"/>
          <w:szCs w:val="21"/>
        </w:rPr>
        <w:t xml:space="preserve">A persistent scope bar sits below the tab bar on all tabs, providing workspace and portfolio pickers that filter all visible data. Global Search (Ctrl+K / Cmd+K) searches across 12 entity types: Applications, Deployment Profiles, Contacts, IT Services, Software Products, Technology Products, Portfolios, Initiatives, Findings, Ideas, Programs, and Integrations.</w:t>
      </w:r>
    </w:p>
    <w:p>
      <w:pPr>
        <w:pStyle w:val="Heading2"/>
        <w:spacing w:after="160" w:before="280"/>
      </w:pPr>
      <w:r>
        <w:rPr>
          <w:rFonts w:ascii="Arial" w:cs="Arial" w:eastAsia="Arial" w:hAnsi="Arial"/>
          <w:b/>
          <w:bCs/>
          <w:color w:val="1A56DB"/>
          <w:sz w:val="28"/>
          <w:szCs w:val="28"/>
        </w:rPr>
        <w:t xml:space="preserve">Application Detail</w:t>
      </w:r>
    </w:p>
    <w:p>
      <w:pPr>
        <w:spacing w:after="80" w:before="80"/>
        <w:jc w:val="left"/>
      </w:pPr>
      <w:r>
        <w:rPr>
          <w:rFonts w:ascii="Arial" w:cs="Arial" w:eastAsia="Arial" w:hAnsi="Arial"/>
          <w:b w:val="false"/>
          <w:bCs w:val="false"/>
          <w:i w:val="false"/>
          <w:iCs w:val="false"/>
          <w:color w:val="475569"/>
          <w:sz w:val="21"/>
          <w:szCs w:val="21"/>
        </w:rPr>
        <w:t xml:space="preserve">Clicking any application opens a full-page detail view with four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Tab</w:t>
            </w:r>
          </w:p>
        </w:tc>
        <w:tc>
          <w:tcPr>
            <w:tcW w:type="dxa" w:w="696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Content</w:t>
            </w:r>
          </w:p>
        </w:tc>
      </w:tr>
      <w:tr>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General</w:t>
            </w:r>
          </w:p>
        </w:tc>
        <w:tc>
          <w:tcPr>
            <w:tcW w:type="dxa" w:w="69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Application metadata, primary deployment profile, contacts and ownership, technology stack, cost summary.</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Deployments &amp; Costs</w:t>
            </w:r>
          </w:p>
        </w:tc>
        <w:tc>
          <w:tcPr>
            <w:tcW w:type="dxa" w:w="69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Multi-deployment management and dedicated cost breakdown across all cost channels.</w:t>
            </w:r>
          </w:p>
        </w:tc>
      </w:tr>
      <w:tr>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Integrations</w:t>
            </w:r>
          </w:p>
        </w:tc>
        <w:tc>
          <w:tcPr>
            <w:tcW w:type="dxa" w:w="69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Internal and external data connections with full property capture.</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Visual</w:t>
            </w:r>
          </w:p>
        </w:tc>
        <w:tc>
          <w:tcPr>
            <w:tcW w:type="dxa" w:w="69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Force-directed integration topology diagram with color-coded connections.</w:t>
            </w:r>
          </w:p>
        </w:tc>
      </w:tr>
    </w:tbl>
    <w:p>
      <w:r>
        <w:br w:type="page"/>
      </w:r>
    </w:p>
    <w:p>
      <w:pPr>
        <w:pStyle w:val="Heading1"/>
        <w:spacing w:after="200" w:before="360"/>
      </w:pPr>
      <w:r>
        <w:rPr>
          <w:rFonts w:ascii="Arial" w:cs="Arial" w:eastAsia="Arial" w:hAnsi="Arial"/>
          <w:b/>
          <w:bCs/>
          <w:color w:val="0F172A"/>
          <w:sz w:val="36"/>
          <w:szCs w:val="36"/>
        </w:rPr>
        <w:t xml:space="preserve">Deployment Profiles</w:t>
      </w:r>
    </w:p>
    <w:p>
      <w:pPr>
        <w:spacing w:after="80" w:before="80"/>
        <w:jc w:val="left"/>
      </w:pPr>
      <w:r>
        <w:rPr>
          <w:rFonts w:ascii="Arial" w:cs="Arial" w:eastAsia="Arial" w:hAnsi="Arial"/>
          <w:b w:val="false"/>
          <w:bCs w:val="false"/>
          <w:i w:val="false"/>
          <w:iCs w:val="false"/>
          <w:color w:val="475569"/>
          <w:sz w:val="21"/>
          <w:szCs w:val="21"/>
        </w:rPr>
        <w:t xml:space="preserve">Deployment profiles are central to how GetInSync makes CMDB data meaningful for business decisions. Traditional CMDBs track configuration items — servers, databases, instances — without connecting them to the business applications they support. Deployment profiles bridge this gap: they represent the physical or virtual reality of where an application runs, and they serve as the anchor point for both cost attribution and technical assessment.</w:t>
      </w:r>
    </w:p>
    <w:p>
      <w:pPr>
        <w:pStyle w:val="Heading2"/>
        <w:spacing w:after="160" w:before="280"/>
      </w:pPr>
      <w:r>
        <w:rPr>
          <w:rFonts w:ascii="Arial" w:cs="Arial" w:eastAsia="Arial" w:hAnsi="Arial"/>
          <w:b/>
          <w:bCs/>
          <w:color w:val="1A56DB"/>
          <w:sz w:val="28"/>
          <w:szCs w:val="28"/>
        </w:rPr>
        <w:t xml:space="preserve">Why Deployment Profiles Matter</w:t>
      </w:r>
    </w:p>
    <w:p>
      <w:pPr>
        <w:spacing w:after="80" w:before="80"/>
        <w:jc w:val="left"/>
      </w:pPr>
      <w:r>
        <w:rPr>
          <w:rFonts w:ascii="Arial" w:cs="Arial" w:eastAsia="Arial" w:hAnsi="Arial"/>
          <w:b w:val="false"/>
          <w:bCs w:val="false"/>
          <w:i w:val="false"/>
          <w:iCs w:val="false"/>
          <w:color w:val="475569"/>
          <w:sz w:val="21"/>
          <w:szCs w:val="21"/>
        </w:rPr>
        <w:t xml:space="preserve">Without deployment profiles, an organization would have one set of scores for “SAP.” But that does not reflect reality. A cloud-hosted SAP instance might be technically healthy, while a legacy on-premises deployment runs on an end-of-life operating system. Traditional CMDB tools and spreadsheets collapse this into a single row. GetInSync lets organizations assess each deployment independently, track costs per deployment, identify infrastructure risk by specific environment, and plan migrations by documenting target state alongside current state.</w:t>
      </w:r>
    </w:p>
    <w:p>
      <w:pPr>
        <w:pStyle w:val="Heading2"/>
        <w:spacing w:after="160" w:before="280"/>
      </w:pPr>
      <w:r>
        <w:rPr>
          <w:rFonts w:ascii="Arial" w:cs="Arial" w:eastAsia="Arial" w:hAnsi="Arial"/>
          <w:b/>
          <w:bCs/>
          <w:color w:val="1A56DB"/>
          <w:sz w:val="28"/>
          <w:szCs w:val="28"/>
        </w:rPr>
        <w:t xml:space="preserve">Profile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Property</w:t>
            </w:r>
          </w:p>
        </w:tc>
        <w:tc>
          <w:tcPr>
            <w:tcW w:type="dxa" w:w="696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Description</w:t>
            </w:r>
          </w:p>
        </w:tc>
      </w:tr>
      <w:tr>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Environment</w:t>
            </w:r>
          </w:p>
        </w:tc>
        <w:tc>
          <w:tcPr>
            <w:tcW w:type="dxa" w:w="69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Production, Disaster Recovery, Test, Development, or Staging</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Hosting Type</w:t>
            </w:r>
          </w:p>
        </w:tc>
        <w:tc>
          <w:tcPr>
            <w:tcW w:type="dxa" w:w="69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SaaS, Cloud (IaaS/PaaS), On-Premises, Hybrid, Third-Party Hosted, or Desktop</w:t>
            </w:r>
          </w:p>
        </w:tc>
      </w:tr>
      <w:tr>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Cloud Provider</w:t>
            </w:r>
          </w:p>
        </w:tc>
        <w:tc>
          <w:tcPr>
            <w:tcW w:type="dxa" w:w="69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AWS, Azure, GCP, Oracle Cloud, or other (if cloud-hosted)</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Region</w:t>
            </w:r>
          </w:p>
        </w:tc>
        <w:tc>
          <w:tcPr>
            <w:tcW w:type="dxa" w:w="69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The geographic region or data center where it runs</w:t>
            </w:r>
          </w:p>
        </w:tc>
      </w:tr>
      <w:tr>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Data Center</w:t>
            </w:r>
          </w:p>
        </w:tc>
        <w:tc>
          <w:tcPr>
            <w:tcW w:type="dxa" w:w="69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The organization’s specific data center (for on-premises or hybrid)</w:t>
            </w:r>
          </w:p>
        </w:tc>
      </w:tr>
    </w:tbl>
    <w:p>
      <w:pPr>
        <w:spacing w:after="0" w:before="100"/>
      </w:pPr>
    </w:p>
    <w:p>
      <w:pPr>
        <w:pStyle w:val="Heading3"/>
        <w:spacing w:after="120" w:before="200"/>
      </w:pPr>
      <w:r>
        <w:rPr>
          <w:rFonts w:ascii="Arial" w:cs="Arial" w:eastAsia="Arial" w:hAnsi="Arial"/>
          <w:b/>
          <w:bCs/>
          <w:color w:val="0F172A"/>
          <w:sz w:val="24"/>
          <w:szCs w:val="24"/>
        </w:rPr>
        <w:t xml:space="preserve">Primary vs. Additional Profiles</w:t>
      </w:r>
    </w:p>
    <w:p>
      <w:pPr>
        <w:spacing w:after="80" w:before="80"/>
        <w:jc w:val="left"/>
      </w:pPr>
      <w:r>
        <w:rPr>
          <w:rFonts w:ascii="Arial" w:cs="Arial" w:eastAsia="Arial" w:hAnsi="Arial"/>
          <w:b w:val="false"/>
          <w:bCs w:val="false"/>
          <w:i w:val="false"/>
          <w:iCs w:val="false"/>
          <w:color w:val="475569"/>
          <w:sz w:val="21"/>
          <w:szCs w:val="21"/>
        </w:rPr>
        <w:t xml:space="preserve">Every application has one primary deployment profile — the main production deployment that drives the default TIME and PAID quadrant scores. Additional profiles can be created for disaster recovery, staging, test environments, secondary regional deployments, or legacy instances being migrated away from. The primary profile’s technical scores appear on the App Health dashboard by default.</w:t>
      </w:r>
    </w:p>
    <w:p>
      <w:pPr>
        <w:pStyle w:val="Heading3"/>
        <w:spacing w:after="120" w:before="200"/>
      </w:pPr>
      <w:r>
        <w:rPr>
          <w:rFonts w:ascii="Arial" w:cs="Arial" w:eastAsia="Arial" w:hAnsi="Arial"/>
          <w:b/>
          <w:bCs/>
          <w:color w:val="0F172A"/>
          <w:sz w:val="24"/>
          <w:szCs w:val="24"/>
        </w:rPr>
        <w:t xml:space="preserve">Naming Convention</w:t>
      </w:r>
    </w:p>
    <w:p>
      <w:pPr>
        <w:spacing w:after="80" w:before="80"/>
        <w:jc w:val="left"/>
      </w:pPr>
      <w:r>
        <w:rPr>
          <w:rFonts w:ascii="Arial" w:cs="Arial" w:eastAsia="Arial" w:hAnsi="Arial"/>
          <w:b w:val="false"/>
          <w:bCs w:val="false"/>
          <w:i w:val="false"/>
          <w:iCs w:val="false"/>
          <w:color w:val="475569"/>
          <w:sz w:val="21"/>
          <w:szCs w:val="21"/>
        </w:rPr>
        <w:t xml:space="preserve">When an application has a single deployment, the profile name matches the application name with no suffix. When a second deployment is added, the first profile is automatically renamed to “{App Name} — Primary” and additional profiles are user-named (e.g., “DR,” “Test,” “Azure-PROD”). This keeps the dashboard clean for the common case while supporting complex multi-deployment scenarios.</w:t>
      </w:r>
    </w:p>
    <w:p>
      <w:r>
        <w:br w:type="page"/>
      </w:r>
    </w:p>
    <w:p>
      <w:pPr>
        <w:pStyle w:val="Heading1"/>
        <w:spacing w:after="200" w:before="360"/>
      </w:pPr>
      <w:r>
        <w:rPr>
          <w:rFonts w:ascii="Arial" w:cs="Arial" w:eastAsia="Arial" w:hAnsi="Arial"/>
          <w:b/>
          <w:bCs/>
          <w:color w:val="0F172A"/>
          <w:sz w:val="36"/>
          <w:szCs w:val="36"/>
        </w:rPr>
        <w:t xml:space="preserve">Pricing and Packaging</w:t>
      </w:r>
    </w:p>
    <w:p>
      <w:pPr>
        <w:spacing w:after="80" w:before="80"/>
        <w:jc w:val="left"/>
      </w:pPr>
      <w:r>
        <w:rPr>
          <w:rFonts w:ascii="Arial" w:cs="Arial" w:eastAsia="Arial" w:hAnsi="Arial"/>
          <w:b w:val="false"/>
          <w:bCs w:val="false"/>
          <w:i w:val="false"/>
          <w:iCs w:val="false"/>
          <w:color w:val="475569"/>
          <w:sz w:val="21"/>
          <w:szCs w:val="21"/>
        </w:rPr>
        <w:t xml:space="preserve">GetInSync uses a four-tier model with progressive feature disclosure. All tiers include the core portfolio assessment, TIME/PAID analysis, technology health tracking, and cost attribution. Higher tiers unlock advanced views, enterprise catalogs, and workflow capabilities.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400"/>
        <w:gridCol w:w="1200"/>
        <w:gridCol w:w="1560"/>
      </w:tblGrid>
      <w:tr>
        <w:tc>
          <w:tcPr>
            <w:tcW w:type="dxa" w:w="36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Capability</w:t>
            </w:r>
          </w:p>
        </w:tc>
        <w:tc>
          <w:tcPr>
            <w:tcW w:type="dxa" w:w="12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Trial</w:t>
            </w:r>
          </w:p>
        </w:tc>
        <w:tc>
          <w:tcPr>
            <w:tcW w:type="dxa" w:w="14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Essentials</w:t>
            </w:r>
          </w:p>
        </w:tc>
        <w:tc>
          <w:tcPr>
            <w:tcW w:type="dxa" w:w="12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Plus</w:t>
            </w:r>
          </w:p>
        </w:tc>
        <w:tc>
          <w:tcPr>
            <w:tcW w:type="dxa" w:w="156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Enterprise</w:t>
            </w:r>
          </w:p>
        </w:tc>
      </w:tr>
      <w:tr>
        <w:tc>
          <w:tcPr>
            <w:tcW w:type="dxa" w:w="36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Portfolio assessment + TIME/PAID</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5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Technology Health (Analysis, By App, By Tech)</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r>
      <w:tr>
        <w:tc>
          <w:tcPr>
            <w:tcW w:type="dxa" w:w="36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Technology Health — By Server</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5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Cost tracking (IT Services + Cost Bundles)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r>
      <w:tr>
        <w:tc>
          <w:tcPr>
            <w:tcW w:type="dxa" w:w="36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Roadmap — Initiatives (Grid)</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5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Roadmap — Scorecard &amp; Ideas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r>
      <w:tr>
        <w:tc>
          <w:tcPr>
            <w:tcW w:type="dxa" w:w="36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Roadmap — Gantt &amp; Kanban views</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5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Roadmap — Programs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r>
      <w:tr>
        <w:tc>
          <w:tcPr>
            <w:tcW w:type="dxa" w:w="36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Software / Technology / IT Service Catalogs</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5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Steward role (unlimited, free)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r>
      <w:tr>
        <w:tc>
          <w:tcPr>
            <w:tcW w:type="dxa" w:w="36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Workspace Groups (publish/subscribe)</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5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CSV Export (Initiatives)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1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r>
    </w:tbl>
    <w:p>
      <w:pPr>
        <w:spacing w:after="0" w:before="100"/>
      </w:pPr>
    </w:p>
    <w:p>
      <w:pPr>
        <w:spacing w:after="80" w:before="80"/>
        <w:jc w:val="left"/>
      </w:pPr>
      <w:r>
        <w:rPr>
          <w:rFonts w:ascii="Arial" w:cs="Arial" w:eastAsia="Arial" w:hAnsi="Arial"/>
          <w:b w:val="false"/>
          <w:bCs w:val="false"/>
          <w:i w:val="false"/>
          <w:iCs w:val="false"/>
          <w:color w:val="475569"/>
          <w:sz w:val="21"/>
          <w:szCs w:val="21"/>
        </w:rPr>
        <w:t xml:space="preserve">Tiers below Enterprise show locked placeholders with upgrade prompts for premium features. This creates natural expansion revenue as organizations mature their APM practice and need catalogs, programs, and cross-workspace sharing.</w:t>
      </w:r>
    </w:p>
    <w:p>
      <w:r>
        <w:br w:type="page"/>
      </w:r>
    </w:p>
    <w:p>
      <w:pPr>
        <w:pStyle w:val="Heading1"/>
        <w:spacing w:after="200" w:before="360"/>
      </w:pPr>
      <w:r>
        <w:rPr>
          <w:rFonts w:ascii="Arial" w:cs="Arial" w:eastAsia="Arial" w:hAnsi="Arial"/>
          <w:b/>
          <w:bCs/>
          <w:color w:val="0F172A"/>
          <w:sz w:val="36"/>
          <w:szCs w:val="36"/>
        </w:rPr>
        <w:t xml:space="preserve">Appendix A: ITSM Alignment and Data Model Mapping</w:t>
      </w:r>
    </w:p>
    <w:p>
      <w:pPr>
        <w:spacing w:after="80" w:before="80"/>
        <w:jc w:val="left"/>
      </w:pPr>
      <w:r>
        <w:rPr>
          <w:rFonts w:ascii="Arial" w:cs="Arial" w:eastAsia="Arial" w:hAnsi="Arial"/>
          <w:b w:val="false"/>
          <w:bCs w:val="false"/>
          <w:i w:val="false"/>
          <w:iCs w:val="false"/>
          <w:color w:val="475569"/>
          <w:sz w:val="21"/>
          <w:szCs w:val="21"/>
        </w:rPr>
        <w:t xml:space="preserve">GetInSync’s data model is designed so that every entity maps cleanly to standard ITSM structures. The primary alignment target is ServiceNow’s Common Service Data Model (CSDM), which has become the de facto standard across the ITSM industry. This alignment means that organizations using GetInSync are building CMDB-quality data from day one — whether or not they currently run ServiceNow.</w:t>
      </w:r>
    </w:p>
    <w:p>
      <w:pPr>
        <w:pStyle w:val="Heading2"/>
        <w:spacing w:after="160" w:before="280"/>
      </w:pPr>
      <w:r>
        <w:rPr>
          <w:rFonts w:ascii="Arial" w:cs="Arial" w:eastAsia="Arial" w:hAnsi="Arial"/>
          <w:b/>
          <w:bCs/>
          <w:color w:val="1A56DB"/>
          <w:sz w:val="28"/>
          <w:szCs w:val="28"/>
        </w:rPr>
        <w:t xml:space="preserve">Entity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GetInSync Entity</w:t>
            </w:r>
          </w:p>
        </w:tc>
        <w:tc>
          <w:tcPr>
            <w:tcW w:type="dxa" w:w="32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CSDM / ITSM Equivalent</w:t>
            </w:r>
          </w:p>
        </w:tc>
        <w:tc>
          <w:tcPr>
            <w:tcW w:type="dxa" w:w="376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Business Purpose</w:t>
            </w:r>
          </w:p>
        </w:tc>
      </w:tr>
      <w:tr>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Business Application</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cmdb_ci_business_app</w:t>
            </w:r>
          </w:p>
        </w:tc>
        <w:tc>
          <w:tcPr>
            <w:tcW w:type="dxa" w:w="37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The application as the business knows it — a capability, not a server</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Deployment Profile</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Application Service (cmdb_ci_service_auto)</w:t>
            </w:r>
          </w:p>
        </w:tc>
        <w:tc>
          <w:tcPr>
            <w:tcW w:type="dxa" w:w="3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Where and how the app runs. Cost and assessment anchor. GetInSync’s key differentiator.</w:t>
            </w:r>
          </w:p>
        </w:tc>
      </w:tr>
      <w:tr>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IT Service</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service_offering / Technical Service</w:t>
            </w:r>
          </w:p>
        </w:tc>
        <w:tc>
          <w:tcPr>
            <w:tcW w:type="dxa" w:w="37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Shared infrastructure with cost allocation visible to business stakeholders</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Software Product</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alm_product_model</w:t>
            </w:r>
          </w:p>
        </w:tc>
        <w:tc>
          <w:tcPr>
            <w:tcW w:type="dxa" w:w="3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Licensed/SaaS software inventory linked to deployments</w:t>
            </w:r>
          </w:p>
        </w:tc>
      </w:tr>
      <w:tr>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Contact</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cmdb_ci_contact</w:t>
            </w:r>
          </w:p>
        </w:tc>
        <w:tc>
          <w:tcPr>
            <w:tcW w:type="dxa" w:w="37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Business owners, technical owners, support contacts — the people who answer for this application</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Organization</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cmdb_ci_company</w:t>
            </w:r>
          </w:p>
        </w:tc>
        <w:tc>
          <w:tcPr>
            <w:tcW w:type="dxa" w:w="3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Vendors, partners, and internal departments in one directory</w:t>
            </w:r>
          </w:p>
        </w:tc>
      </w:tr>
    </w:tbl>
    <w:p>
      <w:pPr>
        <w:spacing w:after="0" w:before="100"/>
      </w:pPr>
    </w:p>
    <w:p>
      <w:pPr>
        <w:pStyle w:val="Heading2"/>
        <w:spacing w:after="160" w:before="280"/>
      </w:pPr>
      <w:r>
        <w:rPr>
          <w:rFonts w:ascii="Arial" w:cs="Arial" w:eastAsia="Arial" w:hAnsi="Arial"/>
          <w:b/>
          <w:bCs/>
          <w:color w:val="1A56DB"/>
          <w:sz w:val="28"/>
          <w:szCs w:val="28"/>
        </w:rPr>
        <w:t xml:space="preserve">Integration Strategy</w:t>
      </w:r>
    </w:p>
    <w:p>
      <w:pPr>
        <w:spacing w:after="80" w:before="80"/>
        <w:jc w:val="left"/>
      </w:pPr>
      <w:r>
        <w:rPr>
          <w:rFonts w:ascii="Arial" w:cs="Arial" w:eastAsia="Arial" w:hAnsi="Arial"/>
          <w:b w:val="false"/>
          <w:bCs w:val="false"/>
          <w:i w:val="false"/>
          <w:iCs w:val="false"/>
          <w:color w:val="475569"/>
          <w:sz w:val="21"/>
          <w:szCs w:val="21"/>
        </w:rPr>
        <w:t xml:space="preserve">GetInSync is designed as a permanent upstream curation layer, not a temporary migration tool. The integration pattern with ITSM platforms follows a subscribe-first approach: check for existing entities in the target platform before creating new ones. Data flows outbound from GetInSync to the ITSM system of record through standard mechanisms (API, Update Sets, Integration Hub).</w:t>
      </w:r>
    </w:p>
    <w:p>
      <w:pPr>
        <w:spacing w:after="80" w:before="80"/>
        <w:jc w:val="left"/>
      </w:pPr>
      <w:r>
        <w:rPr>
          <w:rFonts w:ascii="Arial" w:cs="Arial" w:eastAsia="Arial" w:hAnsi="Arial"/>
          <w:b w:val="false"/>
          <w:bCs w:val="false"/>
          <w:i w:val="false"/>
          <w:iCs w:val="false"/>
          <w:color w:val="475569"/>
          <w:sz w:val="21"/>
          <w:szCs w:val="21"/>
        </w:rPr>
        <w:t xml:space="preserve">The critical value proposition in this integration is metadata richness. GetInSync’s integration records capture direction, method, frequency, sensitivity, and classification — context that standard CMDB relationship tables cannot express. When published to an ITSM platform, this rich metadata provides business stakeholders with integration intelligence that was previously locked in tribal knowledge.</w:t>
      </w:r>
    </w:p>
    <w:p>
      <w:r>
        <w:br w:type="page"/>
      </w:r>
    </w:p>
    <w:p>
      <w:pPr>
        <w:pStyle w:val="Heading1"/>
        <w:spacing w:after="200" w:before="360"/>
      </w:pPr>
      <w:r>
        <w:rPr>
          <w:rFonts w:ascii="Arial" w:cs="Arial" w:eastAsia="Arial" w:hAnsi="Arial"/>
          <w:b/>
          <w:bCs/>
          <w:color w:val="0F172A"/>
          <w:sz w:val="36"/>
          <w:szCs w:val="36"/>
        </w:rPr>
        <w:t xml:space="preserve">Appendix B: Product Maturity Indicators</w:t>
      </w:r>
    </w:p>
    <w:p>
      <w:pPr>
        <w:spacing w:after="80" w:before="80"/>
        <w:jc w:val="left"/>
      </w:pPr>
      <w:r>
        <w:rPr>
          <w:rFonts w:ascii="Arial" w:cs="Arial" w:eastAsia="Arial" w:hAnsi="Arial"/>
          <w:b w:val="false"/>
          <w:bCs w:val="false"/>
          <w:i w:val="false"/>
          <w:iCs w:val="false"/>
          <w:color w:val="475569"/>
          <w:sz w:val="21"/>
          <w:szCs w:val="21"/>
        </w:rPr>
        <w:t xml:space="preserve">The following metrics provide a snapshot of the platform’s engineering maturity as of March 2026.</w:t>
      </w:r>
    </w:p>
    <w:p>
      <w:pPr>
        <w:pStyle w:val="Heading2"/>
        <w:spacing w:after="160" w:before="280"/>
      </w:pPr>
      <w:r>
        <w:rPr>
          <w:rFonts w:ascii="Arial" w:cs="Arial" w:eastAsia="Arial" w:hAnsi="Arial"/>
          <w:b/>
          <w:bCs/>
          <w:color w:val="1A56DB"/>
          <w:sz w:val="28"/>
          <w:szCs w:val="28"/>
        </w:rPr>
        <w:t xml:space="preserve">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Metric</w:t>
            </w:r>
          </w:p>
        </w:tc>
        <w:tc>
          <w:tcPr>
            <w:tcW w:type="dxa" w:w="536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Value</w:t>
            </w:r>
          </w:p>
        </w:tc>
      </w:tr>
      <w:tr>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Tables</w:t>
            </w:r>
          </w:p>
        </w:tc>
        <w:tc>
          <w:tcPr>
            <w:tcW w:type="dxa" w:w="53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92</w:t>
            </w:r>
          </w:p>
        </w:tc>
      </w:tr>
      <w:tr>
        <w:tc>
          <w:tcPr>
            <w:tcW w:type="dxa" w:w="4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Row-Level Security policies</w:t>
            </w:r>
          </w:p>
        </w:tc>
        <w:tc>
          <w:tcPr>
            <w:tcW w:type="dxa" w:w="5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357</w:t>
            </w:r>
          </w:p>
        </w:tc>
      </w:tr>
      <w:tr>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Audit triggers</w:t>
            </w:r>
          </w:p>
        </w:tc>
        <w:tc>
          <w:tcPr>
            <w:tcW w:type="dxa" w:w="53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50</w:t>
            </w:r>
          </w:p>
        </w:tc>
      </w:tr>
      <w:tr>
        <w:tc>
          <w:tcPr>
            <w:tcW w:type="dxa" w:w="4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Views</w:t>
            </w:r>
          </w:p>
        </w:tc>
        <w:tc>
          <w:tcPr>
            <w:tcW w:type="dxa" w:w="5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31 (all security_invoker=true)</w:t>
            </w:r>
          </w:p>
        </w:tc>
      </w:tr>
      <w:tr>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Functions</w:t>
            </w:r>
          </w:p>
        </w:tc>
        <w:tc>
          <w:tcPr>
            <w:tcW w:type="dxa" w:w="53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55</w:t>
            </w:r>
          </w:p>
        </w:tc>
      </w:tr>
      <w:tr>
        <w:tc>
          <w:tcPr>
            <w:tcW w:type="dxa" w:w="4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Explicit GRANTs</w:t>
            </w:r>
          </w:p>
        </w:tc>
        <w:tc>
          <w:tcPr>
            <w:tcW w:type="dxa" w:w="5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All tables + all views for authenticated and service_role</w:t>
            </w:r>
          </w:p>
        </w:tc>
      </w:tr>
    </w:tbl>
    <w:p>
      <w:pPr>
        <w:spacing w:after="0" w:before="100"/>
      </w:pPr>
    </w:p>
    <w:p>
      <w:pPr>
        <w:pStyle w:val="Heading2"/>
        <w:spacing w:after="160" w:before="280"/>
      </w:pPr>
      <w:r>
        <w:rPr>
          <w:rFonts w:ascii="Arial" w:cs="Arial" w:eastAsia="Arial" w:hAnsi="Arial"/>
          <w:b/>
          <w:bCs/>
          <w:color w:val="1A56DB"/>
          <w:sz w:val="28"/>
          <w:szCs w:val="28"/>
        </w:rPr>
        <w:t xml:space="preserve">Test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Suite</w:t>
            </w:r>
          </w:p>
        </w:tc>
        <w:tc>
          <w:tcPr>
            <w:tcW w:type="dxa" w:w="18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Assertions</w:t>
            </w:r>
          </w:p>
        </w:tc>
        <w:tc>
          <w:tcPr>
            <w:tcW w:type="dxa" w:w="456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Scope</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pgTAP security regression</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391+</w:t>
            </w:r>
          </w:p>
        </w:tc>
        <w:tc>
          <w:tcPr>
            <w:tcW w:type="dxa" w:w="45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RLS policies, GRANTs, audit triggers, view security, sentinel drift checks</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Standalone security validator</w:t>
            </w:r>
          </w:p>
        </w:tc>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w:t>
            </w:r>
          </w:p>
        </w:tc>
        <w:tc>
          <w:tcPr>
            <w:tcW w:type="dxa" w:w="4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Paste-and-run in Supabase SQL Editor, no extensions required</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Data quality validation</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14 checks</w:t>
            </w:r>
          </w:p>
        </w:tc>
        <w:tc>
          <w:tcPr>
            <w:tcW w:type="dxa" w:w="45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Enum casing, naming conventions, placeholder detection, role consistency</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Vitest unit tests</w:t>
            </w:r>
          </w:p>
        </w:tc>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55</w:t>
            </w:r>
          </w:p>
        </w:tc>
        <w:tc>
          <w:tcPr>
            <w:tcW w:type="dxa" w:w="4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Frontend component and utility tests</w:t>
            </w:r>
          </w:p>
        </w:tc>
      </w:tr>
    </w:tbl>
    <w:p>
      <w:pPr>
        <w:spacing w:after="0" w:before="100"/>
      </w:pPr>
    </w:p>
    <w:p>
      <w:pPr>
        <w:pStyle w:val="Heading2"/>
        <w:spacing w:after="160" w:before="280"/>
      </w:pPr>
      <w:r>
        <w:rPr>
          <w:rFonts w:ascii="Arial" w:cs="Arial" w:eastAsia="Arial" w:hAnsi="Arial"/>
          <w:b/>
          <w:bCs/>
          <w:color w:val="1A56DB"/>
          <w:sz w:val="28"/>
          <w:szCs w:val="28"/>
        </w:rPr>
        <w:t xml:space="preserve">Architecture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Metric</w:t>
            </w:r>
          </w:p>
        </w:tc>
        <w:tc>
          <w:tcPr>
            <w:tcW w:type="dxa" w:w="536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Value</w:t>
            </w:r>
          </w:p>
        </w:tc>
      </w:tr>
      <w:tr>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Architecture documents</w:t>
            </w:r>
          </w:p>
        </w:tc>
        <w:tc>
          <w:tcPr>
            <w:tcW w:type="dxa" w:w="53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93</w:t>
            </w:r>
          </w:p>
        </w:tc>
      </w:tr>
      <w:tr>
        <w:tc>
          <w:tcPr>
            <w:tcW w:type="dxa" w:w="4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Architecture principles</w:t>
            </w:r>
          </w:p>
        </w:tc>
        <w:tc>
          <w:tcPr>
            <w:tcW w:type="dxa" w:w="5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15</w:t>
            </w:r>
          </w:p>
        </w:tc>
      </w:tr>
      <w:tr>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Document statuses tracked</w:t>
            </w:r>
          </w:p>
        </w:tc>
        <w:tc>
          <w:tcPr>
            <w:tcW w:type="dxa" w:w="53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Deployed (🟢), As-Designed (🟡), Stale (🟠), Reference (☽)</w:t>
            </w:r>
          </w:p>
        </w:tc>
      </w:tr>
      <w:tr>
        <w:tc>
          <w:tcPr>
            <w:tcW w:type="dxa" w:w="4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SOC 2 evidence index</w:t>
            </w:r>
          </w:p>
        </w:tc>
        <w:tc>
          <w:tcPr>
            <w:tcW w:type="dxa" w:w="5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Maintained with version tracking and mandatory change logging</w:t>
            </w:r>
          </w:p>
        </w:tc>
      </w:tr>
      <w:tr>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Session-end checklist</w:t>
            </w:r>
          </w:p>
        </w:tc>
        <w:tc>
          <w:tcPr>
            <w:tcW w:type="dxa" w:w="53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11 sections, dispatches to 6 validation skills</w:t>
            </w:r>
          </w:p>
        </w:tc>
      </w:tr>
    </w:tbl>
    <w:p>
      <w:pPr>
        <w:spacing w:after="0" w:before="100"/>
      </w:pPr>
    </w:p>
    <w:p>
      <w:pPr>
        <w:pStyle w:val="Heading2"/>
        <w:spacing w:after="160" w:before="280"/>
      </w:pPr>
      <w:r>
        <w:rPr>
          <w:rFonts w:ascii="Arial" w:cs="Arial" w:eastAsia="Arial" w:hAnsi="Arial"/>
          <w:b/>
          <w:bCs/>
          <w:color w:val="1A56DB"/>
          <w:sz w:val="28"/>
          <w:szCs w:val="28"/>
        </w:rPr>
        <w:t xml:space="preserve">Customer 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Metric</w:t>
            </w:r>
          </w:p>
        </w:tc>
        <w:tc>
          <w:tcPr>
            <w:tcW w:type="dxa" w:w="536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Value</w:t>
            </w:r>
          </w:p>
        </w:tc>
      </w:tr>
      <w:tr>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Active namespaces</w:t>
            </w:r>
          </w:p>
        </w:tc>
        <w:tc>
          <w:tcPr>
            <w:tcW w:type="dxa" w:w="53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17</w:t>
            </w:r>
          </w:p>
        </w:tc>
      </w:tr>
      <w:tr>
        <w:tc>
          <w:tcPr>
            <w:tcW w:type="dxa" w:w="4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Existing customer</w:t>
            </w:r>
          </w:p>
        </w:tc>
        <w:tc>
          <w:tcPr>
            <w:tcW w:type="dxa" w:w="5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City of Garland, TX (~$50K/year, 363 apps, 7,646 assessments)</w:t>
            </w:r>
          </w:p>
        </w:tc>
      </w:tr>
      <w:tr>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Demo namespace</w:t>
            </w:r>
          </w:p>
        </w:tc>
        <w:tc>
          <w:tcPr>
            <w:tcW w:type="dxa" w:w="53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City of Riverside (56 apps, full seed data across all features)</w:t>
            </w:r>
          </w:p>
        </w:tc>
      </w:tr>
      <w:tr>
        <w:tc>
          <w:tcPr>
            <w:tcW w:type="dxa" w:w="4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Data residency regions</w:t>
            </w:r>
          </w:p>
        </w:tc>
        <w:tc>
          <w:tcPr>
            <w:tcW w:type="dxa" w:w="5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Canada (live), US and EU (on-demand)</w:t>
            </w:r>
          </w:p>
        </w:tc>
      </w:tr>
    </w:tbl>
    <w:p>
      <w:pPr>
        <w:spacing w:after="0" w:before="100"/>
      </w:pPr>
    </w:p>
    <w:p>
      <w:pPr>
        <w:pStyle w:val="Heading2"/>
        <w:spacing w:after="160" w:before="280"/>
      </w:pPr>
      <w:r>
        <w:rPr>
          <w:rFonts w:ascii="Arial" w:cs="Arial" w:eastAsia="Arial" w:hAnsi="Arial"/>
          <w:b/>
          <w:bCs/>
          <w:color w:val="1A56DB"/>
          <w:sz w:val="28"/>
          <w:szCs w:val="28"/>
        </w:rPr>
        <w:t xml:space="preserve">Compliance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Item</w:t>
            </w:r>
          </w:p>
        </w:tc>
        <w:tc>
          <w:tcPr>
            <w:tcW w:type="dxa" w:w="5360"/>
            <w:tcBorders>
              <w:top w:val="single" w:color="CBD5E1" w:sz="1"/>
              <w:left w:val="single" w:color="CBD5E1" w:sz="1"/>
              <w:bottom w:val="single" w:color="CBD5E1" w:sz="1"/>
              <w:right w:val="single" w:color="CBD5E1" w:sz="1"/>
            </w:tcBorders>
            <w:shd w:fill="1E3A5F"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Status</w:t>
            </w:r>
          </w:p>
        </w:tc>
      </w:tr>
      <w:tr>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Audit logging</w:t>
            </w:r>
          </w:p>
        </w:tc>
        <w:tc>
          <w:tcPr>
            <w:tcW w:type="dxa" w:w="53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Deployed — 50 triggers across all critical tables</w:t>
            </w:r>
          </w:p>
        </w:tc>
      </w:tr>
      <w:tr>
        <w:tc>
          <w:tcPr>
            <w:tcW w:type="dxa" w:w="4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RLS data isolation</w:t>
            </w:r>
          </w:p>
        </w:tc>
        <w:tc>
          <w:tcPr>
            <w:tcW w:type="dxa" w:w="5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Deployed — 357 policies, 4-policy pattern on every table</w:t>
            </w:r>
          </w:p>
        </w:tc>
      </w:tr>
      <w:tr>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SOC 2 policy documentation</w:t>
            </w:r>
          </w:p>
        </w:tc>
        <w:tc>
          <w:tcPr>
            <w:tcW w:type="dxa" w:w="53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In progress — 8 policies assigned, 0 of 8 complete</w:t>
            </w:r>
          </w:p>
        </w:tc>
      </w:tr>
      <w:tr>
        <w:tc>
          <w:tcPr>
            <w:tcW w:type="dxa" w:w="4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Google OAuth</w:t>
            </w:r>
          </w:p>
        </w:tc>
        <w:tc>
          <w:tcPr>
            <w:tcW w:type="dxa" w:w="5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Live and verified</w:t>
            </w:r>
          </w:p>
        </w:tc>
      </w:tr>
      <w:tr>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Microsoft OAuth</w:t>
            </w:r>
          </w:p>
        </w:tc>
        <w:tc>
          <w:tcPr>
            <w:tcW w:type="dxa" w:w="53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Functional, publisher verification pending (MPN 7080102)</w:t>
            </w:r>
          </w:p>
        </w:tc>
      </w:tr>
      <w:tr>
        <w:tc>
          <w:tcPr>
            <w:tcW w:type="dxa" w:w="4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Legal entity spinout</w:t>
            </w:r>
          </w:p>
        </w:tc>
        <w:tc>
          <w:tcPr>
            <w:tcW w:type="dxa" w:w="5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spacing w:after="0" w:before="0"/>
            </w:pPr>
            <w:r>
              <w:rPr>
                <w:rFonts w:ascii="Arial" w:cs="Arial" w:eastAsia="Arial" w:hAnsi="Arial"/>
                <w:color w:val="475569"/>
                <w:sz w:val="18"/>
                <w:szCs w:val="18"/>
              </w:rPr>
              <w:t xml:space="preserve">In progress (Allstar Technologies Canada Limited)</w:t>
            </w:r>
          </w:p>
        </w:tc>
      </w:tr>
    </w:tbl>
    <w:p>
      <w:pPr>
        <w:spacing w:after="0" w:before="200"/>
      </w:pPr>
    </w:p>
    <w:p>
      <w:pPr>
        <w:pBdr>
          <w:top w:val="single" w:color="CBD5E1" w:sz="1" w:space="12"/>
        </w:pBdr>
        <w:spacing w:before="400"/>
        <w:jc w:val="center"/>
      </w:pPr>
      <w:r>
        <w:rPr>
          <w:rFonts w:ascii="Arial" w:cs="Arial" w:eastAsia="Arial" w:hAnsi="Arial"/>
          <w:i/>
          <w:iCs/>
          <w:color w:val="94A3B8"/>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space="4"/>
      </w:pBdr>
      <w:tabs>
        <w:tab w:val="right" w:pos="9026"/>
      </w:tabs>
      <w:spacing w:before="0"/>
    </w:pPr>
    <w:r>
      <w:rPr>
        <w:rFonts w:ascii="Arial" w:cs="Arial" w:eastAsia="Arial" w:hAnsi="Arial"/>
        <w:color w:val="94A3B8"/>
        <w:sz w:val="14"/>
        <w:szCs w:val="14"/>
      </w:rPr>
      <w:t xml:space="preserve">Confidential — Allstar Technologies Canada Limited</w:t>
    </w:r>
    <w:r>
      <w:t xml:space="preserve">	</w:t>
    </w:r>
    <w:r>
      <w:rPr>
        <w:rFonts w:ascii="Arial" w:cs="Arial" w:eastAsia="Arial" w:hAnsi="Arial"/>
        <w:color w:val="94A3B8"/>
        <w:sz w:val="14"/>
        <w:szCs w:val="14"/>
      </w:rPr>
      <w:t xml:space="preserve">Page </w:t>
    </w:r>
    <w:r>
      <w:rPr>
        <w:rFonts w:ascii="Arial" w:cs="Arial" w:eastAsia="Arial" w:hAnsi="Arial"/>
        <w:color w:val="94A3B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tabs>
        <w:tab w:val="right" w:pos="9026"/>
      </w:tabs>
      <w:spacing w:after="0"/>
    </w:pPr>
    <w:r>
      <w:rPr>
        <w:rFonts w:ascii="Arial" w:cs="Arial" w:eastAsia="Arial" w:hAnsi="Arial"/>
        <w:b/>
        <w:bCs/>
        <w:color w:val="1A56DB"/>
        <w:sz w:val="16"/>
        <w:szCs w:val="16"/>
      </w:rPr>
      <w:t xml:space="preserve">GetInSync NextGen</w:t>
    </w:r>
    <w:r>
      <w:t xml:space="preserve">	</w:t>
    </w:r>
    <w:r>
      <w:rPr>
        <w:rFonts w:ascii="Arial" w:cs="Arial" w:eastAsia="Arial" w:hAnsi="Arial"/>
        <w:color w:val="94A3B8"/>
        <w:sz w:val="16"/>
        <w:szCs w:val="16"/>
      </w:rPr>
      <w:t xml:space="preserve">Product &amp; Technology Overview — Making the CMDB Work for the Business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56D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2026-03-11T14:27:32.664Z</dcterms:created>
  <dcterms:modified xsi:type="dcterms:W3CDTF">2026-03-11T14:27:32.665Z</dcterms:modified>
</cp:coreProperties>
</file>

<file path=docProps/custom.xml><?xml version="1.0" encoding="utf-8"?>
<Properties xmlns="http://schemas.openxmlformats.org/officeDocument/2006/custom-properties" xmlns:vt="http://schemas.openxmlformats.org/officeDocument/2006/docPropsVTypes"/>
</file>