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GetInSync NextGen — Cost Model Primer</w:t>
      </w:r>
    </w:p>
    <w:p>
      <w:pPr>
        <w:pStyle w:val="Subtitle"/>
      </w:pPr>
      <w:r>
        <w:t xml:space="preserve">How costs are recorded, calculated, and displayed</w:t>
      </w:r>
    </w:p>
    <w:p>
      <w:pPr>
        <w:pStyle w:val="Author"/>
      </w:pPr>
      <w:r>
        <w:t xml:space="preserve">GetInSync Architecture Team</w:t>
      </w:r>
    </w:p>
    <w:p>
      <w:pPr>
        <w:pStyle w:val="Date"/>
      </w:pPr>
      <w:r>
        <w:t xml:space="preserve">March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big-idea"/>
    <w:p>
      <w:pPr>
        <w:pStyle w:val="Heading1"/>
      </w:pPr>
      <w:r>
        <w:t xml:space="preserve">1. The Big Idea</w:t>
      </w:r>
    </w:p>
    <w:p>
      <w:pPr>
        <w:pStyle w:val="FirstParagraph"/>
      </w:pPr>
      <w:r>
        <w:rPr>
          <w:b/>
          <w:bCs/>
        </w:rPr>
        <w:t xml:space="preserve">“Every dollar needs a home and an owner.”</w:t>
      </w:r>
    </w:p>
    <w:p>
      <w:pPr>
        <w:pStyle w:val="BodyText"/>
      </w:pPr>
      <w:r>
        <w:t xml:space="preserve">GetInSync tracks the cost of running your application portfolio. Instead of dumping a single dollar figure on an application and hoping someone remembers where it came from, costs flow through three defined</w:t>
      </w:r>
      <w: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— each tied to a specific source.</w:t>
      </w:r>
    </w:p>
    <w:bookmarkStart w:id="9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rPr>
          <w:b/>
          <w:bCs/>
        </w:rPr>
        <w:t xml:space="preserve">DeploymentProfile is the cost rollup point, not the Application.</w:t>
      </w:r>
      <w:r>
        <w:t xml:space="preserve"> </w:t>
      </w:r>
      <w:r>
        <w:t xml:space="preserve">A DeploymentProfile (DP) represents a deployed instance of an application — typically one per environment (PROD, DEV, TEST). Costs attach to DPs because different environments may have different licensing, infrastructure, and support costs.</w:t>
      </w:r>
    </w:p>
    <w:p>
      <w:pPr>
        <w:pStyle w:val="BodyText"/>
      </w:pPr>
      <w:r>
        <w:rPr>
          <w:b/>
          <w:bCs/>
        </w:rPr>
        <w:t xml:space="preserve">Application is a reporting aggregate.</w:t>
      </w:r>
      <w:r>
        <w:t xml:space="preserve"> </w:t>
      </w:r>
      <w:r>
        <w:t xml:space="preserve">An application’s total cost is simply the sum of costs across all its DPs. The application itself stores no cost data directly.</w:t>
      </w:r>
    </w:p>
    <w:p>
      <w:pPr>
        <w:pStyle w:val="BodyText"/>
      </w:pPr>
      <w:r>
        <w:rPr>
          <w:b/>
          <w:bCs/>
        </w:rPr>
        <w:t xml:space="preserve">Three channels, no exceptions.</w:t>
      </w:r>
      <w:r>
        <w:t xml:space="preserve"> </w:t>
      </w:r>
      <w:r>
        <w:t xml:space="preserve">Every cost enters the system through exactly one of three channels: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321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  <w:tc>
          <w:tcPr/>
          <w:p>
            <w:pPr>
              <w:pStyle w:val="Compact"/>
            </w:pPr>
            <w:r>
              <w:t xml:space="preserve">Source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Products</w:t>
            </w:r>
          </w:p>
        </w:tc>
        <w:tc>
          <w:tcPr/>
          <w:p>
            <w:pPr>
              <w:pStyle w:val="Compact"/>
            </w:pPr>
            <w:r>
              <w:t xml:space="preserve">Licensing, subscriptions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deployment_profile_software_products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Services</w:t>
            </w:r>
          </w:p>
        </w:tc>
        <w:tc>
          <w:tcPr/>
          <w:p>
            <w:pPr>
              <w:pStyle w:val="Compact"/>
            </w:pPr>
            <w:r>
              <w:t xml:space="preserve">Shared infrastructure allocations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deployment_profile_it_services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Bundles</w:t>
            </w:r>
          </w:p>
        </w:tc>
        <w:tc>
          <w:tcPr/>
          <w:p>
            <w:pPr>
              <w:pStyle w:val="Compact"/>
            </w:pPr>
            <w:r>
              <w:t xml:space="preserve">Everything else (consulting, MSP, support,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deployment_profiles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dp_type = 'cost_bundle'</w:t>
            </w:r>
          </w:p>
        </w:tc>
      </w:tr>
    </w:tbl>
    <w:p>
      <w:pPr>
        <w:pStyle w:val="BodyText"/>
      </w:pPr>
      <w:r>
        <w:t xml:space="preserve">If a cost doesn’t fit any channel, it goes in a Cost Bundle. No cost lives directly on an application or a standard deployment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8" w:name="the-three-cost-channels"/>
    <w:p>
      <w:pPr>
        <w:pStyle w:val="Heading1"/>
      </w:pPr>
      <w:r>
        <w:t xml:space="preserve">2. The Three Cost Channels</w:t>
      </w:r>
    </w:p>
    <w:bookmarkStart w:id="15" w:name="channel-1-software-products"/>
    <w:p>
      <w:pPr>
        <w:pStyle w:val="Heading2"/>
      </w:pPr>
      <w:r>
        <w:t xml:space="preserve">2.1 Channel 1: Software Products</w:t>
      </w:r>
    </w:p>
    <w:p>
      <w:pPr>
        <w:pStyle w:val="FirstParagraph"/>
      </w:pPr>
      <w:r>
        <w:t xml:space="preserve">Software Product costs represent licensing and subscription fees — the money you pay for the right to use a piece of software.</w:t>
      </w:r>
    </w:p>
    <w:bookmarkStart w:id="11" w:name="where-the-data-lives"/>
    <w:p>
      <w:pPr>
        <w:pStyle w:val="Heading3"/>
      </w:pPr>
      <w:r>
        <w:t xml:space="preserve">Where the data lives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 price:</w:t>
      </w:r>
      <w:r>
        <w:t xml:space="preserve"> </w:t>
      </w:r>
      <w:r>
        <w:rPr>
          <w:rStyle w:val="VerbatimChar"/>
        </w:rPr>
        <w:t xml:space="preserve">software_products.annual_cost</w:t>
      </w:r>
      <w:r>
        <w:t xml:space="preserve"> </w:t>
      </w:r>
      <w:r>
        <w:t xml:space="preserve">— the list price for the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Per-deployment cost:</w:t>
      </w:r>
      <w:r>
        <w:t xml:space="preserve"> </w:t>
      </w:r>
      <w:r>
        <w:rPr>
          <w:rStyle w:val="VerbatimChar"/>
        </w:rPr>
        <w:t xml:space="preserve">deployment_profile_software_products.annual_cost</w:t>
      </w:r>
      <w:r>
        <w:t xml:space="preserve"> </w:t>
      </w:r>
      <w:r>
        <w:t xml:space="preserve">— an optional override. If your Ministry negotiated a special rate, this is where that goes.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price wins:</w:t>
      </w:r>
      <w:r>
        <w:t xml:space="preserve"> </w:t>
      </w:r>
      <w:r>
        <w:t xml:space="preserve">The system uses</w:t>
      </w:r>
      <w:r>
        <w:t xml:space="preserve"> </w:t>
      </w:r>
      <w:r>
        <w:rPr>
          <w:rStyle w:val="VerbatimChar"/>
        </w:rPr>
        <w:t xml:space="preserve">COALESCE(junction.annual_cost, catalog.annual_cost)</w:t>
      </w:r>
      <w:r>
        <w:t xml:space="preserve"> </w:t>
      </w:r>
      <w:r>
        <w:t xml:space="preserve">— the per-deployment override wins if set; otherwise, the catalog price applies.</w:t>
      </w:r>
    </w:p>
    <w:bookmarkEnd w:id="11"/>
    <w:bookmarkStart w:id="12" w:name="how-to-enter-it"/>
    <w:p>
      <w:pPr>
        <w:pStyle w:val="Heading3"/>
      </w:pPr>
      <w:r>
        <w:t xml:space="preserve">How to enter it</w:t>
      </w:r>
    </w:p>
    <w:p>
      <w:pPr>
        <w:pStyle w:val="Compact"/>
        <w:numPr>
          <w:ilvl w:val="0"/>
          <w:numId w:val="1002"/>
        </w:numPr>
      </w:pPr>
      <w:r>
        <w:t xml:space="preserve">Open an application and go to the</w:t>
      </w:r>
      <w:r>
        <w:t xml:space="preserve"> </w:t>
      </w:r>
      <w:r>
        <w:rPr>
          <w:b/>
          <w:bCs/>
        </w:rPr>
        <w:t xml:space="preserve">Deployments &amp; Costs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2"/>
        </w:numPr>
      </w:pPr>
      <w:r>
        <w:t xml:space="preserve">Expand a Deployment Profile.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Link Software Product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Select the product from the catalog.</w:t>
      </w:r>
    </w:p>
    <w:p>
      <w:pPr>
        <w:pStyle w:val="Compact"/>
        <w:numPr>
          <w:ilvl w:val="0"/>
          <w:numId w:val="1002"/>
        </w:numPr>
      </w:pPr>
      <w:r>
        <w:t xml:space="preserve">Optionally enter an</w:t>
      </w:r>
      <w:r>
        <w:t xml:space="preserve"> </w:t>
      </w:r>
      <w:r>
        <w:rPr>
          <w:b/>
          <w:bCs/>
        </w:rPr>
        <w:t xml:space="preserve">Annual Cost</w:t>
      </w:r>
      <w:r>
        <w:t xml:space="preserve"> </w:t>
      </w:r>
      <w:r>
        <w:t xml:space="preserve">override (the catalog price is shown as placeholder).</w:t>
      </w:r>
    </w:p>
    <w:p>
      <w:pPr>
        <w:pStyle w:val="Compact"/>
        <w:numPr>
          <w:ilvl w:val="0"/>
          <w:numId w:val="1002"/>
        </w:numPr>
      </w:pPr>
      <w:r>
        <w:t xml:space="preserve">Optionally enter vendor, contract reference, contract dates, and renewal notice period.</w:t>
      </w:r>
    </w:p>
    <w:p>
      <w:pPr>
        <w:pStyle w:val="Compact"/>
        <w:numPr>
          <w:ilvl w:val="0"/>
          <w:numId w:val="1002"/>
        </w:numPr>
      </w:pPr>
      <w:r>
        <w:t xml:space="preserve">Save.</w:t>
      </w:r>
    </w:p>
    <w:bookmarkEnd w:id="12"/>
    <w:bookmarkStart w:id="13" w:name="what-else-is-captured"/>
    <w:p>
      <w:pPr>
        <w:pStyle w:val="Heading3"/>
      </w:pPr>
      <w:r>
        <w:t xml:space="preserve">What else is captured</w:t>
      </w:r>
    </w:p>
    <w:p>
      <w:pPr>
        <w:pStyle w:val="FirstParagraph"/>
      </w:pPr>
      <w:r>
        <w:t xml:space="preserve">The software product junction also tracks: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vendor_org_id</w:t>
            </w:r>
          </w:p>
        </w:tc>
        <w:tc>
          <w:tcPr/>
          <w:p>
            <w:pPr>
              <w:pStyle w:val="Compact"/>
            </w:pPr>
            <w:r>
              <w:t xml:space="preserve">Who you pay (reseller/vendor — different from manufacturer)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PO number, agreement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contract_start_date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contract_end_date</w:t>
            </w:r>
          </w:p>
        </w:tc>
        <w:tc>
          <w:tcPr/>
          <w:p>
            <w:pPr>
              <w:pStyle w:val="Compact"/>
            </w:pPr>
            <w:r>
              <w:t xml:space="preserve">Contract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renewal_notice_days</w:t>
            </w:r>
          </w:p>
        </w:tc>
        <w:tc>
          <w:tcPr/>
          <w:p>
            <w:pPr>
              <w:pStyle w:val="Compact"/>
            </w:pPr>
            <w:r>
              <w:t xml:space="preserve">Days before expiry to trigger a renewal alert (default: 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cost_confidence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t xml:space="preserve">— flags data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Number of seats/licenses (reference only, not used in calculations)</w:t>
            </w:r>
          </w:p>
        </w:tc>
      </w:tr>
    </w:tbl>
    <w:bookmarkEnd w:id="13"/>
    <w:bookmarkStart w:id="14" w:name="example"/>
    <w:p>
      <w:pPr>
        <w:pStyle w:val="Heading3"/>
      </w:pPr>
      <w:r>
        <w:t xml:space="preserve">Example</w:t>
      </w:r>
    </w:p>
    <w:p>
      <w:pPr>
        <w:pStyle w:val="BlockText"/>
      </w:pPr>
      <w:r>
        <w:rPr>
          <w:b/>
          <w:bCs/>
        </w:rPr>
        <w:t xml:space="preserve">Sage 300 GL — PROD</w:t>
      </w:r>
    </w:p>
    <w:p>
      <w:pPr>
        <w:pStyle w:val="Compact"/>
        <w:numPr>
          <w:ilvl w:val="0"/>
          <w:numId w:val="1003"/>
        </w:numPr>
      </w:pPr>
      <w:r>
        <w:t xml:space="preserve">Catalog price: $12,000/year</w:t>
      </w:r>
    </w:p>
    <w:p>
      <w:pPr>
        <w:pStyle w:val="Compact"/>
        <w:numPr>
          <w:ilvl w:val="0"/>
          <w:numId w:val="1003"/>
        </w:numPr>
      </w:pPr>
      <w:r>
        <w:t xml:space="preserve">This deployment’s cost: $10,000/year (negotiated via CDW)</w:t>
      </w:r>
    </w:p>
    <w:p>
      <w:pPr>
        <w:pStyle w:val="Compact"/>
        <w:numPr>
          <w:ilvl w:val="0"/>
          <w:numId w:val="1003"/>
        </w:numPr>
      </w:pPr>
      <w:r>
        <w:t xml:space="preserve">System uses:</w:t>
      </w:r>
      <w:r>
        <w:t xml:space="preserve"> </w:t>
      </w:r>
      <w:r>
        <w:rPr>
          <w:b/>
          <w:bCs/>
        </w:rPr>
        <w:t xml:space="preserve">$10,000</w:t>
      </w:r>
      <w:r>
        <w:t xml:space="preserve"> </w:t>
      </w:r>
      <w:r>
        <w:t xml:space="preserve">(junction override wins)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channel-2-it-services"/>
    <w:p>
      <w:pPr>
        <w:pStyle w:val="Heading2"/>
      </w:pPr>
      <w:r>
        <w:t xml:space="preserve">2.2 Channel 2: IT Services</w:t>
      </w:r>
    </w:p>
    <w:p>
      <w:pPr>
        <w:pStyle w:val="FirstParagraph"/>
      </w:pPr>
      <w:r>
        <w:t xml:space="preserve">IT Service costs represent shared infrastructure — the servers, databases, network, and cloud services that multiple applications depend on.</w:t>
      </w:r>
    </w:p>
    <w:bookmarkStart w:id="16" w:name="the-cost-pool-model"/>
    <w:p>
      <w:pPr>
        <w:pStyle w:val="Heading3"/>
      </w:pPr>
      <w:r>
        <w:t xml:space="preserve">The cost pool model</w:t>
      </w:r>
    </w:p>
    <w:p>
      <w:pPr>
        <w:pStyle w:val="FirstParagraph"/>
      </w:pPr>
      <w:r>
        <w:t xml:space="preserve">An IT Service has a</w:t>
      </w:r>
      <w:r>
        <w:t xml:space="preserve"> </w:t>
      </w:r>
      <w:r>
        <w:rPr>
          <w:b/>
          <w:bCs/>
        </w:rPr>
        <w:t xml:space="preserve">total cost pool</w:t>
      </w:r>
      <w:r>
        <w:t xml:space="preserve"> </w:t>
      </w:r>
      <w:r>
        <w:t xml:space="preserve">(e.g.,</w:t>
      </w:r>
      <w:r>
        <w:t xml:space="preserve"> </w:t>
      </w:r>
      <w:r>
        <w:t xml:space="preserve">“Database Hosting — SQL Server”</w:t>
      </w:r>
      <w:r>
        <w:t xml:space="preserve"> </w:t>
      </w:r>
      <w:r>
        <w:t xml:space="preserve">costs $100,000/year to operate). That pool gets</w:t>
      </w:r>
      <w:r>
        <w:t xml:space="preserve"> </w:t>
      </w:r>
      <w:r>
        <w:rPr>
          <w:b/>
          <w:bCs/>
        </w:rPr>
        <w:t xml:space="preserve">allocated</w:t>
      </w:r>
      <w:r>
        <w:t xml:space="preserve"> </w:t>
      </w:r>
      <w:r>
        <w:t xml:space="preserve">to the applications that use it. Whatever isn’t allocated is</w:t>
      </w:r>
      <w:r>
        <w:t xml:space="preserve"> </w:t>
      </w:r>
      <w:r>
        <w:rPr>
          <w:b/>
          <w:bCs/>
        </w:rPr>
        <w:t xml:space="preserve">stranded cost</w:t>
      </w:r>
      <w:r>
        <w:t xml:space="preserve"> </w:t>
      </w:r>
      <w:r>
        <w:t xml:space="preserve">— overhead that Central IT absorbs.</w:t>
      </w:r>
    </w:p>
    <w:p>
      <w:pPr>
        <w:pStyle w:val="SourceCode"/>
      </w:pPr>
      <w:r>
        <w:rPr>
          <w:rStyle w:val="VerbatimChar"/>
        </w:rPr>
        <w:t xml:space="preserve">IT Service: Database Hosting — SQL Server</w:t>
      </w:r>
      <w:r>
        <w:br/>
      </w:r>
      <w:r>
        <w:rPr>
          <w:rStyle w:val="VerbatimChar"/>
        </w:rPr>
        <w:t xml:space="preserve">Total Pool:          $100,000</w:t>
      </w:r>
      <w:r>
        <w:br/>
      </w:r>
      <w:r>
        <w:br/>
      </w:r>
      <w:r>
        <w:rPr>
          <w:rStyle w:val="VerbatimChar"/>
        </w:rPr>
        <w:t xml:space="preserve">Allocated:</w:t>
      </w:r>
      <w:r>
        <w:br/>
      </w:r>
      <w:r>
        <w:rPr>
          <w:rStyle w:val="VerbatimChar"/>
        </w:rPr>
        <w:t xml:space="preserve">  Finance App DP:     $10,000  (10%)</w:t>
      </w:r>
      <w:r>
        <w:br/>
      </w:r>
      <w:r>
        <w:rPr>
          <w:rStyle w:val="VerbatimChar"/>
        </w:rPr>
        <w:t xml:space="preserve">  Justice App DP:     $20,000  (20%)</w:t>
      </w:r>
      <w:r>
        <w:br/>
      </w:r>
      <w:r>
        <w:br/>
      </w:r>
      <w:r>
        <w:rPr>
          <w:rStyle w:val="VerbatimChar"/>
        </w:rPr>
        <w:t xml:space="preserve">Recovered:            $30,000</w:t>
      </w:r>
      <w:r>
        <w:br/>
      </w:r>
      <w:r>
        <w:rPr>
          <w:rStyle w:val="VerbatimChar"/>
        </w:rPr>
        <w:t xml:space="preserve">Stranded (overhead):  $70,000</w:t>
      </w:r>
    </w:p>
    <w:bookmarkEnd w:id="16"/>
    <w:bookmarkStart w:id="17" w:name="where-the-data-lives-1"/>
    <w:p>
      <w:pPr>
        <w:pStyle w:val="Heading3"/>
      </w:pPr>
      <w:r>
        <w:t xml:space="preserve">Where the data lives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Cost pool:</w:t>
      </w:r>
      <w:r>
        <w:t xml:space="preserve"> </w:t>
      </w:r>
      <w:r>
        <w:rPr>
          <w:rStyle w:val="VerbatimChar"/>
        </w:rPr>
        <w:t xml:space="preserve">it_services.annual_cost</w:t>
      </w:r>
      <w:r>
        <w:t xml:space="preserve"> </w:t>
      </w:r>
      <w:r>
        <w:t xml:space="preserve">— the total operating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Allocations:</w:t>
      </w:r>
      <w:r>
        <w:t xml:space="preserve"> </w:t>
      </w:r>
      <w:r>
        <w:rPr>
          <w:rStyle w:val="VerbatimChar"/>
        </w:rPr>
        <w:t xml:space="preserve">deployment_profile_it_services</w:t>
      </w:r>
      <w:r>
        <w:t xml:space="preserve"> </w:t>
      </w:r>
      <w:r>
        <w:t xml:space="preserve">— links an IT Service to a DP with an allocation.</w:t>
      </w:r>
    </w:p>
    <w:bookmarkEnd w:id="17"/>
    <w:bookmarkStart w:id="18" w:name="two-allocation-modes"/>
    <w:p>
      <w:pPr>
        <w:pStyle w:val="Heading3"/>
      </w:pPr>
      <w:r>
        <w:t xml:space="preserve">Two allocation modes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065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Field Value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allocation_basis = 'fixed'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allocation_value</w:t>
            </w:r>
            <w:r>
              <w:t xml:space="preserve"> </w:t>
            </w:r>
            <w:r>
              <w:t xml:space="preserve">is a dollar amount (e.g., $10,000)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Percent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allocation_basis = 'percent'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allocation_value</w:t>
            </w:r>
            <w:r>
              <w:t xml:space="preserve"> </w:t>
            </w:r>
            <w:r>
              <w:t xml:space="preserve">is a percentage of the pool (e.g., 10 = 10% of pool)</w:t>
            </w:r>
          </w:p>
        </w:tc>
      </w:tr>
    </w:tbl>
    <w:bookmarkEnd w:id="18"/>
    <w:bookmarkStart w:id="19" w:name="how-to-enter-it-1"/>
    <w:p>
      <w:pPr>
        <w:pStyle w:val="Heading3"/>
      </w:pPr>
      <w:r>
        <w:t xml:space="preserve">How to enter it</w:t>
      </w:r>
    </w:p>
    <w:p>
      <w:pPr>
        <w:pStyle w:val="Compact"/>
        <w:numPr>
          <w:ilvl w:val="0"/>
          <w:numId w:val="1005"/>
        </w:numPr>
      </w:pPr>
      <w:r>
        <w:t xml:space="preserve">Open an application and go to the</w:t>
      </w:r>
      <w:r>
        <w:t xml:space="preserve"> </w:t>
      </w:r>
      <w:r>
        <w:rPr>
          <w:b/>
          <w:bCs/>
        </w:rPr>
        <w:t xml:space="preserve">Deployments &amp; Costs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5"/>
        </w:numPr>
      </w:pPr>
      <w:r>
        <w:t xml:space="preserve">Expand a Deployment Profile.</w:t>
      </w:r>
    </w:p>
    <w:p>
      <w:pPr>
        <w:pStyle w:val="Compact"/>
        <w:numPr>
          <w:ilvl w:val="0"/>
          <w:numId w:val="1005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“What Services Does It Use?”</w:t>
      </w:r>
      <w:r>
        <w:t xml:space="preserve"> </w:t>
      </w:r>
      <w:r>
        <w:t xml:space="preserve">section, click</w:t>
      </w:r>
      <w:r>
        <w:t xml:space="preserve"> </w:t>
      </w:r>
      <w:r>
        <w:rPr>
          <w:b/>
          <w:bCs/>
        </w:rPr>
        <w:t xml:space="preserve">Add Service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 the IT Service.</w:t>
      </w:r>
    </w:p>
    <w:p>
      <w:pPr>
        <w:pStyle w:val="Compact"/>
        <w:numPr>
          <w:ilvl w:val="0"/>
          <w:numId w:val="1005"/>
        </w:numPr>
      </w:pPr>
      <w:r>
        <w:t xml:space="preserve">Choose allocation basis (fixed dollar or percentage).</w:t>
      </w:r>
    </w:p>
    <w:p>
      <w:pPr>
        <w:pStyle w:val="Compact"/>
        <w:numPr>
          <w:ilvl w:val="0"/>
          <w:numId w:val="1005"/>
        </w:numPr>
      </w:pPr>
      <w:r>
        <w:t xml:space="preserve">Enter the allocation value.</w:t>
      </w:r>
    </w:p>
    <w:p>
      <w:pPr>
        <w:pStyle w:val="Compact"/>
        <w:numPr>
          <w:ilvl w:val="0"/>
          <w:numId w:val="1005"/>
        </w:numPr>
      </w:pPr>
      <w:r>
        <w:t xml:space="preserve">Save.</w:t>
      </w:r>
    </w:p>
    <w:bookmarkEnd w:id="19"/>
    <w:bookmarkStart w:id="20" w:name="example-1"/>
    <w:p>
      <w:pPr>
        <w:pStyle w:val="Heading3"/>
      </w:pPr>
      <w:r>
        <w:t xml:space="preserve">Example</w:t>
      </w:r>
    </w:p>
    <w:p>
      <w:pPr>
        <w:pStyle w:val="BlockText"/>
      </w:pPr>
      <w:r>
        <w:rPr>
          <w:b/>
          <w:bCs/>
        </w:rPr>
        <w:t xml:space="preserve">Finance ERP — PROD</w:t>
      </w:r>
      <w:r>
        <w:t xml:space="preserve"> </w:t>
      </w:r>
      <w:r>
        <w:t xml:space="preserve">uses</w:t>
      </w:r>
      <w:r>
        <w:t xml:space="preserve"> </w:t>
      </w:r>
      <w:r>
        <w:t xml:space="preserve">“Database Hosting — SQL Server”</w:t>
      </w:r>
    </w:p>
    <w:p>
      <w:pPr>
        <w:pStyle w:val="Compact"/>
        <w:numPr>
          <w:ilvl w:val="0"/>
          <w:numId w:val="1006"/>
        </w:numPr>
      </w:pPr>
      <w:r>
        <w:t xml:space="preserve">Allocation basis: percent</w:t>
      </w:r>
    </w:p>
    <w:p>
      <w:pPr>
        <w:pStyle w:val="Compact"/>
        <w:numPr>
          <w:ilvl w:val="0"/>
          <w:numId w:val="1006"/>
        </w:numPr>
      </w:pPr>
      <w:r>
        <w:t xml:space="preserve">Allocation value: 10</w:t>
      </w:r>
    </w:p>
    <w:p>
      <w:pPr>
        <w:pStyle w:val="Compact"/>
        <w:numPr>
          <w:ilvl w:val="0"/>
          <w:numId w:val="1006"/>
        </w:numPr>
      </w:pPr>
      <w:r>
        <w:t xml:space="preserve">IT Service pool: $100,000</w:t>
      </w:r>
    </w:p>
    <w:p>
      <w:pPr>
        <w:pStyle w:val="Compact"/>
        <w:numPr>
          <w:ilvl w:val="0"/>
          <w:numId w:val="1006"/>
        </w:numPr>
      </w:pPr>
      <w:r>
        <w:t xml:space="preserve">Calculated cost:</w:t>
      </w:r>
      <w:r>
        <w:t xml:space="preserve"> </w:t>
      </w:r>
      <w:r>
        <w:rPr>
          <w:b/>
          <w:bCs/>
        </w:rPr>
        <w:t xml:space="preserve">$10,000</w:t>
      </w:r>
      <w:r>
        <w:t xml:space="preserve"> </w:t>
      </w:r>
      <w:r>
        <w:t xml:space="preserve">(10% of $100,000)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channel-3-cost-bundles"/>
    <w:p>
      <w:pPr>
        <w:pStyle w:val="Heading2"/>
      </w:pPr>
      <w:r>
        <w:t xml:space="preserve">2.3 Channel 3: Cost Bundles</w:t>
      </w:r>
    </w:p>
    <w:p>
      <w:pPr>
        <w:pStyle w:val="FirstParagraph"/>
      </w:pPr>
      <w:r>
        <w:t xml:space="preserve">Cost Bundles capture everything that isn’t a software license or an IT service allocation. They are the</w:t>
      </w:r>
      <w:r>
        <w:t xml:space="preserve"> </w:t>
      </w:r>
      <w:r>
        <w:t xml:space="preserve">“catch-all”</w:t>
      </w:r>
      <w:r>
        <w:t xml:space="preserve"> </w:t>
      </w:r>
      <w:r>
        <w:t xml:space="preserve">channel.</w:t>
      </w:r>
    </w:p>
    <w:bookmarkStart w:id="22" w:name="use-cases"/>
    <w:p>
      <w:pPr>
        <w:pStyle w:val="Heading3"/>
      </w:pPr>
      <w:r>
        <w:t xml:space="preserve">Use cases</w:t>
      </w:r>
    </w:p>
    <w:p>
      <w:pPr>
        <w:pStyle w:val="Compact"/>
        <w:numPr>
          <w:ilvl w:val="0"/>
          <w:numId w:val="1007"/>
        </w:numPr>
      </w:pPr>
      <w:r>
        <w:t xml:space="preserve">Estimated/rough costs when you’re just getting started</w:t>
      </w:r>
    </w:p>
    <w:p>
      <w:pPr>
        <w:pStyle w:val="Compact"/>
        <w:numPr>
          <w:ilvl w:val="0"/>
          <w:numId w:val="1007"/>
        </w:numPr>
      </w:pPr>
      <w:r>
        <w:t xml:space="preserve">Consulting and professional services fees</w:t>
      </w:r>
    </w:p>
    <w:p>
      <w:pPr>
        <w:pStyle w:val="Compact"/>
        <w:numPr>
          <w:ilvl w:val="0"/>
          <w:numId w:val="1007"/>
        </w:numPr>
      </w:pPr>
      <w:r>
        <w:t xml:space="preserve">Managed service provider (MSP) contracts</w:t>
      </w:r>
    </w:p>
    <w:p>
      <w:pPr>
        <w:pStyle w:val="Compact"/>
        <w:numPr>
          <w:ilvl w:val="0"/>
          <w:numId w:val="1007"/>
        </w:numPr>
      </w:pPr>
      <w:r>
        <w:t xml:space="preserve">One-time migration or project costs</w:t>
      </w:r>
    </w:p>
    <w:p>
      <w:pPr>
        <w:pStyle w:val="Compact"/>
        <w:numPr>
          <w:ilvl w:val="0"/>
          <w:numId w:val="1007"/>
        </w:numPr>
      </w:pPr>
      <w:r>
        <w:t xml:space="preserve">Annual support agreements</w:t>
      </w:r>
    </w:p>
    <w:p>
      <w:pPr>
        <w:pStyle w:val="Compact"/>
        <w:numPr>
          <w:ilvl w:val="0"/>
          <w:numId w:val="1007"/>
        </w:numPr>
      </w:pPr>
      <w:r>
        <w:t xml:space="preserve">Legacy balance-forward amounts</w:t>
      </w:r>
    </w:p>
    <w:bookmarkEnd w:id="22"/>
    <w:bookmarkStart w:id="23" w:name="where-the-data-lives-2"/>
    <w:p>
      <w:pPr>
        <w:pStyle w:val="Heading3"/>
      </w:pPr>
      <w:r>
        <w:t xml:space="preserve">Where the data lives</w:t>
      </w:r>
    </w:p>
    <w:p>
      <w:pPr>
        <w:pStyle w:val="FirstParagraph"/>
      </w:pPr>
      <w:r>
        <w:t xml:space="preserve">A Cost Bundle is a special type of Deployment Profile: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deployment_profiles.dp_type = 'cost_bundle'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deployment_profiles.annual_cost</w:t>
      </w:r>
      <w:r>
        <w:t xml:space="preserve"> </w:t>
      </w:r>
      <w:r>
        <w:t xml:space="preserve">— the dollar amount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deployment_profiles.cost_recurrence = 'recurring'</w:t>
      </w:r>
      <w:r>
        <w:t xml:space="preserve"> </w:t>
      </w:r>
      <w:r>
        <w:t xml:space="preserve">— only recurring bundles count toward run rate</w:t>
      </w:r>
    </w:p>
    <w:bookmarkEnd w:id="23"/>
    <w:bookmarkStart w:id="24" w:name="important-primary-dp-rule"/>
    <w:p>
      <w:pPr>
        <w:pStyle w:val="Heading3"/>
      </w:pPr>
      <w:r>
        <w:t xml:space="preserve">Important: Primary DP rule</w:t>
      </w:r>
    </w:p>
    <w:p>
      <w:pPr>
        <w:pStyle w:val="FirstParagraph"/>
      </w:pPr>
      <w:r>
        <w:t xml:space="preserve">Cost Bundles are scoped to an application (via</w:t>
      </w:r>
      <w:r>
        <w:t xml:space="preserve"> </w:t>
      </w:r>
      <w:r>
        <w:rPr>
          <w:rStyle w:val="VerbatimChar"/>
        </w:rPr>
        <w:t xml:space="preserve">application_id</w:t>
      </w:r>
      <w:r>
        <w:t xml:space="preserve">), but they only roll up through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DP (</w:t>
      </w:r>
      <w:r>
        <w:rPr>
          <w:rStyle w:val="VerbatimChar"/>
        </w:rPr>
        <w:t xml:space="preserve">is_primary = true</w:t>
      </w:r>
      <w:r>
        <w:t xml:space="preserve">). This prevents double-counting when an application has multiple DPs (e.g., PROD and DEV).</w:t>
      </w:r>
    </w:p>
    <w:bookmarkEnd w:id="24"/>
    <w:bookmarkStart w:id="25" w:name="how-to-enter-it-2"/>
    <w:p>
      <w:pPr>
        <w:pStyle w:val="Heading3"/>
      </w:pPr>
      <w:r>
        <w:t xml:space="preserve">How to enter it</w:t>
      </w:r>
    </w:p>
    <w:p>
      <w:pPr>
        <w:pStyle w:val="Compact"/>
        <w:numPr>
          <w:ilvl w:val="0"/>
          <w:numId w:val="1009"/>
        </w:numPr>
      </w:pPr>
      <w:r>
        <w:t xml:space="preserve">Open an application and go to the</w:t>
      </w:r>
      <w:r>
        <w:t xml:space="preserve"> </w:t>
      </w:r>
      <w:r>
        <w:rPr>
          <w:b/>
          <w:bCs/>
        </w:rPr>
        <w:t xml:space="preserve">Deployments &amp; Costs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9"/>
        </w:numPr>
      </w:pPr>
      <w:r>
        <w:t xml:space="preserve">Scroll to the</w:t>
      </w:r>
      <w:r>
        <w:t xml:space="preserve"> </w:t>
      </w:r>
      <w:r>
        <w:rPr>
          <w:b/>
          <w:bCs/>
        </w:rPr>
        <w:t xml:space="preserve">Recurring Costs</w:t>
      </w:r>
      <w:r>
        <w:t xml:space="preserve"> </w:t>
      </w:r>
      <w:r>
        <w:t xml:space="preserve">section at the bottom.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Recurring Cost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Enter a name (e.g.,</w:t>
      </w:r>
      <w:r>
        <w:t xml:space="preserve"> </w:t>
      </w:r>
      <w:r>
        <w:t xml:space="preserve">“Annual Support Agreement”</w:t>
      </w:r>
      <w:r>
        <w:t xml:space="preserve">) and the annual cost.</w:t>
      </w:r>
    </w:p>
    <w:p>
      <w:pPr>
        <w:pStyle w:val="Compact"/>
        <w:numPr>
          <w:ilvl w:val="0"/>
          <w:numId w:val="1009"/>
        </w:numPr>
      </w:pPr>
      <w:r>
        <w:t xml:space="preserve">Save.</w:t>
      </w:r>
    </w:p>
    <w:bookmarkEnd w:id="25"/>
    <w:bookmarkStart w:id="26" w:name="example-2"/>
    <w:p>
      <w:pPr>
        <w:pStyle w:val="Heading3"/>
      </w:pPr>
      <w:r>
        <w:t xml:space="preserve">Example</w:t>
      </w:r>
    </w:p>
    <w:p>
      <w:pPr>
        <w:pStyle w:val="BlockText"/>
      </w:pPr>
      <w:r>
        <w:rPr>
          <w:b/>
          <w:bCs/>
        </w:rPr>
        <w:t xml:space="preserve">Finance ERP</w:t>
      </w:r>
      <w:r>
        <w:t xml:space="preserve"> </w:t>
      </w:r>
      <w:r>
        <w:t xml:space="preserve">has two cost bundles:</w:t>
      </w:r>
    </w:p>
    <w:p>
      <w:pPr>
        <w:pStyle w:val="Compact"/>
        <w:numPr>
          <w:ilvl w:val="0"/>
          <w:numId w:val="1010"/>
        </w:numPr>
      </w:pPr>
      <w:r>
        <w:t xml:space="preserve">“Vendor Support Agreement”</w:t>
      </w:r>
      <w:r>
        <w:t xml:space="preserve"> </w:t>
      </w:r>
      <w:r>
        <w:t xml:space="preserve">— $5,000/year</w:t>
      </w:r>
    </w:p>
    <w:p>
      <w:pPr>
        <w:pStyle w:val="Compact"/>
        <w:numPr>
          <w:ilvl w:val="0"/>
          <w:numId w:val="1010"/>
        </w:numPr>
      </w:pPr>
      <w:r>
        <w:t xml:space="preserve">“Annual Penetration Test”</w:t>
      </w:r>
      <w:r>
        <w:t xml:space="preserve"> </w:t>
      </w:r>
      <w:r>
        <w:t xml:space="preserve">— $3,000/year</w:t>
      </w:r>
    </w:p>
    <w:p>
      <w:pPr>
        <w:pStyle w:val="Compact"/>
        <w:numPr>
          <w:ilvl w:val="0"/>
          <w:numId w:val="1010"/>
        </w:numPr>
      </w:pPr>
      <w:r>
        <w:t xml:space="preserve">Total bundle cost:</w:t>
      </w:r>
      <w:r>
        <w:t xml:space="preserve"> </w:t>
      </w:r>
      <w:r>
        <w:rPr>
          <w:b/>
          <w:bCs/>
        </w:rPr>
        <w:t xml:space="preserve">$8,000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2" w:name="how-costs-roll-up"/>
    <w:p>
      <w:pPr>
        <w:pStyle w:val="Heading1"/>
      </w:pPr>
      <w:r>
        <w:t xml:space="preserve">3. How Costs Roll Up</w:t>
      </w:r>
    </w:p>
    <w:bookmarkStart w:id="29" w:name="deployment-profile-level"/>
    <w:p>
      <w:pPr>
        <w:pStyle w:val="Heading2"/>
      </w:pPr>
      <w:r>
        <w:t xml:space="preserve">3.1 Deployment Profile Level</w:t>
      </w:r>
    </w:p>
    <w:p>
      <w:pPr>
        <w:pStyle w:val="FirstParagraph"/>
      </w:pPr>
      <w:r>
        <w:t xml:space="preserve">The database view</w:t>
      </w:r>
      <w:r>
        <w:t xml:space="preserve"> </w:t>
      </w:r>
      <w:r>
        <w:rPr>
          <w:rStyle w:val="VerbatimChar"/>
        </w:rPr>
        <w:t xml:space="preserve">vw_deployment_profile_costs</w:t>
      </w:r>
      <w:r>
        <w:t xml:space="preserve"> </w:t>
      </w:r>
      <w:r>
        <w:t xml:space="preserve">calculates the total cost for each application-type DP by summing across all three channels:</w:t>
      </w:r>
    </w:p>
    <w:p>
      <w:pPr>
        <w:pStyle w:val="SourceCode"/>
      </w:pPr>
      <w:r>
        <w:rPr>
          <w:rStyle w:val="VerbatimChar"/>
        </w:rPr>
        <w:t xml:space="preserve">DP Total = Software Cost + Service Cost + Bundle Cost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Software Cost = SUM(COALESCE(junction.annual_cost, catalog.annual_cost))</w:t>
      </w:r>
      <w:r>
        <w:br/>
      </w:r>
      <w:r>
        <w:rPr>
          <w:rStyle w:val="VerbatimChar"/>
        </w:rPr>
        <w:t xml:space="preserve">  Service Cost  = SUM(fixed allocations) + SUM(percent allocations)</w:t>
      </w:r>
      <w:r>
        <w:br/>
      </w:r>
      <w:r>
        <w:rPr>
          <w:rStyle w:val="VerbatimChar"/>
        </w:rPr>
        <w:t xml:space="preserve">  Bundle Cost   = SUM(cost_bundle DPs where is_primary = true)</w:t>
      </w:r>
    </w:p>
    <w:p>
      <w:pPr>
        <w:pStyle w:val="FirstParagraph"/>
      </w:pPr>
      <w:r>
        <w:t xml:space="preserve">The view returns these columns for each DP: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deployment_profile_id</w:t>
            </w:r>
          </w:p>
        </w:tc>
        <w:tc>
          <w:tcPr/>
          <w:p>
            <w:pPr>
              <w:pStyle w:val="Compact"/>
            </w:pPr>
            <w:r>
              <w:t xml:space="preserve">Which 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application_id</w:t>
            </w:r>
          </w:p>
        </w:tc>
        <w:tc>
          <w:tcPr/>
          <w:p>
            <w:pPr>
              <w:pStyle w:val="Compact"/>
            </w:pPr>
            <w:r>
              <w:t xml:space="preserve">Which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software_cost</w:t>
            </w:r>
          </w:p>
        </w:tc>
        <w:tc>
          <w:tcPr/>
          <w:p>
            <w:pPr>
              <w:pStyle w:val="Compact"/>
            </w:pPr>
            <w:r>
              <w:t xml:space="preserve">Total from Software Product channel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service_cost</w:t>
            </w:r>
          </w:p>
        </w:tc>
        <w:tc>
          <w:tcPr/>
          <w:p>
            <w:pPr>
              <w:pStyle w:val="Compact"/>
            </w:pPr>
            <w:r>
              <w:t xml:space="preserve">Total from IT Service channel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bundle_cost</w:t>
            </w:r>
          </w:p>
        </w:tc>
        <w:tc>
          <w:tcPr/>
          <w:p>
            <w:pPr>
              <w:pStyle w:val="Compact"/>
            </w:pPr>
            <w:r>
              <w:t xml:space="preserve">Total from Cost Bundle channel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</w:t>
            </w:r>
          </w:p>
        </w:tc>
        <w:tc>
          <w:tcPr/>
          <w:p>
            <w:pPr>
              <w:pStyle w:val="Compact"/>
            </w:pPr>
            <w:r>
              <w:t xml:space="preserve">Sum of all three</w:t>
            </w:r>
          </w:p>
        </w:tc>
      </w:tr>
    </w:tbl>
    <w:bookmarkEnd w:id="29"/>
    <w:bookmarkStart w:id="30" w:name="application-level"/>
    <w:p>
      <w:pPr>
        <w:pStyle w:val="Heading2"/>
      </w:pPr>
      <w:r>
        <w:t xml:space="preserve">3.2 Application Level</w:t>
      </w:r>
    </w:p>
    <w:p>
      <w:pPr>
        <w:pStyle w:val="FirstParagraph"/>
      </w:pPr>
      <w:r>
        <w:t xml:space="preserve">An application’s</w:t>
      </w:r>
      <w:r>
        <w:t xml:space="preserve"> </w:t>
      </w:r>
      <w:r>
        <w:rPr>
          <w:b/>
          <w:bCs/>
        </w:rPr>
        <w:t xml:space="preserve">total run rate</w:t>
      </w:r>
      <w:r>
        <w:t xml:space="preserve"> </w:t>
      </w:r>
      <w:r>
        <w:t xml:space="preserve">is the sum of</w:t>
      </w:r>
      <w:r>
        <w:t xml:space="preserve"> </w:t>
      </w:r>
      <w:r>
        <w:rPr>
          <w:rStyle w:val="VerbatimChar"/>
        </w:rPr>
        <w:t xml:space="preserve">total_cost</w:t>
      </w:r>
      <w:r>
        <w:t xml:space="preserve"> </w:t>
      </w:r>
      <w:r>
        <w:t xml:space="preserve">across all its application-type DPs:</w:t>
      </w:r>
    </w:p>
    <w:p>
      <w:pPr>
        <w:pStyle w:val="SourceCode"/>
      </w:pPr>
      <w:r>
        <w:rPr>
          <w:rStyle w:val="VerbatimChar"/>
        </w:rPr>
        <w:t xml:space="preserve">App Run Rate = SUM(DP.total_cost) for all DPs where dp_type = 'application'</w:t>
      </w:r>
    </w:p>
    <w:p>
      <w:pPr>
        <w:pStyle w:val="FirstParagraph"/>
      </w:pPr>
      <w:r>
        <w:t xml:space="preserve">The view</w:t>
      </w:r>
      <w:r>
        <w:t xml:space="preserve"> </w:t>
      </w:r>
      <w:r>
        <w:rPr>
          <w:rStyle w:val="VerbatimChar"/>
        </w:rPr>
        <w:t xml:space="preserve">vw_application_run_rate</w:t>
      </w:r>
      <w:r>
        <w:t xml:space="preserve"> </w:t>
      </w:r>
      <w:r>
        <w:t xml:space="preserve">provides this rollup.</w:t>
      </w:r>
    </w:p>
    <w:bookmarkEnd w:id="30"/>
    <w:bookmarkStart w:id="31" w:name="the-cost-utility"/>
    <w:p>
      <w:pPr>
        <w:pStyle w:val="Heading2"/>
      </w:pPr>
      <w:r>
        <w:t xml:space="preserve">3.3 The Cost Utility</w:t>
      </w:r>
    </w:p>
    <w:p>
      <w:pPr>
        <w:pStyle w:val="FirstParagraph"/>
      </w:pPr>
      <w:r>
        <w:t xml:space="preserve">In the frontend, the function</w:t>
      </w:r>
      <w:r>
        <w:t xml:space="preserve"> </w:t>
      </w:r>
      <w:r>
        <w:rPr>
          <w:rStyle w:val="VerbatimChar"/>
        </w:rPr>
        <w:t xml:space="preserve">getTotalAnnualCost()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src/lib/utils/costs.ts</w:t>
      </w:r>
      <w:r>
        <w:t xml:space="preserve"> </w:t>
      </w:r>
      <w:r>
        <w:t xml:space="preserve">is the single source of truth for displaying an application’s cost:</w:t>
      </w:r>
    </w:p>
    <w:p>
      <w:pPr>
        <w:pStyle w:val="SourceCode"/>
      </w:pPr>
      <w:r>
        <w:rPr>
          <w:rStyle w:val="VerbatimChar"/>
        </w:rPr>
        <w:t xml:space="preserve">getTotalAnnualCost(app):</w:t>
      </w:r>
      <w:r>
        <w:br/>
      </w:r>
      <w:r>
        <w:rPr>
          <w:rStyle w:val="VerbatimChar"/>
        </w:rPr>
        <w:t xml:space="preserve">  1. If total_cost from the view is available → use it</w:t>
      </w:r>
      <w:r>
        <w:br/>
      </w:r>
      <w:r>
        <w:rPr>
          <w:rStyle w:val="VerbatimChar"/>
        </w:rPr>
        <w:t xml:space="preserve">  2. Otherwise → fall back to legacy fields (annual_licensing_cost + annual_tech_cost)</w:t>
      </w:r>
    </w:p>
    <w:p>
      <w:pPr>
        <w:pStyle w:val="FirstParagraph"/>
      </w:pPr>
      <w:r>
        <w:t xml:space="preserve">This fallback exists because some older data hasn’t been migrated to the three-channel model yet (see Section 7).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where-costs-appear-in-the-ui"/>
    <w:p>
      <w:pPr>
        <w:pStyle w:val="Heading1"/>
      </w:pPr>
      <w:r>
        <w:t xml:space="preserve">4. Where Costs Appear in the UI</w:t>
      </w:r>
    </w:p>
    <w:bookmarkStart w:id="33" w:name="application-detail-general-tab"/>
    <w:p>
      <w:pPr>
        <w:pStyle w:val="Heading2"/>
      </w:pPr>
      <w:r>
        <w:t xml:space="preserve">4.1 Application Detail — General Tab</w:t>
      </w:r>
    </w:p>
    <w:p>
      <w:pPr>
        <w:pStyle w:val="FirstParagraph"/>
      </w:pPr>
      <w:r>
        <w:rPr>
          <w:b/>
          <w:bCs/>
        </w:rPr>
        <w:t xml:space="preserve">CostSnapshotCard</w:t>
      </w:r>
      <w:r>
        <w:t xml:space="preserve"> </w:t>
      </w:r>
      <w:r>
        <w:t xml:space="preserve">shows a single</w:t>
      </w:r>
      <w:r>
        <w:t xml:space="preserve"> </w:t>
      </w:r>
      <w:r>
        <w:t xml:space="preserve">“Total Run Rate”</w:t>
      </w:r>
      <w:r>
        <w:t xml:space="preserve"> </w:t>
      </w:r>
      <w:r>
        <w:t xml:space="preserve">figure for the application. It queries</w:t>
      </w:r>
      <w:r>
        <w:t xml:space="preserve"> </w:t>
      </w:r>
      <w:r>
        <w:rPr>
          <w:rStyle w:val="VerbatimChar"/>
        </w:rPr>
        <w:t xml:space="preserve">vw_deployment_profile_costs</w:t>
      </w:r>
      <w:r>
        <w:t xml:space="preserve"> </w:t>
      </w:r>
      <w:r>
        <w:t xml:space="preserve">and sums across all DPs. Click it to navigate to the full cost breakdown.</w:t>
      </w:r>
    </w:p>
    <w:bookmarkEnd w:id="33"/>
    <w:bookmarkStart w:id="34" w:name="application-detail-deployments-costs-tab"/>
    <w:p>
      <w:pPr>
        <w:pStyle w:val="Heading2"/>
      </w:pPr>
      <w:r>
        <w:t xml:space="preserve">4.2 Application Detail — Deployments &amp; Costs Tab</w:t>
      </w:r>
    </w:p>
    <w:p>
      <w:pPr>
        <w:pStyle w:val="FirstParagraph"/>
      </w:pPr>
      <w:r>
        <w:rPr>
          <w:b/>
          <w:bCs/>
        </w:rPr>
        <w:t xml:space="preserve">ApplicationCostSummary</w:t>
      </w:r>
      <w:r>
        <w:t xml:space="preserve"> </w:t>
      </w:r>
      <w:r>
        <w:t xml:space="preserve">shows an expandable tree breaking down costs by channel: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Software Products</w:t>
      </w:r>
      <w:r>
        <w:t xml:space="preserve"> </w:t>
      </w:r>
      <w:r>
        <w:t xml:space="preserve">— each linked product with its effective cost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IT Services</w:t>
      </w:r>
      <w:r>
        <w:t xml:space="preserve"> </w:t>
      </w:r>
      <w:r>
        <w:t xml:space="preserve">— each allocated service with its calculated cost and allocation percentage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Recurring Costs</w:t>
      </w:r>
      <w:r>
        <w:t xml:space="preserve"> </w:t>
      </w:r>
      <w:r>
        <w:t xml:space="preserve">— each cost bundle with its amount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Run Rate</w:t>
      </w:r>
      <w:r>
        <w:t xml:space="preserve"> </w:t>
      </w:r>
      <w:r>
        <w:t xml:space="preserve">— the sum</w:t>
      </w:r>
    </w:p>
    <w:p>
      <w:pPr>
        <w:pStyle w:val="FirstParagraph"/>
      </w:pPr>
      <w:r>
        <w:t xml:space="preserve">If the application has multiple DPs, each cost line shows which DP it belongs to.</w:t>
      </w:r>
    </w:p>
    <w:bookmarkEnd w:id="34"/>
    <w:bookmarkStart w:id="35" w:name="dashboard-cost-analysis"/>
    <w:p>
      <w:pPr>
        <w:pStyle w:val="Heading2"/>
      </w:pPr>
      <w:r>
        <w:t xml:space="preserve">4.3 Dashboard — Cost Analysis</w:t>
      </w:r>
    </w:p>
    <w:p>
      <w:pPr>
        <w:pStyle w:val="FirstParagraph"/>
      </w:pPr>
      <w:r>
        <w:rPr>
          <w:b/>
          <w:bCs/>
        </w:rPr>
        <w:t xml:space="preserve">CostAnalysisPanel</w:t>
      </w:r>
      <w:r>
        <w:t xml:space="preserve"> </w:t>
      </w:r>
      <w:r>
        <w:t xml:space="preserve">provides portfolio-level cost analysis:</w:t>
      </w:r>
    </w:p>
    <w:p>
      <w:pPr>
        <w:pStyle w:val="Compact"/>
        <w:numPr>
          <w:ilvl w:val="0"/>
          <w:numId w:val="1012"/>
        </w:numPr>
      </w:pPr>
      <w:r>
        <w:t xml:space="preserve">Portfolio total run rate</w:t>
      </w:r>
    </w:p>
    <w:p>
      <w:pPr>
        <w:pStyle w:val="Compact"/>
        <w:numPr>
          <w:ilvl w:val="0"/>
          <w:numId w:val="1012"/>
        </w:numPr>
      </w:pPr>
      <w:r>
        <w:t xml:space="preserve">Top 5 most expensive applications</w:t>
      </w:r>
    </w:p>
    <w:p>
      <w:pPr>
        <w:pStyle w:val="Compact"/>
        <w:numPr>
          <w:ilvl w:val="0"/>
          <w:numId w:val="1012"/>
        </w:numPr>
      </w:pPr>
      <w:r>
        <w:t xml:space="preserve">Breakdown by vendor (who are we paying the most?)</w:t>
      </w:r>
    </w:p>
    <w:p>
      <w:pPr>
        <w:pStyle w:val="Compact"/>
        <w:numPr>
          <w:ilvl w:val="0"/>
          <w:numId w:val="1012"/>
        </w:numPr>
      </w:pPr>
      <w:r>
        <w:t xml:space="preserve">Breakdown by application (expandable to show per-DP costs)</w:t>
      </w:r>
    </w:p>
    <w:bookmarkEnd w:id="35"/>
    <w:bookmarkStart w:id="36" w:name="budget-settings"/>
    <w:p>
      <w:pPr>
        <w:pStyle w:val="Heading2"/>
      </w:pPr>
      <w:r>
        <w:t xml:space="preserve">4.4 Budget Settings</w:t>
      </w:r>
    </w:p>
    <w:p>
      <w:pPr>
        <w:pStyle w:val="FirstParagraph"/>
      </w:pPr>
      <w:r>
        <w:rPr>
          <w:b/>
          <w:bCs/>
        </w:rPr>
        <w:t xml:space="preserve">BudgetSettings</w:t>
      </w:r>
      <w:r>
        <w:t xml:space="preserve"> </w:t>
      </w:r>
      <w:r>
        <w:t xml:space="preserve">(Settings &gt; Budget) compares actual run rate against budgets:</w:t>
      </w:r>
    </w:p>
    <w:p>
      <w:pPr>
        <w:pStyle w:val="Compact"/>
        <w:numPr>
          <w:ilvl w:val="0"/>
          <w:numId w:val="1013"/>
        </w:numPr>
      </w:pPr>
      <w:r>
        <w:t xml:space="preserve">Workspace-level budget from</w:t>
      </w:r>
      <w:r>
        <w:t xml:space="preserve"> </w:t>
      </w:r>
      <w:r>
        <w:rPr>
          <w:rStyle w:val="VerbatimChar"/>
        </w:rPr>
        <w:t xml:space="preserve">workspace_budgets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13"/>
        </w:numPr>
      </w:pPr>
      <w:r>
        <w:t xml:space="preserve">Per-application budget status (healthy / tight / over_10 / over_critical)</w:t>
      </w:r>
    </w:p>
    <w:p>
      <w:pPr>
        <w:pStyle w:val="Compact"/>
        <w:numPr>
          <w:ilvl w:val="0"/>
          <w:numId w:val="1013"/>
        </w:numPr>
      </w:pPr>
      <w:r>
        <w:t xml:space="preserve">Per-IT-service budget status</w:t>
      </w:r>
    </w:p>
    <w:p>
      <w:pPr>
        <w:pStyle w:val="Compact"/>
        <w:numPr>
          <w:ilvl w:val="0"/>
          <w:numId w:val="1013"/>
        </w:numPr>
      </w:pPr>
      <w:r>
        <w:t xml:space="preserve">Budget health alerts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cost-maturity-levels"/>
    <w:p>
      <w:pPr>
        <w:pStyle w:val="Heading1"/>
      </w:pPr>
      <w:r>
        <w:t xml:space="preserve">5. Cost Maturity Levels</w:t>
      </w:r>
    </w:p>
    <w:p>
      <w:pPr>
        <w:pStyle w:val="FirstParagraph"/>
      </w:pPr>
      <w:r>
        <w:t xml:space="preserve">Organizations don’t need to track every dollar from day one. GetInSync supports a crawl-walk-run approach: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2"/>
        <w:gridCol w:w="731"/>
        <w:gridCol w:w="1340"/>
        <w:gridCol w:w="1949"/>
        <w:gridCol w:w="146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Licensing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 Tracked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 on TIME/PAID assessment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Estimated</w:t>
            </w:r>
          </w:p>
        </w:tc>
        <w:tc>
          <w:tcPr/>
          <w:p>
            <w:pPr>
              <w:pStyle w:val="Compact"/>
            </w:pPr>
            <w:r>
              <w:t xml:space="preserve">Cost Bundle</w:t>
            </w:r>
          </w:p>
        </w:tc>
        <w:tc>
          <w:tcPr/>
          <w:p>
            <w:pPr>
              <w:pStyle w:val="Compact"/>
            </w:pPr>
            <w:r>
              <w:t xml:space="preserve">Cost Bundle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Quick start, rough numbers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Categorized</w:t>
            </w:r>
          </w:p>
        </w:tc>
        <w:tc>
          <w:tcPr/>
          <w:p>
            <w:pPr>
              <w:pStyle w:val="Compact"/>
            </w:pPr>
            <w:r>
              <w:t xml:space="preserve">Software Product</w:t>
            </w:r>
          </w:p>
        </w:tc>
        <w:tc>
          <w:tcPr/>
          <w:p>
            <w:pPr>
              <w:pStyle w:val="Compact"/>
            </w:pPr>
            <w:r>
              <w:t xml:space="preserve">Cost Bundle</w:t>
            </w:r>
          </w:p>
        </w:tc>
        <w:tc>
          <w:tcPr/>
          <w:p>
            <w:pPr>
              <w:pStyle w:val="Compact"/>
            </w:pPr>
            <w:r>
              <w:t xml:space="preserve">By %</w:t>
            </w:r>
          </w:p>
        </w:tc>
        <w:tc>
          <w:tcPr/>
          <w:p>
            <w:pPr>
              <w:pStyle w:val="Compact"/>
            </w:pPr>
            <w:r>
              <w:t xml:space="preserve">Know licensing, estimate infra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Attributed</w:t>
            </w:r>
          </w:p>
        </w:tc>
        <w:tc>
          <w:tcPr/>
          <w:p>
            <w:pPr>
              <w:pStyle w:val="Compact"/>
            </w:pPr>
            <w:r>
              <w:t xml:space="preserve">Software Product</w:t>
            </w:r>
          </w:p>
        </w:tc>
        <w:tc>
          <w:tcPr/>
          <w:p>
            <w:pPr>
              <w:pStyle w:val="Compact"/>
            </w:pPr>
            <w:r>
              <w:t xml:space="preserve">IT Service</w:t>
            </w:r>
          </w:p>
        </w:tc>
        <w:tc>
          <w:tcPr/>
          <w:p>
            <w:pPr>
              <w:pStyle w:val="Compact"/>
            </w:pPr>
            <w:r>
              <w:t xml:space="preserve">By %</w:t>
            </w:r>
          </w:p>
        </w:tc>
        <w:tc>
          <w:tcPr/>
          <w:p>
            <w:pPr>
              <w:pStyle w:val="Compact"/>
            </w:pPr>
            <w:r>
              <w:t xml:space="preserve">Full traceability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Allocated</w:t>
            </w:r>
          </w:p>
        </w:tc>
        <w:tc>
          <w:tcPr/>
          <w:p>
            <w:pPr>
              <w:pStyle w:val="Compact"/>
            </w:pPr>
            <w:r>
              <w:t xml:space="preserve">Software Product</w:t>
            </w:r>
          </w:p>
        </w:tc>
        <w:tc>
          <w:tcPr/>
          <w:p>
            <w:pPr>
              <w:pStyle w:val="Compact"/>
            </w:pPr>
            <w:r>
              <w:t xml:space="preserve">IT Service + Stranded</w:t>
            </w:r>
          </w:p>
        </w:tc>
        <w:tc>
          <w:tcPr/>
          <w:p>
            <w:pPr>
              <w:pStyle w:val="Compact"/>
            </w:pPr>
            <w:r>
              <w:t xml:space="preserve">By % with basis</w:t>
            </w:r>
          </w:p>
        </w:tc>
        <w:tc>
          <w:tcPr/>
          <w:p>
            <w:pPr>
              <w:pStyle w:val="Compact"/>
            </w:pPr>
            <w:r>
              <w:t xml:space="preserve">Chargeback-ready</w:t>
            </w:r>
          </w:p>
        </w:tc>
      </w:tr>
    </w:tbl>
    <w:bookmarkStart w:id="38" w:name="level-1-example-quick-start"/>
    <w:p>
      <w:pPr>
        <w:pStyle w:val="Heading3"/>
      </w:pPr>
      <w:r>
        <w:t xml:space="preserve">Level 1 Example (Quick Start)</w:t>
      </w:r>
    </w:p>
    <w:p>
      <w:pPr>
        <w:pStyle w:val="FirstParagraph"/>
      </w:pPr>
      <w:r>
        <w:t xml:space="preserve">Don’t know the breakdown? Create a single Cost Bundle:</w:t>
      </w:r>
    </w:p>
    <w:p>
      <w:pPr>
        <w:pStyle w:val="BlockText"/>
      </w:pPr>
      <w:r>
        <w:t xml:space="preserve">“Finance ERP — Estimated Costs”</w:t>
      </w:r>
      <w:r>
        <w:t xml:space="preserve"> </w:t>
      </w:r>
      <w:r>
        <w:t xml:space="preserve">— $50,000/year</w:t>
      </w:r>
    </w:p>
    <w:p>
      <w:pPr>
        <w:pStyle w:val="BlockText"/>
      </w:pPr>
      <w:r>
        <w:t xml:space="preserve">Notes:</w:t>
      </w:r>
      <w:r>
        <w:t xml:space="preserve"> </w:t>
      </w:r>
      <w:r>
        <w:t xml:space="preserve">“Includes licensing, hosting, and support. To be broken out later.”</w:t>
      </w:r>
    </w:p>
    <w:p>
      <w:pPr>
        <w:pStyle w:val="FirstParagraph"/>
      </w:pPr>
      <w:r>
        <w:t xml:space="preserve">This is better than nothing. You get a cost figure in the system immediately, and you can refine it later by replacing the bundle with actual Software Product and IT Service entries.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data-flow-diagram"/>
    <w:p>
      <w:pPr>
        <w:pStyle w:val="Heading1"/>
      </w:pPr>
      <w:r>
        <w:t xml:space="preserve">6. Data Flow Diagram</w:t>
      </w:r>
    </w:p>
    <w:p>
      <w:pPr>
        <w:pStyle w:val="SourceCode"/>
      </w:pPr>
      <w:r>
        <w:rPr>
          <w:rStyle w:val="VerbatimChar"/>
        </w:rPr>
        <w:t xml:space="preserve">USER ENTRY</w:t>
      </w:r>
      <w:r>
        <w:br/>
      </w:r>
      <w:r>
        <w:rPr>
          <w:rStyle w:val="VerbatimChar"/>
        </w:rPr>
        <w:t xml:space="preserve">===========</w:t>
      </w:r>
      <w:r>
        <w:br/>
      </w:r>
      <w:r>
        <w:rPr>
          <w:rStyle w:val="VerbatimChar"/>
        </w:rPr>
        <w:t xml:space="preserve">                                                    DATABASE TABLES</w:t>
      </w:r>
      <w:r>
        <w:br/>
      </w:r>
      <w:r>
        <w:rPr>
          <w:rStyle w:val="VerbatimChar"/>
        </w:rPr>
        <w:t xml:space="preserve">                                                    ===============</w:t>
      </w:r>
      <w:r>
        <w:br/>
      </w:r>
      <w:r>
        <w:rPr>
          <w:rStyle w:val="VerbatimChar"/>
        </w:rPr>
        <w:t xml:space="preserve">  Link Software Product  ───────────────────►  deployment_profile_software_products</w:t>
      </w:r>
      <w:r>
        <w:br/>
      </w:r>
      <w:r>
        <w:rPr>
          <w:rStyle w:val="VerbatimChar"/>
        </w:rPr>
        <w:t xml:space="preserve">  (annual_cost override)                        ├─ annual_cost (override)</w:t>
      </w:r>
      <w:r>
        <w:br/>
      </w:r>
      <w:r>
        <w:rPr>
          <w:rStyle w:val="VerbatimChar"/>
        </w:rPr>
        <w:t xml:space="preserve">                                                ├─ vendor_org_id</w:t>
      </w:r>
      <w:r>
        <w:br/>
      </w:r>
      <w:r>
        <w:rPr>
          <w:rStyle w:val="VerbatimChar"/>
        </w:rPr>
        <w:t xml:space="preserve">                                                └─ contract fields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Allocate IT Service  ─────────────────────►  deployment_profile_it_services</w:t>
      </w:r>
      <w:r>
        <w:br/>
      </w:r>
      <w:r>
        <w:rPr>
          <w:rStyle w:val="VerbatimChar"/>
        </w:rPr>
        <w:t xml:space="preserve">  (fixed $ or % of pool)                        ├─ allocation_value</w:t>
      </w:r>
      <w:r>
        <w:br/>
      </w:r>
      <w:r>
        <w:rPr>
          <w:rStyle w:val="VerbatimChar"/>
        </w:rPr>
        <w:t xml:space="preserve">                                                └─ allocation_basis (fixed/percent)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Add Recurring Cost  ──────────────────────►  deployment_profiles</w:t>
      </w:r>
      <w:r>
        <w:br/>
      </w:r>
      <w:r>
        <w:rPr>
          <w:rStyle w:val="VerbatimChar"/>
        </w:rPr>
        <w:t xml:space="preserve">  (cost bundle)                                  ├─ dp_type = 'cost_bundle'</w:t>
      </w:r>
      <w:r>
        <w:br/>
      </w:r>
      <w:r>
        <w:rPr>
          <w:rStyle w:val="VerbatimChar"/>
        </w:rPr>
        <w:t xml:space="preserve">                                                 ├─ annual_cost</w:t>
      </w:r>
      <w:r>
        <w:br/>
      </w:r>
      <w:r>
        <w:rPr>
          <w:rStyle w:val="VerbatimChar"/>
        </w:rPr>
        <w:t xml:space="preserve">                                                 └─ cost_recurrence = 'recurring'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CALCULATION</w:t>
      </w:r>
      <w:r>
        <w:br/>
      </w:r>
      <w:r>
        <w:rPr>
          <w:rStyle w:val="VerbatimChar"/>
        </w:rPr>
        <w:t xml:space="preserve">                                                   ===========</w:t>
      </w:r>
      <w:r>
        <w:br/>
      </w:r>
      <w:r>
        <w:rPr>
          <w:rStyle w:val="VerbatimChar"/>
        </w:rPr>
        <w:t xml:space="preserve">                                              vw_deployment_profile_costs</w:t>
      </w:r>
      <w:r>
        <w:br/>
      </w:r>
      <w:r>
        <w:rPr>
          <w:rStyle w:val="VerbatimChar"/>
        </w:rPr>
        <w:t xml:space="preserve">                                                ├─ software_cost</w:t>
      </w:r>
      <w:r>
        <w:br/>
      </w:r>
      <w:r>
        <w:rPr>
          <w:rStyle w:val="VerbatimChar"/>
        </w:rPr>
        <w:t xml:space="preserve">                                                ├─ service_cost</w:t>
      </w:r>
      <w:r>
        <w:br/>
      </w:r>
      <w:r>
        <w:rPr>
          <w:rStyle w:val="VerbatimChar"/>
        </w:rPr>
        <w:t xml:space="preserve">                                                ├─ bundle_cost</w:t>
      </w:r>
      <w:r>
        <w:br/>
      </w:r>
      <w:r>
        <w:rPr>
          <w:rStyle w:val="VerbatimChar"/>
        </w:rPr>
        <w:t xml:space="preserve">                                                └─ total_cost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DISPLAY</w:t>
      </w:r>
      <w:r>
        <w:br/>
      </w:r>
      <w:r>
        <w:rPr>
          <w:rStyle w:val="VerbatimChar"/>
        </w:rPr>
        <w:t xml:space="preserve">                                                      =======</w:t>
      </w:r>
      <w:r>
        <w:br/>
      </w:r>
      <w:r>
        <w:rPr>
          <w:rStyle w:val="VerbatimChar"/>
        </w:rPr>
        <w:t xml:space="preserve">                                  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CostSnapshotCard              ApplicationCostSummary</w:t>
      </w:r>
      <w:r>
        <w:br/>
      </w:r>
      <w:r>
        <w:rPr>
          <w:rStyle w:val="VerbatimChar"/>
        </w:rPr>
        <w:t xml:space="preserve">                          (General tab)                 (Deployments &amp; Costs)</w:t>
      </w:r>
      <w:r>
        <w:br/>
      </w:r>
      <w:r>
        <w:rPr>
          <w:rStyle w:val="VerbatimChar"/>
        </w:rPr>
        <w:t xml:space="preserve">                          "Total Run Rate"              Channel-by-channel tree</w:t>
      </w:r>
      <w:r>
        <w:br/>
      </w:r>
      <w:r>
        <w:rPr>
          <w:rStyle w:val="VerbatimChar"/>
        </w:rPr>
        <w:t xml:space="preserve">                                  │                                        │</w:t>
      </w:r>
      <w:r>
        <w:br/>
      </w:r>
      <w:r>
        <w:rPr>
          <w:rStyle w:val="VerbatimChar"/>
        </w:rPr>
        <w:t xml:space="preserve">                                  ▼                                        ▼</w:t>
      </w:r>
      <w:r>
        <w:br/>
      </w:r>
      <w:r>
        <w:rPr>
          <w:rStyle w:val="VerbatimChar"/>
        </w:rPr>
        <w:t xml:space="preserve">                          CostAnalysisPanel              BudgetSettings</w:t>
      </w:r>
      <w:r>
        <w:br/>
      </w:r>
      <w:r>
        <w:rPr>
          <w:rStyle w:val="VerbatimChar"/>
        </w:rPr>
        <w:t xml:space="preserve">                          (Dashboard)                    (Settings)</w:t>
      </w:r>
      <w:r>
        <w:br/>
      </w:r>
      <w:r>
        <w:rPr>
          <w:rStyle w:val="VerbatimChar"/>
        </w:rPr>
        <w:t xml:space="preserve">                          Portfolio breakdown             Budget vs run rate</w:t>
      </w:r>
    </w:p>
    <w:p>
      <w:r>
        <w:pict>
          <v:rect style="width:0;height:1.5pt" o:hralign="center" o:hrstd="t" o:hr="t"/>
        </w:pict>
      </w:r>
    </w:p>
    <w:bookmarkEnd w:id="40"/>
    <w:bookmarkStart w:id="41" w:name="legacy-fields-and-migration"/>
    <w:p>
      <w:pPr>
        <w:pStyle w:val="Heading1"/>
      </w:pPr>
      <w:r>
        <w:t xml:space="preserve">7. Legacy Fields and Migration</w:t>
      </w:r>
    </w:p>
    <w:p>
      <w:pPr>
        <w:pStyle w:val="FirstParagraph"/>
      </w:pPr>
      <w:r>
        <w:t xml:space="preserve">Three cost fields from the pre-channel model still exist on the</w:t>
      </w:r>
      <w:r>
        <w:t xml:space="preserve"> </w:t>
      </w:r>
      <w:r>
        <w:rPr>
          <w:rStyle w:val="VerbatimChar"/>
        </w:rPr>
        <w:t xml:space="preserve">deployment_profiles</w:t>
      </w:r>
      <w:r>
        <w:t xml:space="preserve"> </w:t>
      </w:r>
      <w:r>
        <w:t xml:space="preserve">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88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annual_licensing_cost</w:t>
            </w:r>
          </w:p>
        </w:tc>
        <w:tc>
          <w:tcPr/>
          <w:p>
            <w:pPr>
              <w:pStyle w:val="Compact"/>
            </w:pPr>
            <w:r>
              <w:t xml:space="preserve">LEGACY</w:t>
            </w:r>
          </w:p>
        </w:tc>
        <w:tc>
          <w:tcPr/>
          <w:p>
            <w:pPr>
              <w:pStyle w:val="Compact"/>
            </w:pPr>
            <w:r>
              <w:t xml:space="preserve">Not editable in UI. 16 frontend files still reference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annual_tech_cost</w:t>
            </w:r>
          </w:p>
        </w:tc>
        <w:tc>
          <w:tcPr/>
          <w:p>
            <w:pPr>
              <w:pStyle w:val="Compact"/>
            </w:pPr>
            <w:r>
              <w:t xml:space="preserve">LEGACY</w:t>
            </w:r>
          </w:p>
        </w:tc>
        <w:tc>
          <w:tcPr/>
          <w:p>
            <w:pPr>
              <w:pStyle w:val="Compact"/>
            </w:pPr>
            <w:r>
              <w:t xml:space="preserve">Not editable in UI. CSV import still maps to this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estimated_tech_debt</w:t>
            </w:r>
          </w:p>
        </w:tc>
        <w:tc>
          <w:tcPr/>
          <w:p>
            <w:pPr>
              <w:pStyle w:val="Compact"/>
            </w:pPr>
            <w:r>
              <w:t xml:space="preserve">LEGACY</w:t>
            </w:r>
          </w:p>
        </w:tc>
        <w:tc>
          <w:tcPr/>
          <w:p>
            <w:pPr>
              <w:pStyle w:val="Compact"/>
            </w:pPr>
            <w:r>
              <w:t xml:space="preserve">Used by TechDebtModal and CSV export.</w:t>
            </w:r>
          </w:p>
        </w:tc>
      </w:tr>
    </w:tbl>
    <w:p>
      <w:pPr>
        <w:pStyle w:val="BodyText"/>
      </w:pPr>
      <w:r>
        <w:t xml:space="preserve">These fields are</w:t>
      </w:r>
      <w:r>
        <w:t xml:space="preserve"> </w:t>
      </w:r>
      <w:r>
        <w:rPr>
          <w:b/>
          <w:bCs/>
        </w:rPr>
        <w:t xml:space="preserve">architecturally superseded</w:t>
      </w:r>
      <w:r>
        <w:t xml:space="preserve"> </w:t>
      </w:r>
      <w:r>
        <w:t xml:space="preserve">by the three-channel model but cannot be removed yet because: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getTotalAnnualCost()</w:t>
      </w:r>
      <w:r>
        <w:t xml:space="preserve"> </w:t>
      </w:r>
      <w:r>
        <w:t xml:space="preserve">utility falls back to them when view data isn’t available.</w:t>
      </w:r>
    </w:p>
    <w:p>
      <w:pPr>
        <w:pStyle w:val="Compact"/>
        <w:numPr>
          <w:ilvl w:val="0"/>
          <w:numId w:val="1014"/>
        </w:numPr>
      </w:pPr>
      <w:r>
        <w:t xml:space="preserve">CSV import maps the</w:t>
      </w:r>
      <w:r>
        <w:t xml:space="preserve"> </w:t>
      </w:r>
      <w:r>
        <w:t xml:space="preserve">“Annual Cost”</w:t>
      </w:r>
      <w:r>
        <w:t xml:space="preserve"> </w:t>
      </w:r>
      <w:r>
        <w:t xml:space="preserve">column to</w:t>
      </w:r>
      <w:r>
        <w:t xml:space="preserve"> </w:t>
      </w:r>
      <w:r>
        <w:rPr>
          <w:rStyle w:val="VerbatimChar"/>
        </w:rPr>
        <w:t xml:space="preserve">annual_tech_cost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CSV export includes all three fields.</w:t>
      </w:r>
    </w:p>
    <w:p>
      <w:pPr>
        <w:pStyle w:val="Compact"/>
        <w:numPr>
          <w:ilvl w:val="0"/>
          <w:numId w:val="1014"/>
        </w:numPr>
      </w:pPr>
      <w:r>
        <w:t xml:space="preserve">The dashboard summary view aggregates these fields.</w:t>
      </w:r>
    </w:p>
    <w:p>
      <w:pPr>
        <w:pStyle w:val="FirstParagraph"/>
      </w:pPr>
      <w:r>
        <w:rPr>
          <w:b/>
          <w:bCs/>
        </w:rPr>
        <w:t xml:space="preserve">Migration plan:</w:t>
      </w:r>
      <w:r>
        <w:t xml:space="preserve"> </w:t>
      </w:r>
      <w:r>
        <w:t xml:space="preserve">A future session will migrate existing data from these fields into Cost Bundle DPs, update the frontend references, and then drop the columns. See</w:t>
      </w:r>
      <w:r>
        <w:t xml:space="preserve"> </w:t>
      </w:r>
      <w:r>
        <w:rPr>
          <w:rStyle w:val="VerbatimChar"/>
        </w:rPr>
        <w:t xml:space="preserve">cost-model-validation-2026-03-04.md</w:t>
      </w:r>
      <w:r>
        <w:t xml:space="preserve"> </w:t>
      </w:r>
      <w:r>
        <w:t xml:space="preserve">for the full prerequisite list.</w:t>
      </w:r>
    </w:p>
    <w:p>
      <w:r>
        <w:pict>
          <v:rect style="width:0;height:1.5pt" o:hralign="center" o:hrstd="t" o:hr="t"/>
        </w:pict>
      </w:r>
    </w:p>
    <w:bookmarkEnd w:id="41"/>
    <w:bookmarkStart w:id="46" w:name="quick-reference"/>
    <w:p>
      <w:pPr>
        <w:pStyle w:val="Heading1"/>
      </w:pPr>
      <w:r>
        <w:t xml:space="preserve">8. Quick Reference</w:t>
      </w:r>
    </w:p>
    <w:bookmarkStart w:id="42" w:name="key-tables"/>
    <w:p>
      <w:pPr>
        <w:pStyle w:val="Heading2"/>
      </w:pPr>
      <w:r>
        <w:t xml:space="preserve">Key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software_products</w:t>
            </w:r>
          </w:p>
        </w:tc>
        <w:tc>
          <w:tcPr/>
          <w:p>
            <w:pPr>
              <w:pStyle w:val="Compact"/>
            </w:pPr>
            <w:r>
              <w:t xml:space="preserve">Software product catalog (name, manufacturer, annual_cost)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it_services</w:t>
            </w:r>
          </w:p>
        </w:tc>
        <w:tc>
          <w:tcPr/>
          <w:p>
            <w:pPr>
              <w:pStyle w:val="Compact"/>
            </w:pPr>
            <w:r>
              <w:t xml:space="preserve">IT service catalog (name, annual_cost = total pool)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deployment_profiles</w:t>
            </w:r>
          </w:p>
        </w:tc>
        <w:tc>
          <w:tcPr/>
          <w:p>
            <w:pPr>
              <w:pStyle w:val="Compact"/>
            </w:pPr>
            <w:r>
              <w:t xml:space="preserve">Deployment instances; also stores cost bundles (</w:t>
            </w:r>
            <w:r>
              <w:rPr>
                <w:rStyle w:val="VerbatimChar"/>
              </w:rPr>
              <w:t xml:space="preserve">dp_type = 'cost_bundle'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deployment_profile_software_products</w:t>
            </w:r>
          </w:p>
        </w:tc>
        <w:tc>
          <w:tcPr/>
          <w:p>
            <w:pPr>
              <w:pStyle w:val="Compact"/>
            </w:pPr>
            <w:r>
              <w:t xml:space="preserve">Links software products to DPs with cost override + contract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deployment_profile_it_services</w:t>
            </w:r>
          </w:p>
        </w:tc>
        <w:tc>
          <w:tcPr/>
          <w:p>
            <w:pPr>
              <w:pStyle w:val="Compact"/>
            </w:pPr>
            <w:r>
              <w:t xml:space="preserve">Links IT services to DPs with allocation (fixed or percent)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workspace_budgets</w:t>
            </w:r>
          </w:p>
        </w:tc>
        <w:tc>
          <w:tcPr/>
          <w:p>
            <w:pPr>
              <w:pStyle w:val="Compact"/>
            </w:pPr>
            <w:r>
              <w:t xml:space="preserve">Multi-year workspace budget tracking</w:t>
            </w:r>
          </w:p>
        </w:tc>
      </w:tr>
    </w:tbl>
    <w:bookmarkEnd w:id="42"/>
    <w:bookmarkStart w:id="43" w:name="key-views"/>
    <w:p>
      <w:pPr>
        <w:pStyle w:val="Heading2"/>
      </w:pPr>
      <w:r>
        <w:t xml:space="preserve">Key Views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vw_deployment_profile_costs</w:t>
            </w:r>
          </w:p>
        </w:tc>
        <w:tc>
          <w:tcPr/>
          <w:p>
            <w:pPr>
              <w:pStyle w:val="Compact"/>
            </w:pPr>
            <w:r>
              <w:t xml:space="preserve">Three-channel cost rollup per 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vw_application_run_rate</w:t>
            </w:r>
          </w:p>
        </w:tc>
        <w:tc>
          <w:tcPr/>
          <w:p>
            <w:pPr>
              <w:pStyle w:val="Compact"/>
            </w:pPr>
            <w:r>
              <w:t xml:space="preserve">Total run rate per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vw_run_rate_by_vendor</w:t>
            </w:r>
          </w:p>
        </w:tc>
        <w:tc>
          <w:tcPr/>
          <w:p>
            <w:pPr>
              <w:pStyle w:val="Compact"/>
            </w:pPr>
            <w:r>
              <w:t xml:space="preserve">Cost by vendor across all three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vw_budget_status</w:t>
            </w:r>
          </w:p>
        </w:tc>
        <w:tc>
          <w:tcPr/>
          <w:p>
            <w:pPr>
              <w:pStyle w:val="Compact"/>
            </w:pPr>
            <w:r>
              <w:t xml:space="preserve">Per-application budget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vw_it_service_budget_status</w:t>
            </w:r>
          </w:p>
        </w:tc>
        <w:tc>
          <w:tcPr/>
          <w:p>
            <w:pPr>
              <w:pStyle w:val="Compact"/>
            </w:pPr>
            <w:r>
              <w:t xml:space="preserve">Per-service budget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vw_workspace_budget_summary</w:t>
            </w:r>
          </w:p>
        </w:tc>
        <w:tc>
          <w:tcPr/>
          <w:p>
            <w:pPr>
              <w:pStyle w:val="Compact"/>
            </w:pPr>
            <w:r>
              <w:t xml:space="preserve">Workspace-level budget rollup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vw_software_contract_expiry</w:t>
            </w:r>
          </w:p>
        </w:tc>
        <w:tc>
          <w:tcPr/>
          <w:p>
            <w:pPr>
              <w:pStyle w:val="Compact"/>
            </w:pPr>
            <w:r>
              <w:t xml:space="preserve">Contract status and renewal tracking</w:t>
            </w:r>
          </w:p>
        </w:tc>
      </w:tr>
    </w:tbl>
    <w:bookmarkEnd w:id="43"/>
    <w:bookmarkStart w:id="44" w:name="key-frontend-components"/>
    <w:p>
      <w:pPr>
        <w:pStyle w:val="Heading2"/>
      </w:pPr>
      <w:r>
        <w:t xml:space="preserve">Key Frontend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64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CostSnapshotCard</w:t>
            </w:r>
          </w:p>
        </w:tc>
        <w:tc>
          <w:tcPr/>
          <w:p>
            <w:pPr>
              <w:pStyle w:val="Compact"/>
            </w:pPr>
            <w:r>
              <w:t xml:space="preserve">General tab</w:t>
            </w:r>
          </w:p>
        </w:tc>
        <w:tc>
          <w:tcPr/>
          <w:p>
            <w:pPr>
              <w:pStyle w:val="Compact"/>
            </w:pPr>
            <w:r>
              <w:t xml:space="preserve">Shows total run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ApplicationCostSummary</w:t>
            </w:r>
          </w:p>
        </w:tc>
        <w:tc>
          <w:tcPr/>
          <w:p>
            <w:pPr>
              <w:pStyle w:val="Compact"/>
            </w:pPr>
            <w:r>
              <w:t xml:space="preserve">Deployments &amp; Costs tab</w:t>
            </w:r>
          </w:p>
        </w:tc>
        <w:tc>
          <w:tcPr/>
          <w:p>
            <w:pPr>
              <w:pStyle w:val="Compact"/>
            </w:pPr>
            <w:r>
              <w:t xml:space="preserve">Channel-by-channel cost breakdown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CostBundleSection</w:t>
            </w:r>
          </w:p>
        </w:tc>
        <w:tc>
          <w:tcPr/>
          <w:p>
            <w:pPr>
              <w:pStyle w:val="Compact"/>
            </w:pPr>
            <w:r>
              <w:t xml:space="preserve">Deployments &amp; Costs tab</w:t>
            </w:r>
          </w:p>
        </w:tc>
        <w:tc>
          <w:tcPr/>
          <w:p>
            <w:pPr>
              <w:pStyle w:val="Compact"/>
            </w:pPr>
            <w:r>
              <w:t xml:space="preserve">Add/edit recurring costs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CostAnalysisPanel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Portfolio-level cost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BudgetSettings</w:t>
            </w:r>
          </w:p>
        </w:tc>
        <w:tc>
          <w:tcPr/>
          <w:p>
            <w:pPr>
              <w:pStyle w:val="Compact"/>
            </w:pPr>
            <w:r>
              <w:t xml:space="preserve">Settings page</w:t>
            </w:r>
          </w:p>
        </w:tc>
        <w:tc>
          <w:tcPr/>
          <w:p>
            <w:pPr>
              <w:pStyle w:val="Compact"/>
            </w:pPr>
            <w:r>
              <w:t xml:space="preserve">Budget vs run rate management</w:t>
            </w:r>
          </w:p>
        </w:tc>
      </w:tr>
    </w:tbl>
    <w:bookmarkEnd w:id="44"/>
    <w:bookmarkStart w:id="45" w:name="key-hooks"/>
    <w:p>
      <w:pPr>
        <w:pStyle w:val="Heading2"/>
      </w:pPr>
      <w:r>
        <w:t xml:space="preserve">Key Hooks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useDeploymentProfiles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src/hooks/useDeploymentProfiles.ts</w:t>
            </w:r>
          </w:p>
        </w:tc>
        <w:tc>
          <w:tcPr/>
          <w:p>
            <w:pPr>
              <w:pStyle w:val="Compact"/>
            </w:pPr>
            <w:r>
              <w:t xml:space="preserve">Fetch DPs for application/portfolio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useDeploymentProfileEditor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src/hooks/useDeploymentProfileEditor.ts</w:t>
            </w:r>
          </w:p>
        </w:tc>
        <w:tc>
          <w:tcPr/>
          <w:p>
            <w:pPr>
              <w:pStyle w:val="Compact"/>
            </w:pPr>
            <w:r>
              <w:t xml:space="preserve">DP editing state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urther-reading"/>
    <w:p>
      <w:pPr>
        <w:pStyle w:val="Heading1"/>
      </w:pPr>
      <w:r>
        <w:t xml:space="preserve">9. Further Reading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features/cost-budget/cost-model.md</w:t>
            </w:r>
            <w:r>
              <w:t xml:space="preserve"> </w:t>
            </w:r>
            <w:r>
              <w:t xml:space="preserve">(v2.6)</w:t>
            </w:r>
          </w:p>
        </w:tc>
        <w:tc>
          <w:tcPr/>
          <w:p>
            <w:pPr>
              <w:pStyle w:val="Compact"/>
            </w:pPr>
            <w:r>
              <w:t xml:space="preserve">Full architecture: allocation model, stranded cost, maturity levels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features/cost-budget/vendor-cost.md</w:t>
            </w:r>
            <w:r>
              <w:t xml:space="preserve"> </w:t>
            </w:r>
            <w:r>
              <w:t xml:space="preserve">(v1.1)</w:t>
            </w:r>
          </w:p>
        </w:tc>
        <w:tc>
          <w:tcPr/>
          <w:p>
            <w:pPr>
              <w:pStyle w:val="Compact"/>
            </w:pPr>
            <w:r>
              <w:t xml:space="preserve">Vendor attribution, manufacturer vs vendor, run rate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features/cost-budget/software-contract.md</w:t>
            </w:r>
            <w:r>
              <w:t xml:space="preserve"> </w:t>
            </w:r>
            <w:r>
              <w:t xml:space="preserve">(v1.1)</w:t>
            </w:r>
          </w:p>
        </w:tc>
        <w:tc>
          <w:tcPr/>
          <w:p>
            <w:pPr>
              <w:pStyle w:val="Compact"/>
            </w:pPr>
            <w:r>
              <w:t xml:space="preserve">Junction schema, SAM-lite contract fields, cost override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features/cost-budget/budget-management.md</w:t>
            </w:r>
            <w:r>
              <w:t xml:space="preserve"> </w:t>
            </w:r>
            <w:r>
              <w:t xml:space="preserve">(v1.4)</w:t>
            </w:r>
          </w:p>
        </w:tc>
        <w:tc>
          <w:tcPr/>
          <w:p>
            <w:pPr>
              <w:pStyle w:val="Compact"/>
            </w:pPr>
            <w:r>
              <w:t xml:space="preserve">Budgets, thresholds, workspace_budgets table, IT service budgets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features/cost-budget/budget-alerts.md</w:t>
            </w:r>
            <w:r>
              <w:t xml:space="preserve"> </w:t>
            </w:r>
            <w: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Alert preferences, configurable alert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features/cost-budget/cost-model-validation-2026-03-04.md</w:t>
            </w:r>
          </w:p>
        </w:tc>
        <w:tc>
          <w:tcPr/>
          <w:p>
            <w:pPr>
              <w:pStyle w:val="Compact"/>
            </w:pPr>
            <w:r>
              <w:t xml:space="preserve">Validation report: known issues, refactoring plan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Document: features/cost-budget/cost-model-primer.md</w:t>
      </w:r>
      <w:r>
        <w:t xml:space="preserve"> </w:t>
      </w:r>
      <w:r>
        <w:rPr>
          <w:i/>
          <w:iCs/>
        </w:rPr>
        <w:t xml:space="preserve">Version 1.0 — March 2026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GetInSync NextGen — Cost Model Primer</dc:title>
  <dc:creator>GetInSync Architecture Team</dc:creator>
  <cp:keywords/>
  <dcterms:created xsi:type="dcterms:W3CDTF">2026-03-04T14:47:28Z</dcterms:created>
  <dcterms:modified xsi:type="dcterms:W3CDTF">2026-03-04T14:47:28Z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4, 2026</vt:lpwstr>
  </property>
  <property fmtid="{D5CDD505-2E9C-101B-9397-08002B2CF9AE}" pid="3" name="subtitle">
    <vt:lpwstr>How costs are recorded, calculated, and displayed</vt:lpwstr>
  </property>
  <property fmtid="{D5CDD505-2E9C-101B-9397-08002B2CF9AE}" pid="4" name="version">
    <vt:lpwstr>1.0</vt:lpwstr>
  </property>
</Properties>
</file>