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56DB"/>
          <w:sz w:val="72"/>
        </w:rPr>
        <w:t>GetInSync NextGen</w:t>
      </w:r>
    </w:p>
    <w:p>
      <w:pPr>
        <w:jc w:val="center"/>
      </w:pPr>
      <w:r>
        <w:rPr>
          <w:color w:val="555555"/>
          <w:sz w:val="44"/>
        </w:rPr>
        <w:t>Demo Guide</w:t>
      </w:r>
    </w:p>
    <w:p/>
    <w:p>
      <w:pPr>
        <w:jc w:val="center"/>
      </w:pPr>
      <w:r>
        <w:rPr>
          <w:i/>
          <w:color w:val="1A56DB"/>
          <w:sz w:val="28"/>
        </w:rPr>
        <w:t>A guided walkthrough of the platform</w:t>
      </w:r>
    </w:p>
    <w:p/>
    <w:p/>
    <w:p>
      <w:pPr>
        <w:jc w:val="center"/>
      </w:pPr>
      <w:r>
        <w:rPr>
          <w:color w:val="777777"/>
          <w:sz w:val="24"/>
        </w:rPr>
        <w:t>February 2026</w:t>
        <w:br/>
        <w:t>nextgen.getinsync.ca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"1-2" \h \z \u </w:instrText>
        <w:fldChar w:fldCharType="separate"/>
      </w:r>
      <w:r>
        <w:rPr>
          <w:i/>
          <w:color w:val="999999"/>
          <w:sz w:val="22"/>
        </w:rPr>
        <w:t>[Right-click and select "Update Field" to generate Table of Contents]</w:t>
      </w:r>
      <w:r>
        <w:fldChar w:fldCharType="end"/>
      </w:r>
    </w:p>
    <w:p>
      <w:r>
        <w:br w:type="page"/>
      </w:r>
    </w:p>
    <w:p>
      <w:pPr>
        <w:pStyle w:val="Heading1"/>
      </w:pPr>
      <w:r>
        <w:t>Getting Started</w:t>
      </w:r>
    </w:p>
    <w:p>
      <w:r>
        <w:t>Welcome to GetInSync NextGen. This guide walks you through the key features of the platform using the demo environment pre-loaded with sample data from a fictional City of Riverside Police Department.</w:t>
      </w:r>
    </w:p>
    <w:p>
      <w:pPr>
        <w:pStyle w:val="Heading2"/>
      </w:pPr>
      <w:r>
        <w:t>Logging In</w:t>
      </w:r>
    </w:p>
    <w:p>
      <w:r>
        <w:t>Navigate to nextgen.getinsync.ca and sign in with the credentials provided. The platform supports email/password, Google, and Microsoft SSO authentication.</w:t>
      </w:r>
    </w:p>
    <w:p>
      <w:r>
        <w:t>After signing in, you'll land on your default workspace — the portfolio dashboard showing your application inventory at a glance.</w:t>
      </w:r>
    </w:p>
    <w:p>
      <w:pPr>
        <w:pStyle w:val="Heading1"/>
      </w:pPr>
      <w:r>
        <w:t>Stop 1: Portfolio Dashboard</w:t>
      </w:r>
    </w:p>
    <w:p>
      <w:r>
        <w:t>The portfolio dashboard is your home base. It gives you an immediate read on the health, cost, and composition of your application portfolio.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Portfolio dashboard with KPIs, TIME/PAID distribution, and application list</w:t>
      </w:r>
    </w:p>
    <w:p>
      <w:pPr>
        <w:pStyle w:val="Heading2"/>
      </w:pPr>
      <w:r>
        <w:t>What You're Looking At</w:t>
      </w:r>
    </w:p>
    <w:p>
      <w:r>
        <w:rPr>
          <w:b/>
        </w:rPr>
        <w:t>KPI Bar</w:t>
      </w:r>
      <w:r>
        <w:t xml:space="preserve"> — Across the top, five summary metrics give you the portfolio pulse: total applications and deployments, annual run rate, estimated technical debt, average business fit score, and average technology health score.</w:t>
      </w:r>
    </w:p>
    <w:p>
      <w:r>
        <w:rPr>
          <w:b/>
        </w:rPr>
        <w:t>TIME Distribution</w:t>
      </w:r>
      <w:r>
        <w:t xml:space="preserve"> — Shows how your applications score on the Tolerate/Invest/Modernize/Eliminate framework. This tells you at a glance what proportion of your portfolio needs action.</w:t>
      </w:r>
    </w:p>
    <w:p>
      <w:r>
        <w:rPr>
          <w:b/>
        </w:rPr>
        <w:t>PAID Distribution</w:t>
      </w:r>
      <w:r>
        <w:t xml:space="preserve"> — The complementary business-action view: Plan/Address/Ignore/Delay. Together with TIME, these two charts answer "what condition are we in?" and "what are we doing about it?"</w:t>
      </w:r>
    </w:p>
    <w:p>
      <w:pPr>
        <w:spacing w:before="120" w:after="120"/>
        <w:ind w:left="360"/>
      </w:pPr>
      <w:r>
        <w:rPr>
          <w:b/>
          <w:color w:val="1A56DB"/>
          <w:sz w:val="20"/>
        </w:rPr>
        <w:t xml:space="preserve">TIP: </w:t>
      </w:r>
      <w:r>
        <w:rPr>
          <w:i/>
          <w:color w:val="555555"/>
          <w:sz w:val="20"/>
        </w:rPr>
        <w:t>Use the workspace selector in the header to switch between departments. Each workspace is isolated — users only see what they have access to.</w:t>
      </w:r>
    </w:p>
    <w:p>
      <w:pPr>
        <w:pStyle w:val="Heading1"/>
      </w:pPr>
      <w:r>
        <w:t>Stop 2: Applications List</w:t>
      </w:r>
    </w:p>
    <w:p>
      <w:r>
        <w:t>Below the dashboard charts, you'll find the full applications table. This is your portfolio inventory — every application with its assessment scores, TIME/PAID recommendations, and total annual cost at a glance.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pplications-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Applications table with scores, TIME/PAID badges, and costs</w:t>
      </w:r>
    </w:p>
    <w:p>
      <w:pPr>
        <w:pStyle w:val="Heading2"/>
      </w:pPr>
      <w:r>
        <w:t>Key Columns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Name — </w:t>
      </w:r>
      <w:r>
        <w:t>The application name, owner, and deployment count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Application Lifecycle — </w:t>
      </w:r>
      <w:r>
        <w:t>Which portfolio this application belongs to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Assessment Scores — </w:t>
      </w:r>
      <w:r>
        <w:t>Business fit and technical health scores with quick-edit links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TIME / PAID — </w:t>
      </w:r>
      <w:r>
        <w:t>Color-coded badges showing the assessment recommendation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Total Annual Cost — </w:t>
      </w:r>
      <w:r>
        <w:t>Rolled up from all cost channels across all deployments</w:t>
      </w:r>
    </w:p>
    <w:p>
      <w:pPr>
        <w:spacing w:before="120" w:after="120"/>
        <w:ind w:left="360"/>
      </w:pPr>
      <w:r>
        <w:rPr>
          <w:b/>
          <w:color w:val="1A56DB"/>
          <w:sz w:val="20"/>
        </w:rPr>
        <w:t xml:space="preserve">TIP: </w:t>
      </w:r>
      <w:r>
        <w:rPr>
          <w:i/>
          <w:color w:val="555555"/>
          <w:sz w:val="20"/>
        </w:rPr>
        <w:t>Click "View Charts" to see visual analytics. Click "Export CSV" to download the full portfolio for offline analysis or board reporting.</w:t>
      </w:r>
    </w:p>
    <w:p>
      <w:pPr>
        <w:pStyle w:val="Heading1"/>
      </w:pPr>
      <w:r>
        <w:t>Stop 3: Application Detail</w:t>
      </w:r>
    </w:p>
    <w:p>
      <w:r>
        <w:t>Click "View Details" on any application to open its full profile. The application detail page is organized into tabs: General, Deployments, Costs, Integrations, Visual, and Assessment.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-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Application detail — General tab with ownership and deployment profiles</w:t>
      </w:r>
    </w:p>
    <w:p>
      <w:pPr>
        <w:pStyle w:val="Heading2"/>
      </w:pPr>
      <w:r>
        <w:t>General Tab</w:t>
      </w:r>
    </w:p>
    <w:p>
      <w:r>
        <w:t>The General tab shows the application's identity and ownership:</w:t>
      </w:r>
    </w:p>
    <w:p>
      <w:pPr>
        <w:pStyle w:val="ListBullet"/>
        <w:spacing w:after="60"/>
        <w:ind w:left="360"/>
      </w:pPr>
      <w:r>
        <w:t>Name, description (with AI generation), lifecycle status, and operational status</w:t>
      </w:r>
    </w:p>
    <w:p>
      <w:pPr>
        <w:pStyle w:val="ListBullet"/>
        <w:spacing w:after="60"/>
        <w:ind w:left="360"/>
      </w:pPr>
      <w:r>
        <w:t>Contact roles: Business Owner, Technical Owner, Support, and Subject Matter Expert</w:t>
      </w:r>
    </w:p>
    <w:p>
      <w:pPr>
        <w:pStyle w:val="ListBullet"/>
        <w:spacing w:after="60"/>
        <w:ind w:left="360"/>
      </w:pPr>
      <w:r>
        <w:t>Deployment profiles listed at the bottom — each representing a distinct environment (Production, Development, DR) with its own assessment and cost data</w:t>
      </w:r>
    </w:p>
    <w:p>
      <w:pPr>
        <w:spacing w:before="120" w:after="120"/>
        <w:ind w:left="360"/>
      </w:pPr>
      <w:r>
        <w:rPr>
          <w:b/>
          <w:color w:val="1A56DB"/>
          <w:sz w:val="20"/>
        </w:rPr>
        <w:t xml:space="preserve">TIP: </w:t>
      </w:r>
      <w:r>
        <w:rPr>
          <w:i/>
          <w:color w:val="555555"/>
          <w:sz w:val="20"/>
        </w:rPr>
        <w:t>The "Generate with AI" button on the description field uses AI to create a concise application description from the application name and metadata.</w:t>
      </w:r>
    </w:p>
    <w:p>
      <w:pPr>
        <w:pStyle w:val="Heading1"/>
      </w:pPr>
      <w:r>
        <w:t>Stop 4: Deployment Profile</w:t>
      </w:r>
    </w:p>
    <w:p>
      <w:r>
        <w:t>Click on a deployment profile to expand it. This is the atomic unit of assessment and cost in GetInSync — because the same application deployed in Production vs. Development has fundamentally different risk, cost, and ownership characteristics.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ployment-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Deployment profile — software products linked to this deployment</w:t>
      </w:r>
    </w:p>
    <w:p>
      <w:pPr>
        <w:pStyle w:val="Heading2"/>
      </w:pPr>
      <w:r>
        <w:t>Software Products</w:t>
      </w:r>
    </w:p>
    <w:p>
      <w:r>
        <w:t>Each deployment can be linked to the software products it runs on. In this example, the Hexagon OnCall CAD/RMS production deployment uses Oracle Database, VMware vSphere, and Commvault. These links power the Technology Health dashboard — when Oracle announces an end-of-life date, every affected deployment surfaces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ployment-hos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Deployment profile — hosting, cloud provider, region, and tech debt</w:t>
      </w:r>
    </w:p>
    <w:p>
      <w:pPr>
        <w:pStyle w:val="Heading2"/>
      </w:pPr>
      <w:r>
        <w:t>Hosting &amp; Technical Debt</w:t>
      </w:r>
    </w:p>
    <w:p>
      <w:r>
        <w:t>The "Where Does It Run?" section captures hosting type, cloud provider, region, environment, and DR status. Below that, remediation effort (t-shirt sizing) and estimated technical debt give you the financial picture of deferred maintenance.</w:t>
      </w:r>
    </w:p>
    <w:p>
      <w:pPr>
        <w:spacing w:before="120" w:after="120"/>
        <w:ind w:left="360"/>
      </w:pPr>
      <w:r>
        <w:rPr>
          <w:b/>
          <w:color w:val="1A56DB"/>
          <w:sz w:val="20"/>
        </w:rPr>
        <w:t xml:space="preserve">TIP: </w:t>
      </w:r>
      <w:r>
        <w:rPr>
          <w:i/>
          <w:color w:val="555555"/>
          <w:sz w:val="20"/>
        </w:rPr>
        <w:t>Technical debt notes are free-text — use them to capture specific remediation items (e.g., "Windows Server 2012 EOL, Oracle 11g upgrade required").</w:t>
      </w:r>
    </w:p>
    <w:p>
      <w:pPr>
        <w:pStyle w:val="Heading1"/>
      </w:pPr>
      <w:r>
        <w:t>Stop 5: Technology Health Dashboard</w:t>
      </w:r>
    </w:p>
    <w:p>
      <w:r>
        <w:t>Navigate to Technology Health from the main menu. This dashboard replaces the spreadsheets your team maintains to track technology lifecycle status across the portfolio.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tech-heal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Technology Health dashboard — lifecycle KPIs, composition, and breakdown by category</w:t>
      </w:r>
    </w:p>
    <w:p>
      <w:pPr>
        <w:pStyle w:val="Heading2"/>
      </w:pPr>
      <w:r>
        <w:t>What You're Looking At</w:t>
      </w:r>
    </w:p>
    <w:p>
      <w:r>
        <w:rPr>
          <w:b/>
        </w:rPr>
        <w:t>KPI Bar</w:t>
      </w:r>
      <w:r>
        <w:t xml:space="preserve"> — Applications profiled, crown jewels (your most critical apps), at-risk count, extended support, mainstream, and those needing profiling.</w:t>
      </w:r>
    </w:p>
    <w:p>
      <w:r>
        <w:rPr>
          <w:b/>
        </w:rPr>
        <w:t>Lifecycle Composition</w:t>
      </w:r>
      <w:r>
        <w:t xml:space="preserve"> — Stacked bars showing the distribution of technology across End of Support (red), Extended Support (yellow), and Mainstream (green), broken down by Operating System, Database, and Web Server.</w:t>
      </w:r>
    </w:p>
    <w:p>
      <w:r>
        <w:rPr>
          <w:b/>
        </w:rPr>
        <w:t>Category Donuts</w:t>
      </w:r>
      <w:r>
        <w:t xml:space="preserve"> — Operating Systems, Databases, and Web Servers each get a donut chart showing the lifecycle breakdown. In this demo, 71% of OS tags are in Extended Support — a clear signal that upgrades are needed.</w:t>
      </w:r>
    </w:p>
    <w:p>
      <w:r>
        <w:rPr>
          <w:b/>
        </w:rPr>
        <w:t>Risk Alert</w:t>
      </w:r>
      <w:r>
        <w:t xml:space="preserve"> — "13 Applications at Risk in 12 months" — click to expand and see exactly which applications are affected and what technology is driving the risk.</w:t>
      </w:r>
    </w:p>
    <w:p>
      <w:pPr>
        <w:spacing w:before="120" w:after="120"/>
        <w:ind w:left="360"/>
      </w:pPr>
      <w:r>
        <w:rPr>
          <w:b/>
          <w:color w:val="1A56DB"/>
          <w:sz w:val="20"/>
        </w:rPr>
        <w:t xml:space="preserve">TIP: </w:t>
      </w:r>
      <w:r>
        <w:rPr>
          <w:i/>
          <w:color w:val="555555"/>
          <w:sz w:val="20"/>
        </w:rPr>
        <w:t>Switch between Analysis, By Application, By Technology, and By Server tabs to slice the data from different angles. Use Filters to narrow by workspace.</w:t>
      </w:r>
    </w:p>
    <w:p>
      <w:pPr>
        <w:pStyle w:val="Heading1"/>
      </w:pPr>
      <w:r>
        <w:t>Stop 6: IT Value Creation</w:t>
      </w:r>
    </w:p>
    <w:p>
      <w:r>
        <w:t>This is where GetInSync goes beyond traditional APM. Navigate to IT Value Creation to see the findings-to-roadmap pipeline that turns assessment observations into strategic action.</w:t>
      </w:r>
    </w:p>
    <w:p>
      <w:pPr>
        <w:pStyle w:val="Heading2"/>
      </w:pPr>
      <w:r>
        <w:t>Initiatives — Grid 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value-creation-gri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Initiatives grid — status, timeline, theme, cost, and run-rate impact</w:t>
      </w:r>
    </w:p>
    <w:p>
      <w:r>
        <w:t>The Initiatives tab shows all strategic recommendations in a sortable table. Each initiative has: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Status — </w:t>
      </w:r>
      <w:r>
        <w:t>Planned, In Progress, Identified, Completed, or On Hold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When — </w:t>
      </w:r>
      <w:r>
        <w:t>Which quarter the work is targeted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Theme — </w:t>
      </w:r>
      <w:r>
        <w:t>Risk, Optimize, or Growth — why this work matters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Cost — </w:t>
      </w:r>
      <w:r>
        <w:t>Total investment required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Run Rate Delta — </w:t>
      </w:r>
      <w:r>
        <w:t>The ongoing annual cost impact (positive = savings, negative = new spend)</w:t>
      </w:r>
    </w:p>
    <w:p>
      <w:pPr>
        <w:pStyle w:val="Heading2"/>
      </w:pPr>
      <w:r>
        <w:t>Initiatives — Gantt Timeline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value-creation-gant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Gantt timeline — initiatives color-coded by theme with quarterly cost totals</w:t>
      </w:r>
    </w:p>
    <w:p>
      <w:r>
        <w:t>Switch to Gantt view for a visual timeline. Initiatives are color-coded by theme (red = Risk, green = Optimize, blue = Growth) and positioned in their target quarter. Quarter totals at the bottom show investment distribution across the planning horizon.</w:t>
      </w:r>
    </w:p>
    <w:p>
      <w:pPr>
        <w:spacing w:before="120" w:after="120"/>
        <w:ind w:left="360"/>
      </w:pPr>
      <w:r>
        <w:rPr>
          <w:b/>
          <w:color w:val="1A56DB"/>
          <w:sz w:val="20"/>
        </w:rPr>
        <w:t xml:space="preserve">TIP: </w:t>
      </w:r>
      <w:r>
        <w:rPr>
          <w:i/>
          <w:color w:val="555555"/>
          <w:sz w:val="20"/>
        </w:rPr>
        <w:t>The Gantt view supports drag-and-drop scheduling — drag an initiative to a different quarter to explore what-if scenarios.</w:t>
      </w:r>
    </w:p>
    <w:p>
      <w:pPr>
        <w:pStyle w:val="Heading1"/>
      </w:pPr>
      <w:r>
        <w:t>Stop 7: Findings Scorecard</w:t>
      </w:r>
    </w:p>
    <w:p>
      <w:r>
        <w:t>Click the Scorecard tab to see assessment findings organized by domain. These are the observations that drive initiative creation.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value-creation-scorec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Findings scorecard — 8 findings across 5 domains with severity levels</w:t>
      </w:r>
    </w:p>
    <w:p>
      <w:r>
        <w:t>Each domain card shows the number of findings, severity (high/medium/low), impact distribution bar, and whether findings were manually entered or auto-detected from Technology Health data. Click any card to drill into the individual findings.</w:t>
      </w:r>
    </w:p>
    <w:p>
      <w:pPr>
        <w:spacing w:before="120" w:after="120"/>
        <w:ind w:left="360"/>
      </w:pPr>
      <w:r>
        <w:rPr>
          <w:b/>
          <w:color w:val="1A56DB"/>
          <w:sz w:val="20"/>
        </w:rPr>
        <w:t xml:space="preserve">TIP: </w:t>
      </w:r>
      <w:r>
        <w:rPr>
          <w:i/>
          <w:color w:val="555555"/>
          <w:sz w:val="20"/>
        </w:rPr>
        <w:t>Technology Infrastructure findings are auto-generated from your Technology Health data. When a technology approaches end-of-life, a finding is created automatically — no manual entry needed.</w:t>
      </w:r>
    </w:p>
    <w:p>
      <w:pPr>
        <w:pStyle w:val="Heading1"/>
      </w:pPr>
      <w:r>
        <w:t>Stop 8: Ideas &amp; Programs</w:t>
      </w:r>
    </w:p>
    <w:p>
      <w:pPr>
        <w:pStyle w:val="Heading2"/>
      </w:pPr>
      <w:r>
        <w:t>Ideas — Bottom-Up Intake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value-creation-ide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Ideas tab — crowd-sourced suggestions from across the organization</w:t>
      </w:r>
    </w:p>
    <w:p>
      <w:r>
        <w:t>The Ideas tab is the crowd-sourced intake channel. Anyone in the organization can submit an idea — "We should consolidate our three HR systems" or "The payroll batch job takes 6 hours and should be modernized." Reviewers assess ideas and can promote them to full initiatives.</w:t>
      </w:r>
    </w:p>
    <w:p>
      <w:pPr>
        <w:pStyle w:val="Heading2"/>
      </w:pPr>
      <w:r>
        <w:t>Programs — Strategic Grouping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value-creation-program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777"/>
          <w:sz w:val="18"/>
        </w:rPr>
        <w:t>Programs tab — strategic groupings with budget envelopes</w:t>
      </w:r>
    </w:p>
    <w:p>
      <w:r>
        <w:t>Programs group related initiatives under a strategic umbrella with a budget envelope and business driver. For example, a "Technology Debt Remediation" program might contain the SQL Server migration, Oracle upgrade, and Windows Server modernization initiatives.</w:t>
      </w:r>
    </w:p>
    <w:p>
      <w:pPr>
        <w:pStyle w:val="Heading1"/>
      </w:pPr>
      <w:r>
        <w:t>What to Explore Next</w:t>
      </w:r>
    </w:p>
    <w:p>
      <w:r>
        <w:t>This guide covers the main workflow: Inventory → Assess → Discover Health → Plan Action. Here are additional features to explore in your trial: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Cost Management — </w:t>
      </w:r>
      <w:r>
        <w:t>See how cost flows from contracts and IT services to deployments, with automatic stranded-cost detection.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Integration Mapping — </w:t>
      </w:r>
      <w:r>
        <w:t>Map upstream and downstream dependencies between applications with criticality, frequency, and data sensitivity.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Multi-Workspace — </w:t>
      </w:r>
      <w:r>
        <w:t>Use the workspace selector to switch between departments. Each workspace is fully isolated with its own roles and data.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Shared Catalog — </w:t>
      </w:r>
      <w:r>
        <w:t>Browse applications shared by other workspaces through the federated catalog.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Export &amp; Reporting — </w:t>
      </w:r>
      <w:r>
        <w:t>Download portfolio data as CSV for board reporting or further analysis.</w:t>
      </w:r>
    </w:p>
    <w:p>
      <w:pPr>
        <w:pStyle w:val="Heading1"/>
      </w:pPr>
      <w:r>
        <w:t>Need Help?</w:t>
      </w:r>
    </w:p>
    <w:p>
      <w:r>
        <w:t>We're here to help you get the most from your trial. Whether you want a guided walkthrough with your own data, help configuring workspaces for your organization, or a deeper dive into any feature — reach out.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Platform: </w:t>
      </w:r>
      <w:r>
        <w:t>nextgen.getinsync.ca</w:t>
      </w:r>
    </w:p>
    <w:p>
      <w:pPr>
        <w:pStyle w:val="ListBullet"/>
        <w:spacing w:after="60"/>
        <w:ind w:left="360"/>
      </w:pPr>
      <w:r>
        <w:rPr>
          <w:b/>
          <w:sz w:val="22"/>
        </w:rPr>
        <w:t xml:space="preserve">Website: </w:t>
      </w:r>
      <w:r>
        <w:t>getinsync.ca</w:t>
      </w:r>
    </w:p>
    <w:p/>
    <w:p>
      <w:pPr>
        <w:jc w:val="center"/>
      </w:pPr>
      <w:r>
        <w:rPr>
          <w:color w:val="AAAAAA"/>
          <w:sz w:val="18"/>
        </w:rPr>
        <w:t>GetInSync NextGen — Demo Guide — February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tabs>
        <w:tab w:val="right" w:pos="9360"/>
      </w:tabs>
      <w:pBdr>
        <w:top w:val="single" w:sz="4" w:space="4" w:color="CCCCCC"/>
      </w:pBdr>
    </w:pPr>
    <w:r>
      <w:rPr>
        <w:rFonts w:ascii="Calibri" w:hAnsi="Calibri"/>
        <w:color w:val="999999"/>
        <w:sz w:val="18"/>
      </w:rPr>
      <w:t>February 2026</w:t>
    </w:r>
    <w:r>
      <w:rPr>
        <w:sz w:val="18"/>
      </w:rPr>
      <w:tab/>
    </w:r>
    <w:r>
      <w:rPr>
        <w:rFonts w:ascii="Calibri" w:hAnsi="Calibri"/>
        <w:color w:val="999999"/>
        <w:sz w:val="18"/>
      </w:rPr>
      <w:t xml:space="preserve">Page </w:t>
    </w:r>
    <w:r>
      <w:rPr>
        <w:sz w:val="18"/>
        <w:color w:val="999999"/>
      </w:rPr>
      <w:fldChar w:fldCharType="begin"/>
    </w:r>
    <w:r>
      <w:rPr>
        <w:sz w:val="18"/>
        <w:color w:val="999999"/>
      </w:rPr>
      <w:instrText xml:space="preserve"> PAGE </w:instrText>
    </w:r>
    <w:r>
      <w:rPr>
        <w:sz w:val="18"/>
        <w:color w:val="999999"/>
      </w:rPr>
      <w:fldChar w:fldCharType="separate"/>
    </w:r>
    <w:r>
      <w:rPr>
        <w:sz w:val="18"/>
        <w:color w:val="99999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4" w:color="CCCCCC"/>
      </w:pBdr>
    </w:pPr>
    <w:r>
      <w:rPr>
        <w:rFonts w:ascii="Calibri" w:hAnsi="Calibri"/>
        <w:b/>
        <w:color w:val="1A56DB"/>
        <w:sz w:val="18"/>
      </w:rPr>
      <w:t>GetInSync NextGen</w:t>
    </w:r>
    <w:r>
      <w:rPr>
        <w:rFonts w:ascii="Calibri" w:hAnsi="Calibri"/>
        <w:color w:val="999999"/>
        <w:sz w:val="18"/>
      </w:rPr>
      <w:t xml:space="preserve">  |  Demo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