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56DB"/>
          <w:sz w:val="72"/>
        </w:rPr>
        <w:t>GetInSync NextGen</w:t>
      </w:r>
    </w:p>
    <w:p>
      <w:pPr>
        <w:jc w:val="center"/>
      </w:pPr>
      <w:r>
        <w:rPr>
          <w:color w:val="555555"/>
          <w:sz w:val="36"/>
        </w:rPr>
        <w:t>Application Portfolio Management</w:t>
        <w:br/>
        <w:t>for Modern IT Organizations</w:t>
      </w:r>
    </w:p>
    <w:p/>
    <w:p>
      <w:pPr>
        <w:jc w:val="center"/>
      </w:pPr>
      <w:r>
        <w:rPr>
          <w:i/>
          <w:color w:val="1A56DB"/>
          <w:sz w:val="28"/>
        </w:rPr>
        <w:t>Inventory. Assess. Plan. Act.</w:t>
      </w:r>
    </w:p>
    <w:p/>
    <w:p/>
    <w:p>
      <w:pPr>
        <w:jc w:val="center"/>
      </w:pPr>
      <w:r>
        <w:rPr>
          <w:color w:val="777777"/>
          <w:sz w:val="24"/>
        </w:rPr>
        <w:t>Product Brief &amp; Demo Companion</w:t>
        <w:br/>
        <w:t>February 2026</w:t>
      </w:r>
    </w:p>
    <w:p>
      <w:pPr>
        <w:jc w:val="center"/>
      </w:pPr>
      <w:r>
        <w:rPr>
          <w:color w:val="1A56DB"/>
          <w:sz w:val="24"/>
          <w:u w:val="single"/>
        </w:rPr>
        <w:t>nextgen.getinsync.ca</w:t>
      </w:r>
    </w:p>
    <w:p>
      <w:r>
        <w:br w:type="page"/>
      </w:r>
    </w:p>
    <w:p>
      <w:pPr>
        <w:pStyle w:val="Heading1"/>
      </w:pPr>
      <w:r>
        <w:t>Contents</w:t>
      </w:r>
    </w:p>
    <w:p>
      <w:r>
        <w:fldChar w:fldCharType="begin"/>
        <w:instrText xml:space="preserve"> TOC \o "1-2" \h \z \u </w:instrText>
        <w:fldChar w:fldCharType="separate"/>
      </w:r>
      <w:r>
        <w:rPr>
          <w:i/>
          <w:color w:val="999999"/>
          <w:sz w:val="22"/>
        </w:rPr>
        <w:t>[Right-click and select "Update Field" to generate Table of Contents]</w:t>
      </w:r>
      <w:r>
        <w:fldChar w:fldCharType="end"/>
      </w:r>
    </w:p>
    <w:p>
      <w:r>
        <w:br w:type="page"/>
      </w:r>
    </w:p>
    <w:p>
      <w:pPr>
        <w:pStyle w:val="Heading1"/>
      </w:pPr>
      <w:r>
        <w:t>The Problem We Solve</w:t>
      </w:r>
    </w:p>
    <w:p>
      <w:r>
        <w:t>Most IT organizations know they need to manage their application portfolio, but they struggle to get past the inventory stage. They end up with spreadsheets, outdated wiki pages, and a growing sense that nobody has the full picture.</w:t>
      </w:r>
    </w:p>
    <w:p>
      <w:r>
        <w:t>The questions are always the same — and they rarely get answered:</w:t>
      </w:r>
    </w:p>
    <w:p>
      <w:pPr>
        <w:pStyle w:val="ListBullet"/>
        <w:spacing w:after="60"/>
        <w:ind w:left="360"/>
      </w:pPr>
      <w:r>
        <w:t>How many applications do we have, and what condition are they in?</w:t>
      </w:r>
    </w:p>
    <w:p>
      <w:pPr>
        <w:pStyle w:val="ListBullet"/>
        <w:spacing w:after="60"/>
        <w:ind w:left="360"/>
      </w:pPr>
      <w:r>
        <w:t>What technology is approaching end-of-life, and what depends on it?</w:t>
      </w:r>
    </w:p>
    <w:p>
      <w:pPr>
        <w:pStyle w:val="ListBullet"/>
        <w:spacing w:after="60"/>
        <w:ind w:left="360"/>
      </w:pPr>
      <w:r>
        <w:t>How much are we spending, and where is cost going untracked?</w:t>
      </w:r>
    </w:p>
    <w:p>
      <w:pPr>
        <w:pStyle w:val="ListBullet"/>
        <w:spacing w:after="60"/>
        <w:ind w:left="360"/>
      </w:pPr>
      <w:r>
        <w:t>What should we do about it — and in what order?</w:t>
      </w:r>
    </w:p>
    <w:p>
      <w:r>
        <w:t>Traditional APM tools help with inventory and assessment, but they stop there. They tell you what you have. They don't tell you what to do about it.</w:t>
      </w:r>
    </w:p>
    <w:p>
      <w:r>
        <w:t>GetInSync NextGen answers all of these questions — from first inventory through to strategic roadmap — in weeks, not months.</w:t>
      </w:r>
    </w:p>
    <w:p>
      <w:pPr>
        <w:pStyle w:val="Heading1"/>
      </w:pPr>
      <w:r>
        <w:t>What Is GetInSync NextGen?</w:t>
      </w:r>
    </w:p>
    <w:p>
      <w:r>
        <w:t>GetInSync NextGen is a cloud-hosted Application Portfolio Management (APM) platform that takes IT organizations from scattered spreadsheets to structured, actionable portfolio intelligence. It covers the full lifecycle: inventory, assessment, cost attribution, technology health, and strategic planning.</w:t>
      </w:r>
    </w:p>
    <w:p>
      <w:r>
        <w:t>The platform is designed around a simple principle: assessment without a plan is just a report. GetInSync connects what you find to what you do about it.</w:t>
      </w:r>
    </w:p>
    <w:p>
      <w:pPr>
        <w:pStyle w:val="Heading2"/>
      </w:pPr>
      <w:r>
        <w:t>Built for ITSM Alignment</w:t>
      </w:r>
    </w:p>
    <w:p>
      <w:r>
        <w:t>GetInSync's data model is designed to align with industry-standard ITSM frameworks and service data models. Every entity — applications, deployment profiles, IT services, contracts — maps cleanly to common ITSM constructs. This means the work you do in GetInSync is never throwaway: it produces structured, portable data that integrates with your broader IT service management ecosystem.</w:t>
      </w:r>
    </w:p>
    <w:p>
      <w:r>
        <w:t>For organizations using ServiceNow, this alignment is particularly valuable. GetInSync's entities map directly to CSDM tables (cmdb_ci_business_app, service offerings, application services, and more), making it an ideal staging environment for CSDM adoption. But the platform stands on its own regardless of your ITSM tooling.</w:t>
      </w:r>
    </w:p>
    <w:p>
      <w:pPr>
        <w:pStyle w:val="Heading1"/>
      </w:pPr>
      <w:r>
        <w:t>Core Features</w:t>
      </w:r>
    </w:p>
    <w:p>
      <w:pPr>
        <w:pStyle w:val="Heading2"/>
      </w:pPr>
      <w:r>
        <w:t>Application Portfolio Management</w:t>
      </w:r>
    </w:p>
    <w:p>
      <w:r>
        <w:t>Build a complete, structured inventory of your application portfolio with multi-level hierarchy (portfolios and sub-portfolios up to 5 levels deep), ownership, contacts, and integration mapping.</w:t>
      </w:r>
    </w:p>
    <w:p>
      <w:pPr>
        <w:pStyle w:val="ListBullet"/>
        <w:spacing w:after="60"/>
        <w:ind w:left="360"/>
      </w:pPr>
      <w:r>
        <w:t>Unlimited applications across all tiers</w:t>
      </w:r>
    </w:p>
    <w:p>
      <w:pPr>
        <w:pStyle w:val="ListBullet"/>
        <w:spacing w:after="60"/>
        <w:ind w:left="360"/>
      </w:pPr>
      <w:r>
        <w:t>Application ownership and contact management (internal, external, vendor)</w:t>
      </w:r>
    </w:p>
    <w:p>
      <w:pPr>
        <w:pStyle w:val="ListBullet"/>
        <w:spacing w:after="60"/>
        <w:ind w:left="360"/>
      </w:pPr>
      <w:r>
        <w:t>Integration mapping — upstream/downstream dependencies with criticality, frequency, and data sensitivity</w:t>
      </w:r>
    </w:p>
    <w:p>
      <w:pPr>
        <w:pStyle w:val="ListBullet"/>
        <w:spacing w:after="60"/>
        <w:ind w:left="360"/>
      </w:pPr>
      <w:r>
        <w:t>Federated catalog — central IT publishes shared products; departments consume only what they need</w:t>
      </w:r>
    </w:p>
    <w:p>
      <w:pPr>
        <w:pStyle w:val="Heading2"/>
      </w:pPr>
      <w:r>
        <w:t>Deployment Profiles</w:t>
      </w:r>
    </w:p>
    <w:p>
      <w:r>
        <w:t>A single application can be deployed in multiple environments — Production, Development, Disaster Recovery — each with different risk profiles, costs, and owners. GetInSync models this reality through Deployment Profiles: the atomic unit of assessment and cost.</w:t>
      </w:r>
    </w:p>
    <w:p>
      <w:pPr>
        <w:pStyle w:val="ListBullet"/>
        <w:spacing w:after="60"/>
        <w:ind w:left="360"/>
      </w:pPr>
      <w:r>
        <w:t>Each deployment gets its own scores, cost attribution, and ownership</w:t>
      </w:r>
    </w:p>
    <w:p>
      <w:pPr>
        <w:pStyle w:val="ListBullet"/>
        <w:spacing w:after="60"/>
        <w:ind w:left="360"/>
      </w:pPr>
      <w:r>
        <w:t>Roll-up reporting aggregates from deployment to application to portfolio</w:t>
      </w:r>
    </w:p>
    <w:p>
      <w:pPr>
        <w:pStyle w:val="ListBullet"/>
        <w:spacing w:after="60"/>
        <w:ind w:left="360"/>
      </w:pPr>
      <w:r>
        <w:t>Maps naturally to ITSM Application Service concepts</w:t>
      </w:r>
    </w:p>
    <w:p>
      <w:pPr>
        <w:pStyle w:val="Heading2"/>
      </w:pPr>
      <w:r>
        <w:t>Assessment &amp; Scoring</w:t>
      </w:r>
    </w:p>
    <w:p>
      <w:r>
        <w:t>Assess applications using structured frameworks that produce actionable scores, not just checkboxes.</w:t>
      </w:r>
    </w:p>
    <w:p>
      <w:pPr>
        <w:pStyle w:val="ListBullet"/>
        <w:spacing w:after="60"/>
        <w:ind w:left="360"/>
      </w:pPr>
      <w:r/>
      <w:r>
        <w:rPr>
          <w:b/>
        </w:rPr>
        <w:t>TIME Model</w:t>
      </w:r>
      <w:r>
        <w:t xml:space="preserve"> — Technical fit, Integration complexity, Market offering viability, Environment risk</w:t>
      </w:r>
    </w:p>
    <w:p>
      <w:pPr>
        <w:pStyle w:val="ListBullet"/>
        <w:spacing w:after="60"/>
        <w:ind w:left="360"/>
      </w:pPr>
      <w:r/>
      <w:r>
        <w:rPr>
          <w:b/>
        </w:rPr>
        <w:t>PAID Framework</w:t>
      </w:r>
      <w:r>
        <w:t xml:space="preserve"> — complementary business-fit assessment</w:t>
      </w:r>
    </w:p>
    <w:p>
      <w:pPr>
        <w:pStyle w:val="ListBullet"/>
        <w:spacing w:after="60"/>
        <w:ind w:left="360"/>
      </w:pPr>
      <w:r>
        <w:t>Scores anchor to Deployment Profiles — because the same app in Production vs. Dev has a different risk profile</w:t>
      </w:r>
    </w:p>
    <w:p>
      <w:pPr>
        <w:pStyle w:val="ListBullet"/>
        <w:spacing w:after="60"/>
        <w:ind w:left="360"/>
      </w:pPr>
      <w:r>
        <w:t>Assessment results feed directly into Technology Health findings and Value Creation initiatives</w:t>
      </w:r>
    </w:p>
    <w:p>
      <w:pPr>
        <w:pStyle w:val="Heading2"/>
      </w:pPr>
      <w:r>
        <w:t>Cost &amp; Budget Management</w:t>
      </w:r>
    </w:p>
    <w:p>
      <w:r>
        <w:t>Track every IT dollar through three clean cost channels, with automatic stranded-cost detection.</w:t>
      </w:r>
    </w:p>
    <w:p>
      <w:pPr>
        <w:pStyle w:val="ListBullet"/>
        <w:spacing w:after="60"/>
        <w:ind w:left="360"/>
      </w:pPr>
      <w:r>
        <w:rPr>
          <w:b/>
          <w:sz w:val="22"/>
        </w:rPr>
        <w:t xml:space="preserve">Product Contracts — </w:t>
      </w:r>
      <w:r>
        <w:t>Software licensing and SaaS subscriptions</w:t>
      </w:r>
    </w:p>
    <w:p>
      <w:pPr>
        <w:pStyle w:val="ListBullet"/>
        <w:spacing w:after="60"/>
        <w:ind w:left="360"/>
      </w:pPr>
      <w:r>
        <w:rPr>
          <w:b/>
          <w:sz w:val="22"/>
        </w:rPr>
        <w:t xml:space="preserve">IT Services — </w:t>
      </w:r>
      <w:r>
        <w:t>Shared infrastructure allocated across deployments</w:t>
      </w:r>
    </w:p>
    <w:p>
      <w:pPr>
        <w:pStyle w:val="ListBullet"/>
        <w:spacing w:after="60"/>
        <w:ind w:left="360"/>
      </w:pPr>
      <w:r>
        <w:rPr>
          <w:b/>
          <w:sz w:val="22"/>
        </w:rPr>
        <w:t xml:space="preserve">Direct Costs — </w:t>
      </w:r>
      <w:r>
        <w:t>One-off costs on specific deployments</w:t>
      </w:r>
    </w:p>
    <w:p>
      <w:pPr>
        <w:pStyle w:val="ListBullet"/>
        <w:spacing w:after="60"/>
        <w:ind w:left="360"/>
      </w:pPr>
      <w:r>
        <w:t>Workspace-level budget tracking with alerts when approaching limits</w:t>
      </w:r>
    </w:p>
    <w:p>
      <w:pPr>
        <w:pStyle w:val="ListBullet"/>
        <w:spacing w:after="60"/>
        <w:ind w:left="360"/>
      </w:pPr>
      <w:r>
        <w:t>Stranded cost detection — automatically flags unallocated spend (&gt;20% triggers review)</w:t>
      </w:r>
    </w:p>
    <w:p>
      <w:pPr>
        <w:pStyle w:val="Heading2"/>
      </w:pPr>
      <w:r>
        <w:t>Technology Health Dashboard</w:t>
      </w:r>
    </w:p>
    <w:p>
      <w:r>
        <w:t>Replace the spreadsheets your team maintains to track technology lifecycle. Import your technology inventory once and get continuous lifecycle visibility.</w:t>
      </w:r>
    </w:p>
    <w:p>
      <w:pPr>
        <w:pStyle w:val="ListBullet"/>
        <w:spacing w:after="60"/>
        <w:ind w:left="360"/>
      </w:pPr>
      <w:r>
        <w:t>Auto-populated lifecycle status from vendor end-of-life dates</w:t>
      </w:r>
    </w:p>
    <w:p>
      <w:pPr>
        <w:pStyle w:val="ListBullet"/>
        <w:spacing w:after="60"/>
        <w:ind w:left="360"/>
      </w:pPr>
      <w:r>
        <w:t>Summary KPIs: crown jewels, end-of-life, extended support, mainstream</w:t>
      </w:r>
    </w:p>
    <w:p>
      <w:pPr>
        <w:pStyle w:val="ListBullet"/>
        <w:spacing w:after="60"/>
        <w:ind w:left="360"/>
      </w:pPr>
      <w:r>
        <w:t>Breakdown by OS, database, web server, middleware</w:t>
      </w:r>
    </w:p>
    <w:p>
      <w:pPr>
        <w:pStyle w:val="ListBullet"/>
        <w:spacing w:after="60"/>
        <w:ind w:left="360"/>
      </w:pPr>
      <w:r/>
      <w:r>
        <w:rPr>
          <w:b/>
        </w:rPr>
        <w:t>Blast radius analysis</w:t>
      </w:r>
      <w:r>
        <w:t xml:space="preserve"> — "If SQL Server 2016 goes EOL, what 15 deployments and 12 applications are affected?"</w:t>
      </w:r>
    </w:p>
    <w:p>
      <w:pPr>
        <w:pStyle w:val="ListBullet"/>
        <w:spacing w:after="60"/>
        <w:ind w:left="360"/>
      </w:pPr>
      <w:r>
        <w:t>CSV export for downstream reporting</w:t>
      </w:r>
    </w:p>
    <w:p>
      <w:pPr>
        <w:pStyle w:val="Heading2"/>
      </w:pPr>
      <w:r>
        <w:t>IT Value Creation — From Assessment to Action</w:t>
      </w:r>
    </w:p>
    <w:p>
      <w:r>
        <w:t>This is where GetInSync goes beyond traditional APM. Every other tool stops at assessment — here's what you have, here's the score, good luck. GetInSync answers the question the business actually cares about: "So what? What do we do about it?"</w:t>
      </w:r>
    </w:p>
    <w:p>
      <w:r>
        <w:t>The Value Creation module provides a complete findings-to-roadmap pipeline:</w:t>
      </w:r>
    </w:p>
    <w:tbl>
      <w:tblPr>
        <w:tblStyle w:val="LightGrid-Accent1"/>
        <w:tblW w:type="auto" w:w="0"/>
        <w:jc w:val="center"/>
        <w:tblLook w:firstColumn="1" w:firstRow="1" w:lastColumn="0" w:lastRow="0" w:noHBand="0" w:noVBand="1" w:val="04A0"/>
      </w:tblPr>
      <w:tblGrid>
        <w:gridCol w:w="3135"/>
        <w:gridCol w:w="3135"/>
        <w:gridCol w:w="3135"/>
      </w:tblGrid>
      <w:tr>
        <w:tc>
          <w:tcPr>
            <w:tcW w:type="dxa" w:w="1440"/>
            <w:shd w:fill="1A56DB" w:val="clear"/>
          </w:tcPr>
          <w:p>
            <w:pPr>
              <w:jc w:val="left"/>
            </w:pPr>
            <w:r>
              <w:rPr>
                <w:b/>
                <w:color w:val="FFFFFF"/>
                <w:sz w:val="20"/>
              </w:rPr>
              <w:t>Stage</w:t>
            </w:r>
          </w:p>
        </w:tc>
        <w:tc>
          <w:tcPr>
            <w:tcW w:type="dxa" w:w="3600"/>
            <w:shd w:fill="1A56DB" w:val="clear"/>
          </w:tcPr>
          <w:p>
            <w:pPr>
              <w:jc w:val="left"/>
            </w:pPr>
            <w:r>
              <w:rPr>
                <w:b/>
                <w:color w:val="FFFFFF"/>
                <w:sz w:val="20"/>
              </w:rPr>
              <w:t>What It Is</w:t>
            </w:r>
          </w:p>
        </w:tc>
        <w:tc>
          <w:tcPr>
            <w:tcW w:type="dxa" w:w="3600"/>
            <w:shd w:fill="1A56DB" w:val="clear"/>
          </w:tcPr>
          <w:p>
            <w:pPr>
              <w:jc w:val="left"/>
            </w:pPr>
            <w:r>
              <w:rPr>
                <w:b/>
                <w:color w:val="FFFFFF"/>
                <w:sz w:val="20"/>
              </w:rPr>
              <w:t>Who Uses It</w:t>
            </w:r>
          </w:p>
        </w:tc>
      </w:tr>
      <w:tr>
        <w:tc>
          <w:tcPr>
            <w:tcW w:type="dxa" w:w="1440"/>
          </w:tcPr>
          <w:p>
            <w:r>
              <w:rPr>
                <w:sz w:val="20"/>
              </w:rPr>
              <w:t>Findings</w:t>
            </w:r>
          </w:p>
        </w:tc>
        <w:tc>
          <w:tcPr>
            <w:tcW w:type="dxa" w:w="3600"/>
          </w:tcPr>
          <w:p>
            <w:r>
              <w:rPr>
                <w:sz w:val="20"/>
              </w:rPr>
              <w:t>Assessment observations by domain</w:t>
              <w:br/>
              <w:t>(auto-generated from Technology Health + manual)</w:t>
            </w:r>
          </w:p>
        </w:tc>
        <w:tc>
          <w:tcPr>
            <w:tcW w:type="dxa" w:w="3600"/>
          </w:tcPr>
          <w:p>
            <w:r>
              <w:rPr>
                <w:sz w:val="20"/>
              </w:rPr>
              <w:t>Assessors, platform team</w:t>
            </w:r>
          </w:p>
        </w:tc>
      </w:tr>
      <w:tr>
        <w:tc>
          <w:tcPr>
            <w:tcW w:type="dxa" w:w="1440"/>
          </w:tcPr>
          <w:p>
            <w:r>
              <w:rPr>
                <w:sz w:val="20"/>
              </w:rPr>
              <w:t>Ideas</w:t>
            </w:r>
          </w:p>
        </w:tc>
        <w:tc>
          <w:tcPr>
            <w:tcW w:type="dxa" w:w="3600"/>
          </w:tcPr>
          <w:p>
            <w:r>
              <w:rPr>
                <w:sz w:val="20"/>
              </w:rPr>
              <w:t>Bottom-up suggestions from anyone in the organization</w:t>
            </w:r>
          </w:p>
        </w:tc>
        <w:tc>
          <w:tcPr>
            <w:tcW w:type="dxa" w:w="3600"/>
          </w:tcPr>
          <w:p>
            <w:r>
              <w:rPr>
                <w:sz w:val="20"/>
              </w:rPr>
              <w:t>All users — crowd-sourced intake</w:t>
            </w:r>
          </w:p>
        </w:tc>
      </w:tr>
      <w:tr>
        <w:tc>
          <w:tcPr>
            <w:tcW w:type="dxa" w:w="1440"/>
          </w:tcPr>
          <w:p>
            <w:r>
              <w:rPr>
                <w:sz w:val="20"/>
              </w:rPr>
              <w:t>Initiatives</w:t>
            </w:r>
          </w:p>
        </w:tc>
        <w:tc>
          <w:tcPr>
            <w:tcW w:type="dxa" w:w="3600"/>
          </w:tcPr>
          <w:p>
            <w:r>
              <w:rPr>
                <w:sz w:val="20"/>
              </w:rPr>
              <w:t>Strategic recommendations with cost,</w:t>
              <w:br/>
              <w:t>timeline, ownership, and run-rate impact</w:t>
            </w:r>
          </w:p>
        </w:tc>
        <w:tc>
          <w:tcPr>
            <w:tcW w:type="dxa" w:w="3600"/>
          </w:tcPr>
          <w:p>
            <w:r>
              <w:rPr>
                <w:sz w:val="20"/>
              </w:rPr>
              <w:t>IT strategists, portfolio managers</w:t>
            </w:r>
          </w:p>
        </w:tc>
      </w:tr>
      <w:tr>
        <w:tc>
          <w:tcPr>
            <w:tcW w:type="dxa" w:w="1440"/>
          </w:tcPr>
          <w:p>
            <w:r>
              <w:rPr>
                <w:sz w:val="20"/>
              </w:rPr>
              <w:t>Programs</w:t>
            </w:r>
          </w:p>
        </w:tc>
        <w:tc>
          <w:tcPr>
            <w:tcW w:type="dxa" w:w="3600"/>
          </w:tcPr>
          <w:p>
            <w:r>
              <w:rPr>
                <w:sz w:val="20"/>
              </w:rPr>
              <w:t>Strategic groupings with budget envelopes</w:t>
              <w:br/>
              <w:t>and business drivers</w:t>
            </w:r>
          </w:p>
        </w:tc>
        <w:tc>
          <w:tcPr>
            <w:tcW w:type="dxa" w:w="3600"/>
          </w:tcPr>
          <w:p>
            <w:r>
              <w:rPr>
                <w:sz w:val="20"/>
              </w:rPr>
              <w:t>CIO / executive sponsors</w:t>
            </w:r>
          </w:p>
        </w:tc>
      </w:tr>
    </w:tbl>
    <w:p/>
    <w:p>
      <w:pPr>
        <w:pStyle w:val="ListBullet"/>
        <w:spacing w:after="60"/>
        <w:ind w:left="360"/>
      </w:pPr>
      <w:r/>
      <w:r>
        <w:rPr>
          <w:b/>
        </w:rPr>
        <w:t>Initiative dependencies</w:t>
      </w:r>
      <w:r>
        <w:t xml:space="preserve"> — requires / enables / blocks relationships answer "what depends on what?"</w:t>
      </w:r>
    </w:p>
    <w:p>
      <w:pPr>
        <w:pStyle w:val="ListBullet"/>
        <w:spacing w:after="60"/>
        <w:ind w:left="360"/>
      </w:pPr>
      <w:r>
        <w:t>Gantt timeline view with drag-and-drop scheduling</w:t>
      </w:r>
    </w:p>
    <w:p>
      <w:pPr>
        <w:pStyle w:val="ListBullet"/>
        <w:spacing w:after="60"/>
        <w:ind w:left="360"/>
      </w:pPr>
      <w:r>
        <w:t>Grid, Kanban, and scorecard views for different personas</w:t>
      </w:r>
    </w:p>
    <w:p>
      <w:pPr>
        <w:pStyle w:val="ListBullet"/>
        <w:spacing w:after="60"/>
        <w:ind w:left="360"/>
      </w:pPr>
      <w:r>
        <w:t>Idea promotion workflow — anyone submits, reviewers promote to initiatives</w:t>
      </w:r>
    </w:p>
    <w:p>
      <w:pPr>
        <w:pStyle w:val="Heading1"/>
      </w:pPr>
      <w:r>
        <w:t>Multi-Tenant Architecture</w:t>
      </w:r>
    </w:p>
    <w:p>
      <w:r>
        <w:t>GetInSync is built for organizations with multiple departments, ministries, or portfolio companies that need isolation with federated visibility.</w:t>
      </w:r>
    </w:p>
    <w:tbl>
      <w:tblPr>
        <w:tblStyle w:val="LightGrid-Accent1"/>
        <w:tblW w:type="auto" w:w="0"/>
        <w:jc w:val="center"/>
        <w:tblLook w:firstColumn="1" w:firstRow="1" w:lastColumn="0" w:lastRow="0" w:noHBand="0" w:noVBand="1" w:val="04A0"/>
      </w:tblPr>
      <w:tblGrid>
        <w:gridCol w:w="3135"/>
        <w:gridCol w:w="3135"/>
        <w:gridCol w:w="3135"/>
      </w:tblGrid>
      <w:tr>
        <w:tc>
          <w:tcPr>
            <w:tcW w:type="dxa" w:w="1728"/>
            <w:shd w:fill="1A56DB" w:val="clear"/>
          </w:tcPr>
          <w:p>
            <w:pPr>
              <w:jc w:val="left"/>
            </w:pPr>
            <w:r>
              <w:rPr>
                <w:b/>
                <w:color w:val="FFFFFF"/>
                <w:sz w:val="20"/>
              </w:rPr>
              <w:t>Scope Level</w:t>
            </w:r>
          </w:p>
        </w:tc>
        <w:tc>
          <w:tcPr>
            <w:tcW w:type="dxa" w:w="3168"/>
            <w:shd w:fill="1A56DB" w:val="clear"/>
          </w:tcPr>
          <w:p>
            <w:pPr>
              <w:jc w:val="left"/>
            </w:pPr>
            <w:r>
              <w:rPr>
                <w:b/>
                <w:color w:val="FFFFFF"/>
                <w:sz w:val="20"/>
              </w:rPr>
              <w:t>Purpose</w:t>
            </w:r>
          </w:p>
        </w:tc>
        <w:tc>
          <w:tcPr>
            <w:tcW w:type="dxa" w:w="3744"/>
            <w:shd w:fill="1A56DB" w:val="clear"/>
          </w:tcPr>
          <w:p>
            <w:pPr>
              <w:jc w:val="left"/>
            </w:pPr>
            <w:r>
              <w:rPr>
                <w:b/>
                <w:color w:val="FFFFFF"/>
                <w:sz w:val="20"/>
              </w:rPr>
              <w:t>Example</w:t>
            </w:r>
          </w:p>
        </w:tc>
      </w:tr>
      <w:tr>
        <w:tc>
          <w:tcPr>
            <w:tcW w:type="dxa" w:w="1728"/>
          </w:tcPr>
          <w:p>
            <w:r>
              <w:rPr>
                <w:sz w:val="20"/>
              </w:rPr>
              <w:t>Region</w:t>
            </w:r>
          </w:p>
        </w:tc>
        <w:tc>
          <w:tcPr>
            <w:tcW w:type="dxa" w:w="3168"/>
          </w:tcPr>
          <w:p>
            <w:r>
              <w:rPr>
                <w:sz w:val="20"/>
              </w:rPr>
              <w:t>Data residency (Canada, US, EU)</w:t>
            </w:r>
          </w:p>
        </w:tc>
        <w:tc>
          <w:tcPr>
            <w:tcW w:type="dxa" w:w="3744"/>
          </w:tcPr>
          <w:p>
            <w:r>
              <w:rPr>
                <w:sz w:val="20"/>
              </w:rPr>
              <w:t>ca-central-1 for Canadian government</w:t>
            </w:r>
          </w:p>
        </w:tc>
      </w:tr>
      <w:tr>
        <w:tc>
          <w:tcPr>
            <w:tcW w:type="dxa" w:w="1728"/>
          </w:tcPr>
          <w:p>
            <w:r>
              <w:rPr>
                <w:sz w:val="20"/>
              </w:rPr>
              <w:t>Namespace</w:t>
            </w:r>
          </w:p>
        </w:tc>
        <w:tc>
          <w:tcPr>
            <w:tcW w:type="dxa" w:w="3168"/>
          </w:tcPr>
          <w:p>
            <w:r>
              <w:rPr>
                <w:sz w:val="20"/>
              </w:rPr>
              <w:t>Billing &amp; hard isolation boundary</w:t>
            </w:r>
          </w:p>
        </w:tc>
        <w:tc>
          <w:tcPr>
            <w:tcW w:type="dxa" w:w="3744"/>
          </w:tcPr>
          <w:p>
            <w:r>
              <w:rPr>
                <w:sz w:val="20"/>
              </w:rPr>
              <w:t>Province of Alberta</w:t>
            </w:r>
          </w:p>
        </w:tc>
      </w:tr>
      <w:tr>
        <w:tc>
          <w:tcPr>
            <w:tcW w:type="dxa" w:w="1728"/>
          </w:tcPr>
          <w:p>
            <w:r>
              <w:rPr>
                <w:sz w:val="20"/>
              </w:rPr>
              <w:t>Workspace</w:t>
            </w:r>
          </w:p>
        </w:tc>
        <w:tc>
          <w:tcPr>
            <w:tcW w:type="dxa" w:w="3168"/>
          </w:tcPr>
          <w:p>
            <w:r>
              <w:rPr>
                <w:sz w:val="20"/>
              </w:rPr>
              <w:t>Department / ministry / portfolio company</w:t>
            </w:r>
          </w:p>
        </w:tc>
        <w:tc>
          <w:tcPr>
            <w:tcW w:type="dxa" w:w="3744"/>
          </w:tcPr>
          <w:p>
            <w:r>
              <w:rPr>
                <w:sz w:val="20"/>
              </w:rPr>
              <w:t>Ministry of Health, Ministry of Education</w:t>
            </w:r>
          </w:p>
        </w:tc>
      </w:tr>
      <w:tr>
        <w:tc>
          <w:tcPr>
            <w:tcW w:type="dxa" w:w="1728"/>
          </w:tcPr>
          <w:p>
            <w:r>
              <w:rPr>
                <w:sz w:val="20"/>
              </w:rPr>
              <w:t>Workspace Group</w:t>
            </w:r>
          </w:p>
        </w:tc>
        <w:tc>
          <w:tcPr>
            <w:tcW w:type="dxa" w:w="3168"/>
          </w:tcPr>
          <w:p>
            <w:r>
              <w:rPr>
                <w:sz w:val="20"/>
              </w:rPr>
              <w:t>Cross-workspace reporting &amp; catalog sharing</w:t>
            </w:r>
          </w:p>
        </w:tc>
        <w:tc>
          <w:tcPr>
            <w:tcW w:type="dxa" w:w="3744"/>
          </w:tcPr>
          <w:p>
            <w:r>
              <w:rPr>
                <w:sz w:val="20"/>
              </w:rPr>
              <w:t>"All Health Agencies"</w:t>
            </w:r>
          </w:p>
        </w:tc>
      </w:tr>
      <w:tr>
        <w:tc>
          <w:tcPr>
            <w:tcW w:type="dxa" w:w="1728"/>
          </w:tcPr>
          <w:p>
            <w:r>
              <w:rPr>
                <w:sz w:val="20"/>
              </w:rPr>
              <w:t>Portfolio</w:t>
            </w:r>
          </w:p>
        </w:tc>
        <w:tc>
          <w:tcPr>
            <w:tcW w:type="dxa" w:w="3168"/>
          </w:tcPr>
          <w:p>
            <w:r>
              <w:rPr>
                <w:sz w:val="20"/>
              </w:rPr>
              <w:t>Logical grouping of applications within a workspace</w:t>
            </w:r>
          </w:p>
        </w:tc>
        <w:tc>
          <w:tcPr>
            <w:tcW w:type="dxa" w:w="3744"/>
          </w:tcPr>
          <w:p>
            <w:r>
              <w:rPr>
                <w:sz w:val="20"/>
              </w:rPr>
              <w:t>"Core Business Systems", "Legacy Migration"</w:t>
            </w:r>
          </w:p>
        </w:tc>
      </w:tr>
      <w:tr>
        <w:tc>
          <w:tcPr>
            <w:tcW w:type="dxa" w:w="1728"/>
          </w:tcPr>
          <w:p>
            <w:r>
              <w:rPr>
                <w:sz w:val="20"/>
              </w:rPr>
              <w:t>Sub-Portfolio</w:t>
            </w:r>
          </w:p>
        </w:tc>
        <w:tc>
          <w:tcPr>
            <w:tcW w:type="dxa" w:w="3168"/>
          </w:tcPr>
          <w:p>
            <w:r>
              <w:rPr>
                <w:sz w:val="20"/>
              </w:rPr>
              <w:t>Nested hierarchy up to 5 levels deep</w:t>
            </w:r>
          </w:p>
        </w:tc>
        <w:tc>
          <w:tcPr>
            <w:tcW w:type="dxa" w:w="3744"/>
          </w:tcPr>
          <w:p>
            <w:r>
              <w:rPr>
                <w:sz w:val="20"/>
              </w:rPr>
              <w:t>"Finance Apps &gt; AP/AR", "HR &gt; Recruitment"</w:t>
            </w:r>
          </w:p>
        </w:tc>
      </w:tr>
    </w:tbl>
    <w:p/>
    <w:p>
      <w:r>
        <w:t>Data never crosses namespace boundaries. Within a namespace, workspaces are isolated by default but can share catalog items and aggregate reporting through Workspace Groups. Inside each workspace, portfolios and sub-portfolios (up to 5 levels) let teams organize applications by business function, modernization wave, or any structure that fits their planning needs.</w:t>
      </w:r>
    </w:p>
    <w:p>
      <w:pPr>
        <w:pStyle w:val="Heading1"/>
      </w:pPr>
      <w:r>
        <w:t>Roles &amp; Access Control</w:t>
      </w:r>
    </w:p>
    <w:p>
      <w:r>
        <w:t>Five explicit roles provide granular control without licensing complexity:</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152"/>
            <w:shd w:fill="1A56DB" w:val="clear"/>
          </w:tcPr>
          <w:p>
            <w:pPr>
              <w:jc w:val="left"/>
            </w:pPr>
            <w:r>
              <w:rPr>
                <w:b/>
                <w:color w:val="FFFFFF"/>
                <w:sz w:val="20"/>
              </w:rPr>
              <w:t>Role</w:t>
            </w:r>
          </w:p>
        </w:tc>
        <w:tc>
          <w:tcPr>
            <w:tcW w:type="dxa" w:w="1296"/>
            <w:shd w:fill="1A56DB" w:val="clear"/>
          </w:tcPr>
          <w:p>
            <w:pPr>
              <w:jc w:val="left"/>
            </w:pPr>
            <w:r>
              <w:rPr>
                <w:b/>
                <w:color w:val="FFFFFF"/>
                <w:sz w:val="20"/>
              </w:rPr>
              <w:t>Can Create</w:t>
            </w:r>
          </w:p>
        </w:tc>
        <w:tc>
          <w:tcPr>
            <w:tcW w:type="dxa" w:w="1584"/>
            <w:shd w:fill="1A56DB" w:val="clear"/>
          </w:tcPr>
          <w:p>
            <w:pPr>
              <w:jc w:val="left"/>
            </w:pPr>
            <w:r>
              <w:rPr>
                <w:b/>
                <w:color w:val="FFFFFF"/>
                <w:sz w:val="20"/>
              </w:rPr>
              <w:t>Can Edit</w:t>
            </w:r>
          </w:p>
        </w:tc>
        <w:tc>
          <w:tcPr>
            <w:tcW w:type="dxa" w:w="1296"/>
            <w:shd w:fill="1A56DB" w:val="clear"/>
          </w:tcPr>
          <w:p>
            <w:pPr>
              <w:jc w:val="left"/>
            </w:pPr>
            <w:r>
              <w:rPr>
                <w:b/>
                <w:color w:val="FFFFFF"/>
                <w:sz w:val="20"/>
              </w:rPr>
              <w:t>Can View</w:t>
            </w:r>
          </w:p>
        </w:tc>
        <w:tc>
          <w:tcPr>
            <w:tcW w:type="dxa" w:w="3312"/>
            <w:shd w:fill="1A56DB" w:val="clear"/>
          </w:tcPr>
          <w:p>
            <w:pPr>
              <w:jc w:val="left"/>
            </w:pPr>
            <w:r>
              <w:rPr>
                <w:b/>
                <w:color w:val="FFFFFF"/>
                <w:sz w:val="20"/>
              </w:rPr>
              <w:t>Use Case</w:t>
            </w:r>
          </w:p>
        </w:tc>
      </w:tr>
      <w:tr>
        <w:tc>
          <w:tcPr>
            <w:tcW w:type="dxa" w:w="1152"/>
          </w:tcPr>
          <w:p>
            <w:r>
              <w:rPr>
                <w:sz w:val="20"/>
              </w:rPr>
              <w:t>Admin</w:t>
            </w:r>
          </w:p>
        </w:tc>
        <w:tc>
          <w:tcPr>
            <w:tcW w:type="dxa" w:w="1296"/>
          </w:tcPr>
          <w:p>
            <w:r>
              <w:rPr>
                <w:sz w:val="20"/>
              </w:rPr>
              <w:t>Everything</w:t>
            </w:r>
          </w:p>
        </w:tc>
        <w:tc>
          <w:tcPr>
            <w:tcW w:type="dxa" w:w="1584"/>
          </w:tcPr>
          <w:p>
            <w:r>
              <w:rPr>
                <w:sz w:val="20"/>
              </w:rPr>
              <w:t>Everything</w:t>
            </w:r>
          </w:p>
        </w:tc>
        <w:tc>
          <w:tcPr>
            <w:tcW w:type="dxa" w:w="1296"/>
          </w:tcPr>
          <w:p>
            <w:r>
              <w:rPr>
                <w:sz w:val="20"/>
              </w:rPr>
              <w:t>Everything</w:t>
            </w:r>
          </w:p>
        </w:tc>
        <w:tc>
          <w:tcPr>
            <w:tcW w:type="dxa" w:w="3312"/>
          </w:tcPr>
          <w:p>
            <w:r>
              <w:rPr>
                <w:sz w:val="20"/>
              </w:rPr>
              <w:t>Workspace owner</w:t>
            </w:r>
          </w:p>
        </w:tc>
      </w:tr>
      <w:tr>
        <w:tc>
          <w:tcPr>
            <w:tcW w:type="dxa" w:w="1152"/>
          </w:tcPr>
          <w:p>
            <w:r>
              <w:rPr>
                <w:sz w:val="20"/>
              </w:rPr>
              <w:t>Editor</w:t>
            </w:r>
          </w:p>
        </w:tc>
        <w:tc>
          <w:tcPr>
            <w:tcW w:type="dxa" w:w="1296"/>
          </w:tcPr>
          <w:p>
            <w:r>
              <w:rPr>
                <w:sz w:val="20"/>
              </w:rPr>
              <w:t>Everything</w:t>
            </w:r>
          </w:p>
        </w:tc>
        <w:tc>
          <w:tcPr>
            <w:tcW w:type="dxa" w:w="1584"/>
          </w:tcPr>
          <w:p>
            <w:r>
              <w:rPr>
                <w:sz w:val="20"/>
              </w:rPr>
              <w:t>Assigned items</w:t>
            </w:r>
          </w:p>
        </w:tc>
        <w:tc>
          <w:tcPr>
            <w:tcW w:type="dxa" w:w="1296"/>
          </w:tcPr>
          <w:p>
            <w:r>
              <w:rPr>
                <w:sz w:val="20"/>
              </w:rPr>
              <w:t>Everything</w:t>
            </w:r>
          </w:p>
        </w:tc>
        <w:tc>
          <w:tcPr>
            <w:tcW w:type="dxa" w:w="3312"/>
          </w:tcPr>
          <w:p>
            <w:r>
              <w:rPr>
                <w:sz w:val="20"/>
              </w:rPr>
              <w:t>IT analysts, portfolio managers</w:t>
            </w:r>
          </w:p>
        </w:tc>
      </w:tr>
      <w:tr>
        <w:tc>
          <w:tcPr>
            <w:tcW w:type="dxa" w:w="1152"/>
          </w:tcPr>
          <w:p>
            <w:r>
              <w:rPr>
                <w:sz w:val="20"/>
              </w:rPr>
              <w:t>Steward</w:t>
            </w:r>
          </w:p>
        </w:tc>
        <w:tc>
          <w:tcPr>
            <w:tcW w:type="dxa" w:w="1296"/>
          </w:tcPr>
          <w:p>
            <w:r>
              <w:rPr>
                <w:sz w:val="20"/>
              </w:rPr>
              <w:t>No</w:t>
            </w:r>
          </w:p>
        </w:tc>
        <w:tc>
          <w:tcPr>
            <w:tcW w:type="dxa" w:w="1584"/>
          </w:tcPr>
          <w:p>
            <w:r>
              <w:rPr>
                <w:sz w:val="20"/>
              </w:rPr>
              <w:t>Business Fit only</w:t>
            </w:r>
          </w:p>
        </w:tc>
        <w:tc>
          <w:tcPr>
            <w:tcW w:type="dxa" w:w="1296"/>
          </w:tcPr>
          <w:p>
            <w:r>
              <w:rPr>
                <w:sz w:val="20"/>
              </w:rPr>
              <w:t>Everything</w:t>
            </w:r>
          </w:p>
        </w:tc>
        <w:tc>
          <w:tcPr>
            <w:tcW w:type="dxa" w:w="3312"/>
          </w:tcPr>
          <w:p>
            <w:r>
              <w:rPr>
                <w:sz w:val="20"/>
              </w:rPr>
              <w:t>Application owners (Enterprise)</w:t>
            </w:r>
          </w:p>
        </w:tc>
      </w:tr>
      <w:tr>
        <w:tc>
          <w:tcPr>
            <w:tcW w:type="dxa" w:w="1152"/>
          </w:tcPr>
          <w:p>
            <w:r>
              <w:rPr>
                <w:sz w:val="20"/>
              </w:rPr>
              <w:t>Viewer</w:t>
            </w:r>
          </w:p>
        </w:tc>
        <w:tc>
          <w:tcPr>
            <w:tcW w:type="dxa" w:w="1296"/>
          </w:tcPr>
          <w:p>
            <w:r>
              <w:rPr>
                <w:sz w:val="20"/>
              </w:rPr>
              <w:t>No</w:t>
            </w:r>
          </w:p>
        </w:tc>
        <w:tc>
          <w:tcPr>
            <w:tcW w:type="dxa" w:w="1584"/>
          </w:tcPr>
          <w:p>
            <w:r>
              <w:rPr>
                <w:sz w:val="20"/>
              </w:rPr>
              <w:t>No</w:t>
            </w:r>
          </w:p>
        </w:tc>
        <w:tc>
          <w:tcPr>
            <w:tcW w:type="dxa" w:w="1296"/>
          </w:tcPr>
          <w:p>
            <w:r>
              <w:rPr>
                <w:sz w:val="20"/>
              </w:rPr>
              <w:t>Everything</w:t>
            </w:r>
          </w:p>
        </w:tc>
        <w:tc>
          <w:tcPr>
            <w:tcW w:type="dxa" w:w="3312"/>
          </w:tcPr>
          <w:p>
            <w:r>
              <w:rPr>
                <w:sz w:val="20"/>
              </w:rPr>
              <w:t>Executive dashboards</w:t>
            </w:r>
          </w:p>
        </w:tc>
      </w:tr>
      <w:tr>
        <w:tc>
          <w:tcPr>
            <w:tcW w:type="dxa" w:w="1152"/>
          </w:tcPr>
          <w:p>
            <w:r>
              <w:rPr>
                <w:sz w:val="20"/>
              </w:rPr>
              <w:t>Restricted</w:t>
            </w:r>
          </w:p>
        </w:tc>
        <w:tc>
          <w:tcPr>
            <w:tcW w:type="dxa" w:w="1296"/>
          </w:tcPr>
          <w:p>
            <w:r>
              <w:rPr>
                <w:sz w:val="20"/>
              </w:rPr>
              <w:t>No</w:t>
            </w:r>
          </w:p>
        </w:tc>
        <w:tc>
          <w:tcPr>
            <w:tcW w:type="dxa" w:w="1584"/>
          </w:tcPr>
          <w:p>
            <w:r>
              <w:rPr>
                <w:sz w:val="20"/>
              </w:rPr>
              <w:t>No</w:t>
            </w:r>
          </w:p>
        </w:tc>
        <w:tc>
          <w:tcPr>
            <w:tcW w:type="dxa" w:w="1296"/>
          </w:tcPr>
          <w:p>
            <w:r>
              <w:rPr>
                <w:sz w:val="20"/>
              </w:rPr>
              <w:t>Assigned only</w:t>
            </w:r>
          </w:p>
        </w:tc>
        <w:tc>
          <w:tcPr>
            <w:tcW w:type="dxa" w:w="3312"/>
          </w:tcPr>
          <w:p>
            <w:r>
              <w:rPr>
                <w:sz w:val="20"/>
              </w:rPr>
              <w:t>External contractors</w:t>
            </w:r>
          </w:p>
        </w:tc>
      </w:tr>
    </w:tbl>
    <w:p/>
    <w:p>
      <w:r>
        <w:rPr>
          <w:b/>
        </w:rPr>
        <w:t xml:space="preserve">Editor Pool: </w:t>
      </w:r>
      <w:r>
        <w:t>Editor licenses are pooled at the namespace level. One person working across 5 workspaces consumes 1 editor license, not 5.</w:t>
      </w:r>
    </w:p>
    <w:p>
      <w:r>
        <w:rPr>
          <w:b/>
        </w:rPr>
        <w:t xml:space="preserve">Steward Role (Enterprise): </w:t>
      </w:r>
      <w:r>
        <w:t>Application owners can update their own Business Fit scores and metadata without consuming an Editor license. This eliminates shadow spreadsheets and can save organizations with 50+ app owners significant licensing costs.</w:t>
      </w:r>
    </w:p>
    <w:p>
      <w:r>
        <w:rPr>
          <w:b/>
        </w:rPr>
        <w:t xml:space="preserve">Unlimited Viewers: </w:t>
      </w:r>
      <w:r>
        <w:t>Read-only access and dashboard viewing is unlimited across all tiers. Everyone who needs visibility gets it.</w:t>
      </w:r>
    </w:p>
    <w:p>
      <w:pPr>
        <w:pStyle w:val="Heading1"/>
      </w:pPr>
      <w:r>
        <w:t>Security &amp; Compliance</w:t>
      </w:r>
    </w:p>
    <w:p>
      <w:pPr>
        <w:pStyle w:val="ListBullet"/>
        <w:spacing w:after="60"/>
        <w:ind w:left="360"/>
      </w:pPr>
      <w:r>
        <w:t>Row-Level Security on every table (347 policies across 90 tables)</w:t>
      </w:r>
    </w:p>
    <w:p>
      <w:pPr>
        <w:pStyle w:val="ListBullet"/>
        <w:spacing w:after="60"/>
        <w:ind w:left="360"/>
      </w:pPr>
      <w:r>
        <w:t>Audit logging on all data mutations (365-day retention)</w:t>
      </w:r>
    </w:p>
    <w:p>
      <w:pPr>
        <w:pStyle w:val="ListBullet"/>
        <w:spacing w:after="60"/>
        <w:ind w:left="360"/>
      </w:pPr>
      <w:r>
        <w:t>Encryption in transit (TLS 1.2+) and at rest (AES-256)</w:t>
      </w:r>
    </w:p>
    <w:p>
      <w:pPr>
        <w:pStyle w:val="ListBullet"/>
        <w:spacing w:after="60"/>
        <w:ind w:left="360"/>
      </w:pPr>
      <w:r>
        <w:t>SSO via OIDC/SAML (Microsoft Entra ID, Google, custom SAML) — Plus &amp; Enterprise tiers</w:t>
      </w:r>
    </w:p>
    <w:p>
      <w:pPr>
        <w:pStyle w:val="ListBullet"/>
        <w:spacing w:after="60"/>
        <w:ind w:left="360"/>
      </w:pPr>
      <w:r>
        <w:t>MFA enforced through your identity provider</w:t>
      </w:r>
    </w:p>
    <w:p>
      <w:pPr>
        <w:pStyle w:val="ListBullet"/>
        <w:spacing w:after="60"/>
        <w:ind w:left="360"/>
      </w:pPr>
      <w:r>
        <w:t>Data residency: Canada (Montreal), US, or EU — locked at namespace creation</w:t>
      </w:r>
    </w:p>
    <w:p>
      <w:pPr>
        <w:pStyle w:val="ListBullet"/>
        <w:spacing w:after="60"/>
        <w:ind w:left="360"/>
      </w:pPr>
      <w:r>
        <w:t>SOC 2 Type II evidence collection active — target audit Q4 2026</w:t>
      </w:r>
    </w:p>
    <w:p>
      <w:pPr>
        <w:pStyle w:val="Heading1"/>
      </w:pPr>
      <w:r>
        <w:t>ITSM Platform Integration</w:t>
      </w:r>
    </w:p>
    <w:p>
      <w:r>
        <w:t>GetInSync is designed to complement your existing ITSM ecosystem, not replace it. The data model aligns with industry-standard service data models, so portfolio data flows naturally into your ITSM platform of choice.</w:t>
      </w:r>
    </w:p>
    <w:p>
      <w:pPr>
        <w:pStyle w:val="Heading2"/>
      </w:pPr>
      <w:r>
        <w:t>ServiceNow CSDM Alignment</w:t>
      </w:r>
    </w:p>
    <w:p>
      <w:r>
        <w:t>For organizations using ServiceNow, GetInSync is particularly well-suited as a staging environment for CSDM adoption. Every entity maps directly to a CSDM table:</w:t>
      </w:r>
    </w:p>
    <w:tbl>
      <w:tblPr>
        <w:tblStyle w:val="LightGrid-Accent1"/>
        <w:tblW w:type="auto" w:w="0"/>
        <w:jc w:val="center"/>
        <w:tblLook w:firstColumn="1" w:firstRow="1" w:lastColumn="0" w:lastRow="0" w:noHBand="0" w:noVBand="1" w:val="04A0"/>
      </w:tblPr>
      <w:tblGrid>
        <w:gridCol w:w="3135"/>
        <w:gridCol w:w="3135"/>
        <w:gridCol w:w="3135"/>
      </w:tblGrid>
      <w:tr>
        <w:tc>
          <w:tcPr>
            <w:tcW w:type="dxa" w:w="2160"/>
            <w:shd w:fill="1A56DB" w:val="clear"/>
          </w:tcPr>
          <w:p>
            <w:pPr>
              <w:jc w:val="left"/>
            </w:pPr>
            <w:r>
              <w:rPr>
                <w:b/>
                <w:color w:val="FFFFFF"/>
                <w:sz w:val="20"/>
              </w:rPr>
              <w:t>GetInSync Entity</w:t>
            </w:r>
          </w:p>
        </w:tc>
        <w:tc>
          <w:tcPr>
            <w:tcW w:type="dxa" w:w="2160"/>
            <w:shd w:fill="1A56DB" w:val="clear"/>
          </w:tcPr>
          <w:p>
            <w:pPr>
              <w:jc w:val="left"/>
            </w:pPr>
            <w:r>
              <w:rPr>
                <w:b/>
                <w:color w:val="FFFFFF"/>
                <w:sz w:val="20"/>
              </w:rPr>
              <w:t>CSDM Equivalent</w:t>
            </w:r>
          </w:p>
        </w:tc>
        <w:tc>
          <w:tcPr>
            <w:tcW w:type="dxa" w:w="4320"/>
            <w:shd w:fill="1A56DB" w:val="clear"/>
          </w:tcPr>
          <w:p>
            <w:pPr>
              <w:jc w:val="left"/>
            </w:pPr>
            <w:r>
              <w:rPr>
                <w:b/>
                <w:color w:val="FFFFFF"/>
                <w:sz w:val="20"/>
              </w:rPr>
              <w:t>What It Represents</w:t>
            </w:r>
          </w:p>
        </w:tc>
      </w:tr>
      <w:tr>
        <w:tc>
          <w:tcPr>
            <w:tcW w:type="dxa" w:w="2160"/>
          </w:tcPr>
          <w:p>
            <w:r>
              <w:rPr>
                <w:sz w:val="20"/>
              </w:rPr>
              <w:t>Business Application</w:t>
            </w:r>
          </w:p>
        </w:tc>
        <w:tc>
          <w:tcPr>
            <w:tcW w:type="dxa" w:w="2160"/>
          </w:tcPr>
          <w:p>
            <w:r>
              <w:rPr>
                <w:sz w:val="20"/>
              </w:rPr>
              <w:t>cmdb_ci_business_app</w:t>
            </w:r>
          </w:p>
        </w:tc>
        <w:tc>
          <w:tcPr>
            <w:tcW w:type="dxa" w:w="4320"/>
          </w:tcPr>
          <w:p>
            <w:r>
              <w:rPr>
                <w:sz w:val="20"/>
              </w:rPr>
              <w:t>The business intent — what the app does</w:t>
            </w:r>
          </w:p>
        </w:tc>
      </w:tr>
      <w:tr>
        <w:tc>
          <w:tcPr>
            <w:tcW w:type="dxa" w:w="2160"/>
          </w:tcPr>
          <w:p>
            <w:r>
              <w:rPr>
                <w:sz w:val="20"/>
              </w:rPr>
              <w:t>Deployment Profile</w:t>
            </w:r>
          </w:p>
        </w:tc>
        <w:tc>
          <w:tcPr>
            <w:tcW w:type="dxa" w:w="2160"/>
          </w:tcPr>
          <w:p>
            <w:r>
              <w:rPr>
                <w:sz w:val="20"/>
              </w:rPr>
              <w:t>Application Service</w:t>
            </w:r>
          </w:p>
        </w:tc>
        <w:tc>
          <w:tcPr>
            <w:tcW w:type="dxa" w:w="4320"/>
          </w:tcPr>
          <w:p>
            <w:r>
              <w:rPr>
                <w:sz w:val="20"/>
              </w:rPr>
              <w:t>A specific deployment with its own scores and costs</w:t>
            </w:r>
          </w:p>
        </w:tc>
      </w:tr>
      <w:tr>
        <w:tc>
          <w:tcPr>
            <w:tcW w:type="dxa" w:w="2160"/>
          </w:tcPr>
          <w:p>
            <w:r>
              <w:rPr>
                <w:sz w:val="20"/>
              </w:rPr>
              <w:t>IT Service (Shared)</w:t>
            </w:r>
          </w:p>
        </w:tc>
        <w:tc>
          <w:tcPr>
            <w:tcW w:type="dxa" w:w="2160"/>
          </w:tcPr>
          <w:p>
            <w:r>
              <w:rPr>
                <w:sz w:val="20"/>
              </w:rPr>
              <w:t>Service Offering</w:t>
            </w:r>
          </w:p>
        </w:tc>
        <w:tc>
          <w:tcPr>
            <w:tcW w:type="dxa" w:w="4320"/>
          </w:tcPr>
          <w:p>
            <w:r>
              <w:rPr>
                <w:sz w:val="20"/>
              </w:rPr>
              <w:t>Shared infrastructure consumed by multiple deployments</w:t>
            </w:r>
          </w:p>
        </w:tc>
      </w:tr>
      <w:tr>
        <w:tc>
          <w:tcPr>
            <w:tcW w:type="dxa" w:w="2160"/>
          </w:tcPr>
          <w:p>
            <w:r>
              <w:rPr>
                <w:sz w:val="20"/>
              </w:rPr>
              <w:t>Software Product</w:t>
            </w:r>
          </w:p>
        </w:tc>
        <w:tc>
          <w:tcPr>
            <w:tcW w:type="dxa" w:w="2160"/>
          </w:tcPr>
          <w:p>
            <w:r>
              <w:rPr>
                <w:sz w:val="20"/>
              </w:rPr>
              <w:t>Product Model</w:t>
            </w:r>
          </w:p>
        </w:tc>
        <w:tc>
          <w:tcPr>
            <w:tcW w:type="dxa" w:w="4320"/>
          </w:tcPr>
          <w:p>
            <w:r>
              <w:rPr>
                <w:sz w:val="20"/>
              </w:rPr>
              <w:t>Vendor software products in use</w:t>
            </w:r>
          </w:p>
        </w:tc>
      </w:tr>
      <w:tr>
        <w:tc>
          <w:tcPr>
            <w:tcW w:type="dxa" w:w="2160"/>
          </w:tcPr>
          <w:p>
            <w:r>
              <w:rPr>
                <w:sz w:val="20"/>
              </w:rPr>
              <w:t>Product Contract</w:t>
            </w:r>
          </w:p>
        </w:tc>
        <w:tc>
          <w:tcPr>
            <w:tcW w:type="dxa" w:w="2160"/>
          </w:tcPr>
          <w:p>
            <w:r>
              <w:rPr>
                <w:sz w:val="20"/>
              </w:rPr>
              <w:t>Contract</w:t>
            </w:r>
          </w:p>
        </w:tc>
        <w:tc>
          <w:tcPr>
            <w:tcW w:type="dxa" w:w="4320"/>
          </w:tcPr>
          <w:p>
            <w:r>
              <w:rPr>
                <w:sz w:val="20"/>
              </w:rPr>
              <w:t>Vendor licensing and subscription agreements</w:t>
            </w:r>
          </w:p>
        </w:tc>
      </w:tr>
    </w:tbl>
    <w:p/>
    <w:p>
      <w:r>
        <w:t>This makes GetInSync an ideal path for organizations in the "Crawl-to-Walk" phase of CSDM maturity: infrastructure discovery is done, but the business application layer is empty. GetInSync populates it — assessed, costed, and CSDM-aligned — in weeks rather than the 12–18 months a full ServiceNow APM implementation typically requires.</w:t>
      </w:r>
    </w:p>
    <w:p>
      <w:r>
        <w:t>When you're ready to activate ServiceNow APM, your data is clean and structured correctly. Or stay with GetInSync as a standalone APM platform — the data is yours either way.</w:t>
      </w:r>
    </w:p>
    <w:p>
      <w:pPr>
        <w:pStyle w:val="Heading1"/>
      </w:pPr>
      <w:r>
        <w:t>Pricing Overview</w:t>
      </w:r>
    </w:p>
    <w:p>
      <w:r>
        <w:t>Simple, predictable annual pricing. Unlimited applications, unlimited viewers, unlimited dashboards across all tiers.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160"/>
            <w:shd w:fill="1A56DB" w:val="clear"/>
          </w:tcPr>
          <w:p>
            <w:pPr>
              <w:jc w:val="left"/>
            </w:pPr>
            <w:r>
              <w:rPr>
                <w:b/>
                <w:color w:val="FFFFFF"/>
                <w:sz w:val="20"/>
              </w:rPr>
            </w:r>
          </w:p>
        </w:tc>
        <w:tc>
          <w:tcPr>
            <w:tcW w:type="dxa" w:w="2160"/>
            <w:shd w:fill="1A56DB" w:val="clear"/>
          </w:tcPr>
          <w:p>
            <w:pPr>
              <w:jc w:val="left"/>
            </w:pPr>
            <w:r>
              <w:rPr>
                <w:b/>
                <w:color w:val="FFFFFF"/>
                <w:sz w:val="20"/>
              </w:rPr>
              <w:t>Essentials</w:t>
            </w:r>
          </w:p>
        </w:tc>
        <w:tc>
          <w:tcPr>
            <w:tcW w:type="dxa" w:w="2160"/>
            <w:shd w:fill="1A56DB" w:val="clear"/>
          </w:tcPr>
          <w:p>
            <w:pPr>
              <w:jc w:val="left"/>
            </w:pPr>
            <w:r>
              <w:rPr>
                <w:b/>
                <w:color w:val="FFFFFF"/>
                <w:sz w:val="20"/>
              </w:rPr>
              <w:t>Plus</w:t>
            </w:r>
          </w:p>
        </w:tc>
        <w:tc>
          <w:tcPr>
            <w:tcW w:type="dxa" w:w="2160"/>
            <w:shd w:fill="1A56DB" w:val="clear"/>
          </w:tcPr>
          <w:p>
            <w:pPr>
              <w:jc w:val="left"/>
            </w:pPr>
            <w:r>
              <w:rPr>
                <w:b/>
                <w:color w:val="FFFFFF"/>
                <w:sz w:val="20"/>
              </w:rPr>
              <w:t>Enterprise</w:t>
            </w:r>
          </w:p>
        </w:tc>
      </w:tr>
      <w:tr>
        <w:tc>
          <w:tcPr>
            <w:tcW w:type="dxa" w:w="2160"/>
          </w:tcPr>
          <w:p>
            <w:r>
              <w:rPr>
                <w:sz w:val="20"/>
              </w:rPr>
              <w:t>Annual Price</w:t>
            </w:r>
          </w:p>
        </w:tc>
        <w:tc>
          <w:tcPr>
            <w:tcW w:type="dxa" w:w="2160"/>
          </w:tcPr>
          <w:p>
            <w:r>
              <w:rPr>
                <w:sz w:val="20"/>
              </w:rPr>
              <w:t>$15,000</w:t>
            </w:r>
          </w:p>
        </w:tc>
        <w:tc>
          <w:tcPr>
            <w:tcW w:type="dxa" w:w="2160"/>
          </w:tcPr>
          <w:p>
            <w:r>
              <w:rPr>
                <w:sz w:val="20"/>
              </w:rPr>
              <w:t>$30,000</w:t>
            </w:r>
          </w:p>
        </w:tc>
        <w:tc>
          <w:tcPr>
            <w:tcW w:type="dxa" w:w="2160"/>
          </w:tcPr>
          <w:p>
            <w:r>
              <w:rPr>
                <w:sz w:val="20"/>
              </w:rPr>
              <w:t>$62,500</w:t>
            </w:r>
          </w:p>
        </w:tc>
      </w:tr>
      <w:tr>
        <w:tc>
          <w:tcPr>
            <w:tcW w:type="dxa" w:w="2160"/>
          </w:tcPr>
          <w:p>
            <w:r>
              <w:rPr>
                <w:sz w:val="20"/>
              </w:rPr>
              <w:t>Workspaces</w:t>
            </w:r>
          </w:p>
        </w:tc>
        <w:tc>
          <w:tcPr>
            <w:tcW w:type="dxa" w:w="2160"/>
          </w:tcPr>
          <w:p>
            <w:r>
              <w:rPr>
                <w:sz w:val="20"/>
              </w:rPr>
              <w:t>5</w:t>
            </w:r>
          </w:p>
        </w:tc>
        <w:tc>
          <w:tcPr>
            <w:tcW w:type="dxa" w:w="2160"/>
          </w:tcPr>
          <w:p>
            <w:r>
              <w:rPr>
                <w:sz w:val="20"/>
              </w:rPr>
              <w:t>10</w:t>
            </w:r>
          </w:p>
        </w:tc>
        <w:tc>
          <w:tcPr>
            <w:tcW w:type="dxa" w:w="2160"/>
          </w:tcPr>
          <w:p>
            <w:r>
              <w:rPr>
                <w:sz w:val="20"/>
              </w:rPr>
              <w:t>25</w:t>
            </w:r>
          </w:p>
        </w:tc>
      </w:tr>
      <w:tr>
        <w:tc>
          <w:tcPr>
            <w:tcW w:type="dxa" w:w="2160"/>
          </w:tcPr>
          <w:p>
            <w:r>
              <w:rPr>
                <w:sz w:val="20"/>
              </w:rPr>
              <w:t>Editor Licenses</w:t>
            </w:r>
          </w:p>
        </w:tc>
        <w:tc>
          <w:tcPr>
            <w:tcW w:type="dxa" w:w="2160"/>
          </w:tcPr>
          <w:p>
            <w:r>
              <w:rPr>
                <w:sz w:val="20"/>
              </w:rPr>
              <w:t>5 (pooled)</w:t>
            </w:r>
          </w:p>
        </w:tc>
        <w:tc>
          <w:tcPr>
            <w:tcW w:type="dxa" w:w="2160"/>
          </w:tcPr>
          <w:p>
            <w:r>
              <w:rPr>
                <w:sz w:val="20"/>
              </w:rPr>
              <w:t>10 (pooled)</w:t>
            </w:r>
          </w:p>
        </w:tc>
        <w:tc>
          <w:tcPr>
            <w:tcW w:type="dxa" w:w="2160"/>
          </w:tcPr>
          <w:p>
            <w:r>
              <w:rPr>
                <w:sz w:val="20"/>
              </w:rPr>
              <w:t>25 (pooled)</w:t>
            </w:r>
          </w:p>
        </w:tc>
      </w:tr>
      <w:tr>
        <w:tc>
          <w:tcPr>
            <w:tcW w:type="dxa" w:w="2160"/>
          </w:tcPr>
          <w:p>
            <w:r>
              <w:rPr>
                <w:sz w:val="20"/>
              </w:rPr>
              <w:t>Steward Role</w:t>
            </w:r>
          </w:p>
        </w:tc>
        <w:tc>
          <w:tcPr>
            <w:tcW w:type="dxa" w:w="2160"/>
          </w:tcPr>
          <w:p>
            <w:r>
              <w:rPr>
                <w:sz w:val="20"/>
              </w:rPr>
              <w:t>—</w:t>
            </w:r>
          </w:p>
        </w:tc>
        <w:tc>
          <w:tcPr>
            <w:tcW w:type="dxa" w:w="2160"/>
          </w:tcPr>
          <w:p>
            <w:r>
              <w:rPr>
                <w:sz w:val="20"/>
              </w:rPr>
              <w:t>—</w:t>
            </w:r>
          </w:p>
        </w:tc>
        <w:tc>
          <w:tcPr>
            <w:tcW w:type="dxa" w:w="2160"/>
          </w:tcPr>
          <w:p>
            <w:r>
              <w:rPr>
                <w:sz w:val="20"/>
              </w:rPr>
              <w:t>Unlimited</w:t>
            </w:r>
          </w:p>
        </w:tc>
      </w:tr>
      <w:tr>
        <w:tc>
          <w:tcPr>
            <w:tcW w:type="dxa" w:w="2160"/>
          </w:tcPr>
          <w:p>
            <w:r>
              <w:rPr>
                <w:sz w:val="20"/>
              </w:rPr>
              <w:t>SSO (Entra ID / SAML)</w:t>
            </w:r>
          </w:p>
        </w:tc>
        <w:tc>
          <w:tcPr>
            <w:tcW w:type="dxa" w:w="2160"/>
          </w:tcPr>
          <w:p>
            <w:r>
              <w:rPr>
                <w:sz w:val="20"/>
              </w:rPr>
              <w:t>—</w:t>
            </w:r>
          </w:p>
        </w:tc>
        <w:tc>
          <w:tcPr>
            <w:tcW w:type="dxa" w:w="2160"/>
          </w:tcPr>
          <w:p>
            <w:r>
              <w:rPr>
                <w:sz w:val="20"/>
              </w:rPr>
              <w:t>Included</w:t>
            </w:r>
          </w:p>
        </w:tc>
        <w:tc>
          <w:tcPr>
            <w:tcW w:type="dxa" w:w="2160"/>
          </w:tcPr>
          <w:p>
            <w:r>
              <w:rPr>
                <w:sz w:val="20"/>
              </w:rPr>
              <w:t>Included</w:t>
            </w:r>
          </w:p>
        </w:tc>
      </w:tr>
      <w:tr>
        <w:tc>
          <w:tcPr>
            <w:tcW w:type="dxa" w:w="2160"/>
          </w:tcPr>
          <w:p>
            <w:r>
              <w:rPr>
                <w:sz w:val="20"/>
              </w:rPr>
              <w:t>API Access</w:t>
            </w:r>
          </w:p>
        </w:tc>
        <w:tc>
          <w:tcPr>
            <w:tcW w:type="dxa" w:w="2160"/>
          </w:tcPr>
          <w:p>
            <w:r>
              <w:rPr>
                <w:sz w:val="20"/>
              </w:rPr>
              <w:t>—</w:t>
            </w:r>
          </w:p>
        </w:tc>
        <w:tc>
          <w:tcPr>
            <w:tcW w:type="dxa" w:w="2160"/>
          </w:tcPr>
          <w:p>
            <w:r>
              <w:rPr>
                <w:sz w:val="20"/>
              </w:rPr>
              <w:t>—</w:t>
            </w:r>
          </w:p>
        </w:tc>
        <w:tc>
          <w:tcPr>
            <w:tcW w:type="dxa" w:w="2160"/>
          </w:tcPr>
          <w:p>
            <w:r>
              <w:rPr>
                <w:sz w:val="20"/>
              </w:rPr>
              <w:t>Included</w:t>
            </w:r>
          </w:p>
        </w:tc>
      </w:tr>
      <w:tr>
        <w:tc>
          <w:tcPr>
            <w:tcW w:type="dxa" w:w="2160"/>
          </w:tcPr>
          <w:p>
            <w:r>
              <w:rPr>
                <w:sz w:val="20"/>
              </w:rPr>
              <w:t>Applications</w:t>
            </w:r>
          </w:p>
        </w:tc>
        <w:tc>
          <w:tcPr>
            <w:tcW w:type="dxa" w:w="2160"/>
          </w:tcPr>
          <w:p>
            <w:r>
              <w:rPr>
                <w:sz w:val="20"/>
              </w:rPr>
              <w:t>Unlimited</w:t>
            </w:r>
          </w:p>
        </w:tc>
        <w:tc>
          <w:tcPr>
            <w:tcW w:type="dxa" w:w="2160"/>
          </w:tcPr>
          <w:p>
            <w:r>
              <w:rPr>
                <w:sz w:val="20"/>
              </w:rPr>
              <w:t>Unlimited</w:t>
            </w:r>
          </w:p>
        </w:tc>
        <w:tc>
          <w:tcPr>
            <w:tcW w:type="dxa" w:w="2160"/>
          </w:tcPr>
          <w:p>
            <w:r>
              <w:rPr>
                <w:sz w:val="20"/>
              </w:rPr>
              <w:t>Unlimited</w:t>
            </w:r>
          </w:p>
        </w:tc>
      </w:tr>
      <w:tr>
        <w:tc>
          <w:tcPr>
            <w:tcW w:type="dxa" w:w="2160"/>
          </w:tcPr>
          <w:p>
            <w:r>
              <w:rPr>
                <w:sz w:val="20"/>
              </w:rPr>
              <w:t>Viewers</w:t>
            </w:r>
          </w:p>
        </w:tc>
        <w:tc>
          <w:tcPr>
            <w:tcW w:type="dxa" w:w="2160"/>
          </w:tcPr>
          <w:p>
            <w:r>
              <w:rPr>
                <w:sz w:val="20"/>
              </w:rPr>
              <w:t>Unlimited</w:t>
            </w:r>
          </w:p>
        </w:tc>
        <w:tc>
          <w:tcPr>
            <w:tcW w:type="dxa" w:w="2160"/>
          </w:tcPr>
          <w:p>
            <w:r>
              <w:rPr>
                <w:sz w:val="20"/>
              </w:rPr>
              <w:t>Unlimited</w:t>
            </w:r>
          </w:p>
        </w:tc>
        <w:tc>
          <w:tcPr>
            <w:tcW w:type="dxa" w:w="2160"/>
          </w:tcPr>
          <w:p>
            <w:r>
              <w:rPr>
                <w:sz w:val="20"/>
              </w:rPr>
              <w:t>Unlimited</w:t>
            </w:r>
          </w:p>
        </w:tc>
      </w:tr>
    </w:tbl>
    <w:p/>
    <w:p>
      <w:r>
        <w:t>A 14-day trial is available with full feature access. Government and education discounts are available on request.</w:t>
      </w:r>
    </w:p>
    <w:p>
      <w:pPr>
        <w:pStyle w:val="Heading1"/>
      </w:pPr>
      <w:r>
        <w:t>Your Demo / Trial Login</w:t>
      </w:r>
    </w:p>
    <w:p>
      <w:r>
        <w:t>Your trial account is pre-configured with sample data so you can explore the platform immediately. Here's a suggested walkthrough:</w:t>
      </w:r>
    </w:p>
    <w:p>
      <w:r>
        <w:rPr>
          <w:b/>
        </w:rPr>
        <w:t>1. Application Portfolio</w:t>
      </w:r>
    </w:p>
    <w:p>
      <w:r>
        <w:t>Start in the Applications view. Browse the inventory, open an application to see its deployment profiles, ownership, and integration map. Notice how each deployment has its own assessment scores and cost attribution.</w:t>
      </w:r>
    </w:p>
    <w:p>
      <w:r>
        <w:rPr>
          <w:b/>
        </w:rPr>
        <w:t>2. Assessment Scores</w:t>
      </w:r>
    </w:p>
    <w:p>
      <w:r>
        <w:t>Open a deployment profile and review its TIME and PAID scores. These structured assessments drive Technology Health findings and Value Creation initiatives.</w:t>
      </w:r>
    </w:p>
    <w:p>
      <w:r>
        <w:rPr>
          <w:b/>
        </w:rPr>
        <w:t>3. Technology Health Dashboard</w:t>
      </w:r>
    </w:p>
    <w:p>
      <w:r>
        <w:t>Navigate to Technology Health. Lifecycle status, EOL risk, and blast radius analysis in a single dashboard — no more quarterly spreadsheet extracts.</w:t>
      </w:r>
    </w:p>
    <w:p>
      <w:r>
        <w:rPr>
          <w:b/>
        </w:rPr>
        <w:t>4. IT Value Creation</w:t>
      </w:r>
    </w:p>
    <w:p>
      <w:r>
        <w:t>Open the Value Creation module. Walk through: Findings (what we observed) → Ideas (what people suggested) → Initiatives (what we're going to do) → Programs (how it's organized). This is the "so what?" that other APM tools don't answer.</w:t>
      </w:r>
    </w:p>
    <w:p>
      <w:r>
        <w:rPr>
          <w:b/>
        </w:rPr>
        <w:t>5. Cost &amp; Budgets</w:t>
      </w:r>
    </w:p>
    <w:p>
      <w:r>
        <w:t>Review cost attribution through the three channels. Look for stranded cost indicators — unallocated spend that represents optimization opportunities.</w:t>
      </w:r>
    </w:p>
    <w:p>
      <w:pPr>
        <w:pStyle w:val="Heading1"/>
      </w:pPr>
      <w:r>
        <w:t>Why GetInSync?</w:t>
      </w:r>
    </w:p>
    <w:p>
      <w:r>
        <w:rPr>
          <w:i/>
        </w:rPr>
        <w:t>For IT leaders who need answers now:</w:t>
      </w:r>
    </w:p>
    <w:p>
      <w:pPr>
        <w:pStyle w:val="ListBullet"/>
        <w:spacing w:after="60"/>
        <w:ind w:left="360"/>
      </w:pPr>
      <w:r>
        <w:t>Month 1 value, not Year 2. Portfolio visibility from the first week.</w:t>
      </w:r>
    </w:p>
    <w:p>
      <w:pPr>
        <w:pStyle w:val="ListBullet"/>
        <w:spacing w:after="60"/>
        <w:ind w:left="360"/>
      </w:pPr>
      <w:r>
        <w:t>Technology Health replaces quarterly spreadsheet extracts with a living dashboard.</w:t>
      </w:r>
    </w:p>
    <w:p>
      <w:pPr>
        <w:pStyle w:val="ListBullet"/>
        <w:spacing w:after="60"/>
        <w:ind w:left="360"/>
      </w:pPr>
      <w:r>
        <w:t>Value Creation turns "here's what's wrong" into "here's what we're doing about it, in what order, and what it costs."</w:t>
      </w:r>
    </w:p>
    <w:p>
      <w:pPr>
        <w:pStyle w:val="ListBullet"/>
        <w:spacing w:after="60"/>
        <w:ind w:left="360"/>
      </w:pPr>
      <w:r>
        <w:t>Application owners maintain their own data through the Steward role — no more chasing people for updates.</w:t>
      </w:r>
    </w:p>
    <w:p/>
    <w:p>
      <w:r>
        <w:rPr>
          <w:i/>
        </w:rPr>
        <w:t>For IT finance and governance:</w:t>
      </w:r>
    </w:p>
    <w:p>
      <w:pPr>
        <w:pStyle w:val="ListBullet"/>
        <w:spacing w:after="60"/>
        <w:ind w:left="360"/>
      </w:pPr>
      <w:r>
        <w:t>Every dollar has a home and an owner through three clean cost channels.</w:t>
      </w:r>
    </w:p>
    <w:p>
      <w:pPr>
        <w:pStyle w:val="ListBullet"/>
        <w:spacing w:after="60"/>
        <w:ind w:left="360"/>
      </w:pPr>
      <w:r>
        <w:t>Stranded cost detection surfaces optimization opportunities automatically.</w:t>
      </w:r>
    </w:p>
    <w:p>
      <w:pPr>
        <w:pStyle w:val="ListBullet"/>
        <w:spacing w:after="60"/>
        <w:ind w:left="360"/>
      </w:pPr>
      <w:r>
        <w:t>Data residency compliance built in — region locked at creation, not an afterthought.</w:t>
      </w:r>
    </w:p>
    <w:p>
      <w:pPr>
        <w:pStyle w:val="ListBullet"/>
        <w:spacing w:after="60"/>
        <w:ind w:left="360"/>
      </w:pPr>
      <w:r>
        <w:t>Full audit trail with 365-day retention for compliance and regulatory reporting.</w:t>
      </w:r>
    </w:p>
    <w:p/>
    <w:p>
      <w:r>
        <w:rPr>
          <w:i/>
        </w:rPr>
        <w:t>For organizations with ITSM platforms:</w:t>
      </w:r>
    </w:p>
    <w:p>
      <w:pPr>
        <w:pStyle w:val="ListBullet"/>
        <w:spacing w:after="60"/>
        <w:ind w:left="360"/>
      </w:pPr>
      <w:r>
        <w:t>Data model aligns with industry-standard service data models out of the box.</w:t>
      </w:r>
    </w:p>
    <w:p>
      <w:pPr>
        <w:pStyle w:val="ListBullet"/>
        <w:spacing w:after="60"/>
        <w:ind w:left="360"/>
      </w:pPr>
      <w:r>
        <w:t>Produces clean, structured portfolio data that integrates with your ITSM ecosystem.</w:t>
      </w:r>
    </w:p>
    <w:p>
      <w:pPr>
        <w:pStyle w:val="ListBullet"/>
        <w:spacing w:after="60"/>
        <w:ind w:left="360"/>
      </w:pPr>
      <w:r>
        <w:t>For ServiceNow shops: direct CSDM alignment makes it the ideal Crawl-to-Walk accelerator.</w:t>
      </w:r>
    </w:p>
    <w:p>
      <w:pPr>
        <w:pStyle w:val="ListBullet"/>
        <w:spacing w:after="60"/>
        <w:ind w:left="360"/>
      </w:pPr>
      <w:r>
        <w:t>Standalone value regardless of your ITSM tooling — the platform stands on its own.</w:t>
      </w:r>
    </w:p>
    <w:p>
      <w:pPr>
        <w:pStyle w:val="Heading1"/>
      </w:pPr>
      <w:r>
        <w:t>Next Steps</w:t>
      </w:r>
    </w:p>
    <w:p>
      <w:r>
        <w:t>We'd love to walk you through a live demo tailored to your organization's context. Whether you're looking for immediate portfolio visibility, need to rationalize technology health across departments, or want a structured path from assessment to action — we can help.</w:t>
      </w:r>
    </w:p>
    <w:p>
      <w:pPr>
        <w:pStyle w:val="ListBullet"/>
        <w:spacing w:after="60"/>
        <w:ind w:left="360"/>
      </w:pPr>
      <w:r>
        <w:rPr>
          <w:b/>
          <w:sz w:val="22"/>
        </w:rPr>
        <w:t xml:space="preserve">Platform: </w:t>
      </w:r>
      <w:r>
        <w:t>nextgen.getinsync.ca</w:t>
      </w:r>
    </w:p>
    <w:p>
      <w:pPr>
        <w:pStyle w:val="ListBullet"/>
        <w:spacing w:after="60"/>
        <w:ind w:left="360"/>
      </w:pPr>
      <w:r>
        <w:rPr>
          <w:b/>
          <w:sz w:val="22"/>
        </w:rPr>
        <w:t xml:space="preserve">Website: </w:t>
      </w:r>
      <w:r>
        <w:t>getinsync.ca</w:t>
      </w:r>
    </w:p>
    <w:p>
      <w:pPr>
        <w:pStyle w:val="ListBullet"/>
        <w:spacing w:after="60"/>
        <w:ind w:left="360"/>
      </w:pPr>
      <w:r>
        <w:rPr>
          <w:b/>
          <w:sz w:val="22"/>
        </w:rPr>
        <w:t xml:space="preserve">Trial: </w:t>
      </w:r>
      <w:r>
        <w:t>Start a 14-day trial with full access and sample data</w:t>
      </w:r>
    </w:p>
    <w:p/>
    <w:p>
      <w:pPr>
        <w:jc w:val="center"/>
      </w:pPr>
      <w:r>
        <w:rPr>
          <w:color w:val="AAAAAA"/>
        </w:rPr>
        <w:t>—</w:t>
      </w:r>
    </w:p>
    <w:p>
      <w:pPr>
        <w:jc w:val="center"/>
      </w:pPr>
      <w:r>
        <w:rPr>
          <w:color w:val="AAAAAA"/>
          <w:sz w:val="18"/>
        </w:rPr>
        <w:t>GetInSync NextGen — Product Brief — February 2026</w:t>
      </w:r>
    </w:p>
    <w:sectPr w:rsidR="00FC693F" w:rsidRPr="0006063C" w:rsidSect="00034616">
      <w:headerReference w:type="default" r:id="rId9"/>
      <w:footerReference w:type="default" r:id="rId10"/>
      <w:pgSz w:w="12240" w:h="15840"/>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tabs>
        <w:tab w:val="right" w:pos="9360"/>
      </w:tabs>
      <w:pBdr>
        <w:top w:val="single" w:sz="4" w:space="4" w:color="CCCCCC"/>
      </w:pBdr>
    </w:pPr>
    <w:r>
      <w:rPr>
        <w:rFonts w:ascii="Calibri" w:hAnsi="Calibri"/>
        <w:color w:val="999999"/>
        <w:sz w:val="18"/>
      </w:rPr>
      <w:t>February 2026</w:t>
    </w:r>
    <w:r>
      <w:rPr>
        <w:sz w:val="18"/>
      </w:rPr>
      <w:tab/>
    </w:r>
    <w:r>
      <w:rPr>
        <w:rFonts w:ascii="Calibri" w:hAnsi="Calibri"/>
        <w:color w:val="999999"/>
        <w:sz w:val="18"/>
      </w:rPr>
      <w:t xml:space="preserve">Page </w:t>
    </w:r>
    <w:r>
      <w:rPr>
        <w:sz w:val="18"/>
        <w:color w:val="999999"/>
      </w:rPr>
      <w:fldChar w:fldCharType="begin"/>
    </w:r>
    <w:r>
      <w:rPr>
        <w:sz w:val="18"/>
        <w:color w:val="999999"/>
      </w:rPr>
      <w:instrText xml:space="preserve"> PAGE </w:instrText>
    </w:r>
    <w:r>
      <w:rPr>
        <w:sz w:val="18"/>
        <w:color w:val="999999"/>
      </w:rPr>
      <w:fldChar w:fldCharType="end"/>
    </w:r>
    <w:r>
      <w:rPr>
        <w:rFonts w:ascii="Calibri" w:hAnsi="Calibri"/>
        <w:color w:val="999999"/>
        <w:sz w:val="18"/>
      </w:rPr>
      <w:t xml:space="preserve"> of </w:t>
    </w:r>
    <w:r>
      <w:rPr>
        <w:sz w:val="18"/>
        <w:color w:val="999999"/>
      </w:rPr>
      <w:fldChar w:fldCharType="begin"/>
    </w:r>
    <w:r>
      <w:rPr>
        <w:sz w:val="18"/>
        <w:color w:val="999999"/>
      </w:rPr>
      <w:instrText xml:space="preserve"> NUMPAGES </w:instrText>
    </w:r>
    <w:r>
      <w:rPr>
        <w:sz w:val="18"/>
        <w:color w:val="999999"/>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left"/>
      <w:pBdr>
        <w:bottom w:val="single" w:sz="4" w:space="4" w:color="CCCCCC"/>
      </w:pBdr>
    </w:pPr>
    <w:r>
      <w:rPr>
        <w:rFonts w:ascii="Calibri" w:hAnsi="Calibri"/>
        <w:b/>
        <w:color w:val="1A56DB"/>
        <w:sz w:val="18"/>
      </w:rPr>
      <w:t>GetInSync NextGen</w:t>
    </w:r>
    <w:r>
      <w:rPr>
        <w:rFonts w:ascii="Calibri" w:hAnsi="Calibri"/>
        <w:color w:val="999999"/>
        <w:sz w:val="18"/>
      </w:rPr>
      <w:t xml:space="preserve">  |  Product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56DB"/>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A56DB"/>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56D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