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1A2744"/>
          <w:sz w:val="52"/>
          <w:szCs w:val="52"/>
        </w:rPr>
        <w:t xml:space="preserve">GetInSync NextGen</w:t>
      </w:r>
    </w:p>
    <w:p>
      <w:pPr>
        <w:spacing w:after="80"/>
      </w:pPr>
      <w:r>
        <w:rPr>
          <w:rFonts w:ascii="Arial" w:cs="Arial" w:eastAsia="Arial" w:hAnsi="Arial"/>
          <w:color w:val="028090"/>
          <w:sz w:val="28"/>
          <w:szCs w:val="28"/>
        </w:rPr>
        <w:t xml:space="preserve">City of Garland — Presentation Content</w:t>
      </w:r>
    </w:p>
    <w:p>
      <w:pPr>
        <w:spacing w:after="4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April 2026  |  For Internal Review</w:t>
      </w:r>
    </w:p>
    <w:p>
      <w:pPr>
        <w:pBdr>
          <w:bottom w:val="single" w:color="028090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18 slides  |  ~25–30 minutes</w:t>
      </w:r>
    </w:p>
    <w:p>
      <w:pPr>
        <w:spacing w:after="12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Structure: 3 opening slides + 7 capability areas (pitch + comparison each) + 1 closing data model slide.</w:t>
      </w:r>
    </w:p>
    <w:p>
      <w:pPr>
        <w:spacing w:after="12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Every slide includes a footer CTA pulling toward the half-day workshop.</w:t>
      </w:r>
    </w:p>
    <w:p>
      <w:pPr>
        <w:pBdr>
          <w:bottom w:val="single" w:color="028090" w:sz="2" w:space="1"/>
        </w:pBdr>
        <w:spacing w:after="200" w:before="200"/>
      </w:pPr>
    </w:p>
    <w:p>
      <w:pPr>
        <w:shd w:fill="E8F4F6" w:val="clear"/>
        <w:spacing w:after="60" w:before="3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SLIDE 1</w:t>
      </w: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  —  Title</w:t>
      </w:r>
    </w:p>
    <w:p>
      <w:pPr>
        <w:spacing w:after="12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GetInSync NextGen</w:t>
      </w:r>
    </w:p>
    <w:p>
      <w:pPr>
        <w:spacing w:after="12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Built for What's Next</w:t>
      </w:r>
    </w:p>
    <w:p>
      <w:pPr>
        <w:spacing w:after="12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Prepared for the City of Garland  |  April 2026</w:t>
      </w:r>
    </w:p>
    <w:p>
      <w:pPr>
        <w:spacing w:after="12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getinsync.ca</w:t>
      </w:r>
    </w:p>
    <w:p>
      <w:pPr>
        <w:pBdr>
          <w:bottom w:val="single" w:color="028090" w:sz="2" w:space="1"/>
        </w:pBdr>
        <w:spacing w:after="200" w:before="200"/>
      </w:pPr>
    </w:p>
    <w:p>
      <w:pPr>
        <w:shd w:fill="E8F4F6" w:val="clear"/>
        <w:spacing w:after="60" w:before="3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SLIDE 2</w:t>
      </w: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  —  Your Input Shapes What Ships</w:t>
      </w:r>
    </w:p>
    <w:p>
      <w:pPr>
        <w:spacing w:after="12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We're in an active development window right now. Your participation helps us validate what we've built and prioritize what comes next.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Validate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Join us for a half-day workshop where we walk through your portfolio data in NextGen together. Confirm the cost model, portfolio isolation, and contract tracking work the way you need them to.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Influence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Your feedback directly shapes feature priority. Budget cycle management, vendor reporting, assessment delegation — tell us what matters most to you.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Go Live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Your application data has a proven migration path. When you're ready, the transition is a migration — not a restart. Your investment is preserved.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Let's book a half-day workshop.</w:t>
      </w:r>
    </w:p>
    <w:p>
      <w:pPr>
        <w:pBdr>
          <w:bottom w:val="single" w:color="028090" w:sz="2" w:space="1"/>
        </w:pBdr>
        <w:spacing w:after="200" w:before="200"/>
      </w:pPr>
    </w:p>
    <w:p>
      <w:pPr>
        <w:shd w:fill="E8F4F6" w:val="clear"/>
        <w:spacing w:after="60" w:before="3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SLIDE 3</w:t>
      </w: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  —  What's New in NextGen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28090"/>
          <w:sz w:val="22"/>
          <w:szCs w:val="22"/>
        </w:rPr>
        <w:t xml:space="preserve">A new platform built on everything we learned from the original.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How this presentation works:</w:t>
      </w:r>
    </w:p>
    <w:p>
      <w:pPr>
        <w:spacing w:after="12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For each capability, we'll show you two slides. The first describes what NextGen delivers. The second puts it side-by-side with what you have today — so you can see exactly what changes and why.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Have Today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NextGen Delivers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Cost Tracking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A single total cost field with no timeframe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Multi-year budgets, vendor rollups, contract lifecycle, and an IT Spend dashboard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We'll walk through seven capability areas in this format: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Cost Intelligence &amp; Contract Management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Every dollar tracked, every contract managed, every vendor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Portfolio Isolation &amp; Controlled Sharing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Each city department gets its own secure environment. The Police department sees only their applications. HR sees only theirs.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Assessment Framework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Ten business questions, fourteen technical questions. TIME, PAID, and Criticality built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AI-Powered Portfolio Intelligence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Ask questions in plain English. Get answers from your live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Technology Health &amp; Lifecycle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AI-augmented end-of-life tracking — out of the box, not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Security, Compliance &amp; Access Controls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Enterprise identity, full audit trails, data residency by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CSDM-Ready Data Model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Your application data follows an industry-standard service data model.</w:t>
      </w:r>
    </w:p>
    <w:p>
      <w:pPr>
        <w:pBdr>
          <w:bottom w:val="single" w:color="028090" w:sz="2" w:space="1"/>
        </w:pBdr>
        <w:spacing w:after="200" w:before="200"/>
      </w:pPr>
    </w:p>
    <w:p>
      <w:pPr>
        <w:shd w:fill="E8F4F6" w:val="clear"/>
        <w:spacing w:after="60" w:before="3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SLIDE 4</w:t>
      </w: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  —  Cost Intelligence &amp; Contract Management (Pitch)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28090"/>
          <w:sz w:val="22"/>
          <w:szCs w:val="22"/>
        </w:rPr>
        <w:t xml:space="preserve">"Every dollar needs a home and an owner."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Multi-Year Budget Tracking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Track application spending across fiscal years. Prior-year comparisons provide context for budget planning and variance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Budget Cycle Management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Align application costs to your fiscal calendar. Plan renewals, flag budget overruns before they happen.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Vendor Spend Rollups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Total spend per vendor across your entire portfolio. No more consolidating spreadsheets from multiple departments.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Contract Lifecycle Tracking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Contract reference, start/end dates, renewal notice windows. Expiry dashboard with status badges — expired, renewal due, expiring soon.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IT Spend Dashboard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Filter-responsive KPIs by portfolio, vendor, lifecycle status. Drill into any number to see the applications behind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Double-Count Safeguards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Each application follows one cost path. Warning prompts when mixing IT Service and Cost Bundle attribution on the same app.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We'll walk through your actual cost data in the live demo.</w:t>
      </w:r>
    </w:p>
    <w:p>
      <w:pPr>
        <w:pBdr>
          <w:bottom w:val="single" w:color="028090" w:sz="2" w:space="1"/>
        </w:pBdr>
        <w:spacing w:after="200" w:before="200"/>
      </w:pPr>
    </w:p>
    <w:p>
      <w:pPr>
        <w:shd w:fill="E8F4F6" w:val="clear"/>
        <w:spacing w:after="60" w:before="3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SLIDE 5</w:t>
      </w: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  —  Cost Intelligence (Today vs NextGen)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Have Today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NextGen Delivers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Total cost field with no timeframe — no annual budget 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Multi-year budget tracking with prior-year comparisons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No fiscal year alignment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Budget cycle management aligned to your fiscal calendar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No vendor-level rollups — costs live on individual apps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Vendor spend rollups across the entire portfolio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No contract tracking — no dates, no renewal windows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Contract lifecycle with reference, dates, renewal notices, and expiry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No cost dashboard — manual spreadsheet consolidation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IT Spend dashboard with filter-responsive KPIs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Technology costs attached to the application — shared tech gets double-counted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Two cost channels (IT Services + Cost Bundles) with double-count safeguards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Costs are estimates with no workspace allocation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Every dollar attributed to a workspace, a vendor, and an owner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We'll walk through your actual cost data in the live demo.</w:t>
      </w:r>
    </w:p>
    <w:p>
      <w:pPr>
        <w:pBdr>
          <w:bottom w:val="single" w:color="028090" w:sz="2" w:space="1"/>
        </w:pBdr>
        <w:spacing w:after="200" w:before="200"/>
      </w:pPr>
    </w:p>
    <w:p>
      <w:pPr>
        <w:shd w:fill="E8F4F6" w:val="clear"/>
        <w:spacing w:after="60" w:before="3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SLIDE 6</w:t>
      </w: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  —  Portfolio Isolation &amp; Controlled Sharing (Pitch)</w:t>
      </w:r>
    </w:p>
    <w:p>
      <w:pPr>
        <w:spacing w:after="12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When the Police department logs in, they see only their applications — CAD, records management, body cameras. No scrolling past HR or Finance. Their dashboard, their data — nothing else.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No noise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Every user and manager sees a dashboard populated only with the applications that matter to them. Nobody wades through hundreds of applications to find the ones that are theirs.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Complete autonomy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Each division operates independently — running their own assessments, managing their own contacts, tracking their own costs. Think of each Workspace as a mini-GetInSync for that division.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Enforced at the database level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Row Level Security means if you're not a member of a Workspace, the data doesn't exist to you. Not hidden — absent.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Portfolios still work the way you know them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Inside each Workspace, portfolios are how you group and report on applications.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Four portfolio boxes on the slide: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Financial Services Portfolio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Public Safety — Police Portfolio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Human Resources Portfolio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Information Technology Portfolio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Workspace Groups:</w:t>
      </w:r>
    </w:p>
    <w:p>
      <w:pPr>
        <w:spacing w:after="12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IT publishes shared apps (M365, network, cybersecurity). Other divisions consume them — one record, no duplication, costs allocated once.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Leadership views:</w:t>
      </w:r>
    </w:p>
    <w:p>
      <w:pPr>
        <w:spacing w:after="12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Span all portfolios for reporting — without breaking isolation.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We'd like your input on how to name your workspaces.</w:t>
      </w:r>
    </w:p>
    <w:p>
      <w:pPr>
        <w:pBdr>
          <w:bottom w:val="single" w:color="028090" w:sz="2" w:space="1"/>
        </w:pBdr>
        <w:spacing w:after="200" w:before="200"/>
      </w:pPr>
    </w:p>
    <w:p>
      <w:pPr>
        <w:shd w:fill="E8F4F6" w:val="clear"/>
        <w:spacing w:after="60" w:before="3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SLIDE 7</w:t>
      </w: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  —  Portfolio Isolation (Today vs NextGen)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Have Today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NextGen Delivers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All users see all applications in one pool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Each department gets its own Workspace — a self-contained mini-GetInSync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No isolation — Police scrolls past Finance and HR to find their apps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No noise — dashboard shows only the applications in your Workspace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No curtaining — access is all-or-nothing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Row Level Security — if you're not a member, the data doesn't exist to you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Shared applications duplicated across portfolios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Workspace Groups — publish once, consume across divisions, costs allocated once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We'd like your input on how to name your workspaces.</w:t>
      </w:r>
    </w:p>
    <w:p>
      <w:pPr>
        <w:pBdr>
          <w:bottom w:val="single" w:color="028090" w:sz="2" w:space="1"/>
        </w:pBdr>
        <w:spacing w:after="200" w:before="200"/>
      </w:pPr>
    </w:p>
    <w:p>
      <w:pPr>
        <w:shd w:fill="E8F4F6" w:val="clear"/>
        <w:spacing w:after="60" w:before="3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SLIDE 8</w:t>
      </w: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  —  Assessment Framework — TIME, PAID &amp; Criticality (Pitch)</w:t>
      </w:r>
    </w:p>
    <w:p>
      <w:pPr>
        <w:spacing w:after="12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Ten business questions. Fourteen technical questions. Two frameworks. Criticality isn't an afterthought — it's baked into every assessment.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TIME (Technical Health vs Business Fit)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Tolerate, Invest, Modernize, Eliminate. "What should we do with this application?"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PAID (new) (Criticality vs Tech Risk)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Plan, Address, Improve, Divest. "How urgently do we need to act?"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Criticality is derived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Not a separate field someone fills in. It comes directly from the business assessment scores. No manual tagging, no subjective override.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Configurable weights and thresholds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Your organization decides what matters most. Factor weights and quadrant thresholds are adjustable at the organizational level.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We'll walk through an assessment live — 24 questions, two actionable quadrants.</w:t>
      </w:r>
    </w:p>
    <w:p>
      <w:pPr>
        <w:pBdr>
          <w:bottom w:val="single" w:color="028090" w:sz="2" w:space="1"/>
        </w:pBdr>
        <w:spacing w:after="200" w:before="200"/>
      </w:pPr>
    </w:p>
    <w:p>
      <w:pPr>
        <w:shd w:fill="E8F4F6" w:val="clear"/>
        <w:spacing w:after="60" w:before="3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SLIDE 9</w:t>
      </w: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  —  What the Assessment Produces (Pitch)</w:t>
      </w:r>
    </w:p>
    <w:p>
      <w:pPr>
        <w:spacing w:after="12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Classification and quantification — not just what to do, but what it costs.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TIME Quadrant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What should we do with this application? Tolerate it, Invest in it, Modernize it, or Eliminate it.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PAID Quadrant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How urgently do we need to act? Plan for it, Address it, Improve it, or Divest from it.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Run Rate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What does it cost to keep this application running today? Operational and recurring costs attributed to each application.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Tech Debt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What would it cost to modernize or remediate this application? The investment required to move from "tolerate" to "invest."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We'll show you your portfolio plotted on both quadrants with run rate and tech debt attached.</w:t>
      </w:r>
    </w:p>
    <w:p>
      <w:pPr>
        <w:pBdr>
          <w:bottom w:val="single" w:color="028090" w:sz="2" w:space="1"/>
        </w:pBdr>
        <w:spacing w:after="200" w:before="200"/>
      </w:pPr>
    </w:p>
    <w:p>
      <w:pPr>
        <w:shd w:fill="E8F4F6" w:val="clear"/>
        <w:spacing w:after="60" w:before="3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SLIDE 10</w:t>
      </w: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  —  Assessment (Today vs NextGen)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Have Today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NextGen Delivers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TIME framework only (B1–B10, T01–T15)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TIME + PAID — two frameworks from the same 24 questions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No PAID framework — no urgency signal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PAID answers "how urgently do we need to act?"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Criticality is a manual field — subjective, inconsistent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Criticality is derived from business assessment scores — no manual tagging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Same factor weights for everyone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Configurable weights and thresholds at the organizational level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TIME quadrant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TIME + PAID quadrants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No run rate calculation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Run Rate — what it costs to keep this application running today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No tech debt quantification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Tech Debt — what it would cost to modernize or remediate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Classification without quantification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Classification and quantification — what to do, how urgent, and what it costs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We'll walk through an assessment live — 24 questions, two actionable quadrants.</w:t>
      </w:r>
    </w:p>
    <w:p>
      <w:pPr>
        <w:pBdr>
          <w:bottom w:val="single" w:color="028090" w:sz="2" w:space="1"/>
        </w:pBdr>
        <w:spacing w:after="200" w:before="200"/>
      </w:pPr>
    </w:p>
    <w:p>
      <w:pPr>
        <w:shd w:fill="E8F4F6" w:val="clear"/>
        <w:spacing w:after="60" w:before="3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SLIDE 11</w:t>
      </w: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  —  AI-Powered Portfolio Intelligence (Pitch)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28090"/>
          <w:sz w:val="22"/>
          <w:szCs w:val="22"/>
        </w:rPr>
        <w:t xml:space="preserve">Stop building reports. Start asking questions.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"How much are we spending with Oracle across all departments?"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Queries vendor spend across IT Services and Cost Bundles, rolls up by vendor.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"Which contracts expire in the next 90 days?"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Scans contract lifecycle data, flags renewals due by date range.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"What's our total IT spend by workspace?"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Aggregates cost data across both cost channels, grouped by portfolio.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"Show me applications with end-of-support technology"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Cross-references technology tags with lifecycle reference dates.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"Which vendors have the most applications?"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Counts application-to-vendor relationships across the entire portfolio.</w:t>
      </w:r>
    </w:p>
    <w:p>
      <w:pPr>
        <w:spacing w:after="12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Every question runs against your live data — not a static export. Answers in seconds, not days.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Try these queries live against your portfolio in the demo.</w:t>
      </w:r>
    </w:p>
    <w:p>
      <w:pPr>
        <w:pBdr>
          <w:bottom w:val="single" w:color="028090" w:sz="2" w:space="1"/>
        </w:pBdr>
        <w:spacing w:after="200" w:before="200"/>
      </w:pPr>
    </w:p>
    <w:p>
      <w:pPr>
        <w:shd w:fill="E8F4F6" w:val="clear"/>
        <w:spacing w:after="60" w:before="3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SLIDE 12</w:t>
      </w: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  —  AI-Powered (Today vs NextGen)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Have Today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NextGen Delivers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Manual filtering and report building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Ask questions in plain English — answers in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No AI capability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10 AI tools query costs, vendors, contracts, technology, and portfolio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Static exports for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Every query runs against live data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Try these queries live against your portfolio in the demo.</w:t>
      </w:r>
    </w:p>
    <w:p>
      <w:pPr>
        <w:pBdr>
          <w:bottom w:val="single" w:color="028090" w:sz="2" w:space="1"/>
        </w:pBdr>
        <w:spacing w:after="200" w:before="200"/>
      </w:pPr>
    </w:p>
    <w:p>
      <w:pPr>
        <w:shd w:fill="E8F4F6" w:val="clear"/>
        <w:spacing w:after="60" w:before="3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SLIDE 13</w:t>
      </w: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  —  Technology Health &amp; Lifecycle Intelligence (Pitch)</w:t>
      </w:r>
    </w:p>
    <w:p>
      <w:pPr>
        <w:spacing w:after="12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An AI-augmented service that runs out of the box — tag your technology, and NextGen does the rest.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Four-step pipeline: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You Tag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Identify the database, OS, runtime, or web server on each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We Match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AI-assisted lifecycle lookup — EOL, EOS, support dates from 76+ vendor references.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We Alert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Dashboard highlights applications running on end-of-support technology.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You Act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Prioritize modernization using risk data that's always up to date.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Three feature areas: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AI-Augmented Lifecycle Intelligence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Pre-loaded with 76+ vendor lifecycle references (Microsoft, Oracle, SAP, and more). AI-assisted lookup when reference data doesn't exist. Similar services like Flexera and Snow typically cost $20K–$100K+ per year. This is included with NextGen.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Technology Health Dashboard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Filter by lifecycle status, vendor, or category. Spot end-of-support exposure across your entire portfolio at a glance.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Standards Intelligence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NextGen detects what technology standards are implied by your deployments. Assert them or flag deviations.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We'll show you which of your applications are running on end-of-support technology — detected automatically.</w:t>
      </w:r>
    </w:p>
    <w:p>
      <w:pPr>
        <w:pBdr>
          <w:bottom w:val="single" w:color="028090" w:sz="2" w:space="1"/>
        </w:pBdr>
        <w:spacing w:after="200" w:before="200"/>
      </w:pPr>
    </w:p>
    <w:p>
      <w:pPr>
        <w:shd w:fill="E8F4F6" w:val="clear"/>
        <w:spacing w:after="60" w:before="3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SLIDE 14</w:t>
      </w: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  —  Technology Health (Today vs NextGen)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Have Today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NextGen Delivers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Manual lifecycle tracking — someone looks it up and types it 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AI-assisted lifecycle lookup from 76+ pre-loaded vendor 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No end-of-life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EOL/EOS dates with days-to-expiry computed automatically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No technology health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Filter by lifecycle status, vendor, or category across the full portfolio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No standards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Standards Intelligence — implied standards detected from what's deployed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We'll show you which of your applications are running on end-of-support technology — detected automatically.</w:t>
      </w:r>
    </w:p>
    <w:p>
      <w:pPr>
        <w:pBdr>
          <w:bottom w:val="single" w:color="028090" w:sz="2" w:space="1"/>
        </w:pBdr>
        <w:spacing w:after="200" w:before="200"/>
      </w:pPr>
    </w:p>
    <w:p>
      <w:pPr>
        <w:shd w:fill="E8F4F6" w:val="clear"/>
        <w:spacing w:after="60" w:before="3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SLIDE 15</w:t>
      </w: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  —  Security, Compliance &amp; Access Controls (Pitch)</w:t>
      </w:r>
    </w:p>
    <w:p>
      <w:pPr>
        <w:spacing w:after="12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Enterprise-grade security built into every layer — not bolted on after the fact.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Enterprise OAuth with Entra ID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Microsoft and Google OAuth integration. Your users authenticate with the identity provider your organization already trusts.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SOC2-Ready Architecture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Built for SOC2 Type II compliance. One-command evidence generation. Audit-ready from day one.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Data Residency by Design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Your data lives where you need it. Production runs in Canada today. US and EU regions available on demand.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Complete Audit Trail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Every create, update, and delete is logged with the user, timestamp, and before/after state. Searchable audit log with filters and CSV export.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Five role levels per workspace: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Admin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Full control over the portfolio, users, and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Editor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Creates and modifies applications, assessments, and costs. Today, application owners are invited as Editors scoped to their workspace.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Steward (Q2 2026)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Per-application scoping for business owners. Invite owners to assess only their assigned applications — no training required, no risk of touching someone else's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Viewer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Read-only access to everything in the portfolio.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Restricted (Q2 2026)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Read-only access limited to assigned applications only.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Let's discuss your identity provider requirements and plan who gets invited first.</w:t>
      </w:r>
    </w:p>
    <w:p>
      <w:pPr>
        <w:pBdr>
          <w:bottom w:val="single" w:color="028090" w:sz="2" w:space="1"/>
        </w:pBdr>
        <w:spacing w:after="200" w:before="200"/>
      </w:pPr>
    </w:p>
    <w:p>
      <w:pPr>
        <w:shd w:fill="E8F4F6" w:val="clear"/>
        <w:spacing w:after="60" w:before="3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SLIDE 16</w:t>
      </w: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  —  Security &amp; Access (Today vs NextGen)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Have Today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NextGen Delivers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Username and password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Enterprise OAuth with Microsoft Entra ID and Google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No audit trail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Every change logged with user, timestamp, and before/after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Basic role-based access — admin or 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Five role levels per workspace — Admin, Editor, Steward, Viewer, Restricted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No data residency controls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Data Residency by Design — Canada today, US/EU on demand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Let's discuss your identity provider requirements and plan who gets invited first.</w:t>
      </w:r>
    </w:p>
    <w:p>
      <w:pPr>
        <w:pBdr>
          <w:bottom w:val="single" w:color="028090" w:sz="2" w:space="1"/>
        </w:pBdr>
        <w:spacing w:after="200" w:before="200"/>
      </w:pPr>
    </w:p>
    <w:p>
      <w:pPr>
        <w:shd w:fill="E8F4F6" w:val="clear"/>
        <w:spacing w:after="60" w:before="3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SLIDE 17</w:t>
      </w: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  —  CSDM-Ready Data Model (Pitch)</w:t>
      </w:r>
    </w:p>
    <w:p>
      <w:pPr>
        <w:spacing w:after="120"/>
      </w:pPr>
      <w:r>
        <w:rPr>
          <w:rFonts w:ascii="Arial" w:cs="Arial" w:eastAsia="Arial" w:hAnsi="Arial"/>
          <w:color w:val="3D4F5F"/>
          <w:sz w:val="22"/>
          <w:szCs w:val="22"/>
        </w:rPr>
        <w:t xml:space="preserve">Your application data follows an industry-standard Common Service Data Model — structured for ITSM integration from the moment you enter it.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Industry-Standard Data Model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Application, Business Service, Technical Service, and Deployment entities follow the Common Service Data Model (CSDM). Your data is structured to integrate with any CSDM-compliant ITSM platform.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Clean Data, Ready to Integrate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When you're ready for ITSM integration, your data migrates cleanly. No transformation scripts. No consulting engagement to reshape your data model. GetInSync is the on-ramp.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Three Managed Catalogs</w:t>
      </w:r>
      <w:r>
        <w:rPr>
          <w:rFonts w:ascii="Arial" w:cs="Arial" w:eastAsia="Arial" w:hAnsi="Arial"/>
          <w:color w:val="3D4F5F"/>
          <w:sz w:val="22"/>
          <w:szCs w:val="22"/>
        </w:rPr>
        <w:t xml:space="preserve"> — IT Service (14 types), Software Product (12 categories), Technology Product (16 categories). Structured reference data keeps your portfolio clean and consistent.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Your data is already structured — we'll show you the mapping.</w:t>
      </w:r>
    </w:p>
    <w:p>
      <w:pPr>
        <w:pBdr>
          <w:bottom w:val="single" w:color="028090" w:sz="2" w:space="1"/>
        </w:pBdr>
        <w:spacing w:after="200" w:before="200"/>
      </w:pPr>
    </w:p>
    <w:p>
      <w:pPr>
        <w:shd w:fill="E8F4F6" w:val="clear"/>
        <w:spacing w:after="60" w:before="3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SLIDE 18</w:t>
      </w: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  —  CSDM (Today vs NextGen)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Have Today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NextGen Delivers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Flat application records — no service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CSDM-aligned entities — Application, Business Service, Technical Service, Deployment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No managed catalogs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Three catalogs — IT Service (14), Software Product (12), Technology Product (16)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5F"/>
                <w:sz w:val="20"/>
                <w:szCs w:val="20"/>
              </w:rPr>
              <w:t xml:space="preserve">No ITSM integration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Data structured for any CSDM-compliant ITSM platform from day one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Footer CTA: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Your data is already structured — we'll show you the mapping.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28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2026-04-14T15:12:00.608Z</dcterms:created>
  <dcterms:modified xsi:type="dcterms:W3CDTF">2026-04-14T15:12:00.608Z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