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A2744"/>
          <w:sz w:val="48"/>
          <w:szCs w:val="48"/>
        </w:rPr>
        <w:t xml:space="preserve">GetInSync NextGen</w:t>
      </w:r>
    </w:p>
    <w:p>
      <w:pPr>
        <w:spacing w:after="80"/>
      </w:pPr>
      <w:r>
        <w:rPr>
          <w:rFonts w:ascii="Arial" w:cs="Arial" w:eastAsia="Arial" w:hAnsi="Arial"/>
          <w:color w:val="028090"/>
          <w:sz w:val="28"/>
          <w:szCs w:val="28"/>
        </w:rPr>
        <w:t xml:space="preserve">City of Garland — Presentation Content</w:t>
      </w:r>
    </w:p>
    <w:p>
      <w:pPr>
        <w:spacing w:after="40"/>
      </w:pPr>
      <w:r>
        <w:rPr>
          <w:color w:val="3D4F5F"/>
          <w:sz w:val="22"/>
          <w:szCs w:val="22"/>
        </w:rPr>
        <w:t xml:space="preserve">April 2026  |  For Internal Review</w:t>
      </w:r>
    </w:p>
    <w:p>
      <w:pPr>
        <w:pBdr>
          <w:bottom w:val="single" w:color="028090" w:sz="4" w:space="1"/>
        </w:pBdr>
        <w:spacing w:after="200"/>
      </w:pPr>
    </w:p>
    <w:p>
      <w:pPr>
        <w:spacing w:after="120"/>
      </w:pPr>
      <w:r>
        <w:rPr>
          <w:color w:val="3D4F5F"/>
          <w:sz w:val="22"/>
          <w:szCs w:val="22"/>
        </w:rPr>
        <w:t xml:space="preserve">This document contains the slide-by-slide content for the GetInSync NextGen presentation to the City of Garland. The purpose is to review messaging, sequencing, and emphasis before the final deck is built.</w:t>
      </w:r>
    </w:p>
    <w:p>
      <w:pPr>
        <w:spacing w:after="120"/>
      </w:pPr>
      <w:r>
        <w:rPr>
          <w:color w:val="3D4F5F"/>
          <w:sz w:val="22"/>
          <w:szCs w:val="22"/>
        </w:rPr>
        <w:t xml:space="preserve">11 slides. Estimated presentation time: 20–25 minutes plus discussion.</w:t>
      </w:r>
    </w:p>
    <w:p>
      <w:pPr>
        <w:shd w:fill="E8F4F6" w:val="clear"/>
        <w:spacing w:after="80" w:before="240"/>
      </w:pPr>
      <w:r>
        <w:rPr>
          <w:rFonts w:ascii="Arial" w:cs="Arial" w:eastAsia="Arial" w:hAnsi="Arial"/>
          <w:b/>
          <w:bCs/>
          <w:color w:val="028090"/>
          <w:sz w:val="20"/>
          <w:szCs w:val="20"/>
        </w:rPr>
        <w:t xml:space="preserve">SLIDE 1</w:t>
      </w:r>
      <w:r>
        <w:rPr>
          <w:rFonts w:ascii="Arial" w:cs="Arial" w:eastAsia="Arial" w:hAnsi="Arial"/>
          <w:b/>
          <w:bCs/>
          <w:color w:val="1A2744"/>
          <w:sz w:val="24"/>
          <w:szCs w:val="24"/>
        </w:rPr>
        <w:t xml:space="preserve">  —  Title Slide</w:t>
      </w:r>
    </w:p>
    <w:p>
      <w:pPr>
        <w:spacing w:after="120"/>
      </w:pPr>
      <w:r>
        <w:rPr>
          <w:color w:val="3D4F5F"/>
          <w:sz w:val="22"/>
          <w:szCs w:val="22"/>
        </w:rPr>
        <w:t xml:space="preserve">GetInSync NextGen</w:t>
      </w:r>
    </w:p>
    <w:p>
      <w:pPr>
        <w:spacing w:after="120"/>
      </w:pPr>
      <w:r>
        <w:rPr>
          <w:color w:val="3D4F5F"/>
          <w:sz w:val="22"/>
          <w:szCs w:val="22"/>
        </w:rPr>
        <w:t xml:space="preserve">Built for What's Next</w:t>
      </w:r>
    </w:p>
    <w:p>
      <w:pPr>
        <w:spacing w:after="120"/>
      </w:pPr>
      <w:r>
        <w:rPr>
          <w:color w:val="3D4F5F"/>
          <w:sz w:val="22"/>
          <w:szCs w:val="22"/>
        </w:rPr>
        <w:t xml:space="preserve">Prepared for the City of Garland  |  April 2026</w:t>
      </w:r>
    </w:p>
    <w:p>
      <w:pPr>
        <w:spacing w:after="120"/>
      </w:pPr>
      <w:r>
        <w:rPr>
          <w:color w:val="3D4F5F"/>
          <w:sz w:val="22"/>
          <w:szCs w:val="22"/>
        </w:rPr>
        <w:t xml:space="preserve">getinsync.ca</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2</w:t>
      </w:r>
      <w:r>
        <w:rPr>
          <w:rFonts w:ascii="Arial" w:cs="Arial" w:eastAsia="Arial" w:hAnsi="Arial"/>
          <w:b/>
          <w:bCs/>
          <w:color w:val="1A2744"/>
          <w:sz w:val="24"/>
          <w:szCs w:val="24"/>
        </w:rPr>
        <w:t xml:space="preserve">  —  You Asked. We Built.</w:t>
      </w:r>
    </w:p>
    <w:p>
      <w:pPr>
        <w:spacing w:after="120"/>
      </w:pPr>
      <w:r>
        <w:rPr>
          <w:i/>
          <w:iCs/>
          <w:color w:val="028090"/>
          <w:sz w:val="22"/>
          <w:szCs w:val="22"/>
        </w:rPr>
        <w:t xml:space="preserve">This slide serves as a table of contents — a one-line preview of each capability in the deck.</w:t>
      </w:r>
    </w:p>
    <w:p>
      <w:pPr>
        <w:spacing w:after="120"/>
      </w:pPr>
      <w:r>
        <w:rPr>
          <w:color w:val="3D4F5F"/>
          <w:sz w:val="22"/>
          <w:szCs w:val="22"/>
        </w:rPr>
        <w:t xml:space="preserve">Subtitle: NextGen was shaped by what our customers told us they needed — and couldn't get from the original platform.</w:t>
      </w:r>
    </w:p>
    <w:p>
      <w:pPr>
        <w:spacing w:after="60" w:before="120"/>
      </w:pPr>
      <w:r>
        <w:rPr>
          <w:b/>
          <w:bCs/>
          <w:color w:val="1A2744"/>
          <w:sz w:val="22"/>
          <w:szCs w:val="22"/>
        </w:rPr>
        <w:t xml:space="preserve">Seven items:</w:t>
      </w:r>
    </w:p>
    <w:p>
      <w:pPr>
        <w:pStyle w:val="ListParagraph"/>
        <w:numPr>
          <w:ilvl w:val="0"/>
          <w:numId w:val="2"/>
        </w:numPr>
        <w:spacing w:after="60"/>
      </w:pPr>
      <w:r>
        <w:rPr>
          <w:b/>
          <w:bCs/>
          <w:color w:val="1A2744"/>
          <w:sz w:val="22"/>
          <w:szCs w:val="22"/>
        </w:rPr>
        <w:t xml:space="preserve">Cost Intelligence &amp; Contract Management</w:t>
      </w:r>
      <w:r>
        <w:rPr>
          <w:color w:val="3D4F5F"/>
          <w:sz w:val="22"/>
          <w:szCs w:val="22"/>
        </w:rPr>
        <w:t xml:space="preserve"> — Every dollar tracked, every contract managed, every vendor visible.</w:t>
      </w:r>
    </w:p>
    <w:p>
      <w:pPr>
        <w:pStyle w:val="ListParagraph"/>
        <w:numPr>
          <w:ilvl w:val="0"/>
          <w:numId w:val="2"/>
        </w:numPr>
        <w:spacing w:after="60"/>
      </w:pPr>
      <w:r>
        <w:rPr>
          <w:b/>
          <w:bCs/>
          <w:color w:val="1A2744"/>
          <w:sz w:val="22"/>
          <w:szCs w:val="22"/>
        </w:rPr>
        <w:t xml:space="preserve">Portfolio Isolation &amp; Controlled Sharing</w:t>
      </w:r>
      <w:r>
        <w:rPr>
          <w:color w:val="3D4F5F"/>
          <w:sz w:val="22"/>
          <w:szCs w:val="22"/>
        </w:rPr>
        <w:t xml:space="preserve"> — Police sees only Police. Shared services appear where needed.</w:t>
      </w:r>
    </w:p>
    <w:p>
      <w:pPr>
        <w:pStyle w:val="ListParagraph"/>
        <w:numPr>
          <w:ilvl w:val="0"/>
          <w:numId w:val="2"/>
        </w:numPr>
        <w:spacing w:after="60"/>
      </w:pPr>
      <w:r>
        <w:rPr>
          <w:b/>
          <w:bCs/>
          <w:color w:val="1A2744"/>
          <w:sz w:val="22"/>
          <w:szCs w:val="22"/>
        </w:rPr>
        <w:t xml:space="preserve">AI-Powered Portfolio Intelligence</w:t>
      </w:r>
      <w:r>
        <w:rPr>
          <w:color w:val="3D4F5F"/>
          <w:sz w:val="22"/>
          <w:szCs w:val="22"/>
        </w:rPr>
        <w:t xml:space="preserve"> — Ask questions in plain English. Get answers from your live data.</w:t>
      </w:r>
    </w:p>
    <w:p>
      <w:pPr>
        <w:pStyle w:val="ListParagraph"/>
        <w:numPr>
          <w:ilvl w:val="0"/>
          <w:numId w:val="2"/>
        </w:numPr>
        <w:spacing w:after="60"/>
      </w:pPr>
      <w:r>
        <w:rPr>
          <w:b/>
          <w:bCs/>
          <w:color w:val="1A2744"/>
          <w:sz w:val="22"/>
          <w:szCs w:val="22"/>
        </w:rPr>
        <w:t xml:space="preserve">Technology Health &amp; Lifecycle</w:t>
      </w:r>
      <w:r>
        <w:rPr>
          <w:color w:val="3D4F5F"/>
          <w:sz w:val="22"/>
          <w:szCs w:val="22"/>
        </w:rPr>
        <w:t xml:space="preserve"> — Automated end-of-life tracking — out of the box, not manual.</w:t>
      </w:r>
    </w:p>
    <w:p>
      <w:pPr>
        <w:pStyle w:val="ListParagraph"/>
        <w:numPr>
          <w:ilvl w:val="0"/>
          <w:numId w:val="2"/>
        </w:numPr>
        <w:spacing w:after="60"/>
      </w:pPr>
      <w:r>
        <w:rPr>
          <w:b/>
          <w:bCs/>
          <w:color w:val="1A2744"/>
          <w:sz w:val="22"/>
          <w:szCs w:val="22"/>
        </w:rPr>
        <w:t xml:space="preserve">Security &amp; Compliance</w:t>
      </w:r>
      <w:r>
        <w:rPr>
          <w:color w:val="3D4F5F"/>
          <w:sz w:val="22"/>
          <w:szCs w:val="22"/>
        </w:rPr>
        <w:t xml:space="preserve"> — Enterprise identity, full audit trails, multi-national data residency.</w:t>
      </w:r>
    </w:p>
    <w:p>
      <w:pPr>
        <w:pStyle w:val="ListParagraph"/>
        <w:numPr>
          <w:ilvl w:val="0"/>
          <w:numId w:val="2"/>
        </w:numPr>
        <w:spacing w:after="60"/>
      </w:pPr>
      <w:r>
        <w:rPr>
          <w:b/>
          <w:bCs/>
          <w:color w:val="1A2744"/>
          <w:sz w:val="22"/>
          <w:szCs w:val="22"/>
        </w:rPr>
        <w:t xml:space="preserve">ITSM Integration</w:t>
      </w:r>
      <w:r>
        <w:rPr>
          <w:color w:val="3D4F5F"/>
          <w:sz w:val="22"/>
          <w:szCs w:val="22"/>
        </w:rPr>
        <w:t xml:space="preserve"> — Application data flows directly into your ticketing platform.</w:t>
      </w:r>
    </w:p>
    <w:p>
      <w:pPr>
        <w:pStyle w:val="ListParagraph"/>
        <w:numPr>
          <w:ilvl w:val="0"/>
          <w:numId w:val="2"/>
        </w:numPr>
        <w:spacing w:after="60"/>
      </w:pPr>
      <w:r>
        <w:rPr>
          <w:b/>
          <w:bCs/>
          <w:color w:val="1A2744"/>
          <w:sz w:val="22"/>
          <w:szCs w:val="22"/>
        </w:rPr>
        <w:t xml:space="preserve">Roadmaps &amp; Visual Views</w:t>
      </w:r>
      <w:r>
        <w:rPr>
          <w:color w:val="3D4F5F"/>
          <w:sz w:val="22"/>
          <w:szCs w:val="22"/>
        </w:rPr>
        <w:t xml:space="preserve"> — Plan what's next, see how everything connects.</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3</w:t>
      </w:r>
      <w:r>
        <w:rPr>
          <w:rFonts w:ascii="Arial" w:cs="Arial" w:eastAsia="Arial" w:hAnsi="Arial"/>
          <w:b/>
          <w:bCs/>
          <w:color w:val="1A2744"/>
          <w:sz w:val="24"/>
          <w:szCs w:val="24"/>
        </w:rPr>
        <w:t xml:space="preserve">  —  Cost Intelligence &amp; Contract Management</w:t>
      </w:r>
    </w:p>
    <w:p>
      <w:pPr>
        <w:spacing w:after="120"/>
      </w:pPr>
      <w:r>
        <w:rPr>
          <w:i/>
          <w:iCs/>
          <w:color w:val="028090"/>
          <w:sz w:val="22"/>
          <w:szCs w:val="22"/>
        </w:rPr>
        <w:t xml:space="preserve">"Every dollar needs a home and an owner."</w:t>
      </w:r>
    </w:p>
    <w:p>
      <w:pPr>
        <w:spacing w:after="120"/>
      </w:pPr>
      <w:r>
        <w:rPr>
          <w:color w:val="3D4F5F"/>
          <w:sz w:val="22"/>
          <w:szCs w:val="22"/>
        </w:rPr>
        <w:t xml:space="preserve">This is the hero slide — the #1 reason they want NextGen. Six capabilities in a 2x3 grid:</w:t>
      </w:r>
    </w:p>
    <w:p>
      <w:pPr>
        <w:pStyle w:val="ListParagraph"/>
        <w:numPr>
          <w:ilvl w:val="0"/>
          <w:numId w:val="2"/>
        </w:numPr>
        <w:spacing w:after="60"/>
      </w:pPr>
      <w:r>
        <w:rPr>
          <w:b/>
          <w:bCs/>
          <w:color w:val="1A2744"/>
          <w:sz w:val="22"/>
          <w:szCs w:val="22"/>
        </w:rPr>
        <w:t xml:space="preserve">Year-over-Year Budget Trends</w:t>
      </w:r>
      <w:r>
        <w:rPr>
          <w:color w:val="3D4F5F"/>
          <w:sz w:val="22"/>
          <w:szCs w:val="22"/>
        </w:rPr>
        <w:t xml:space="preserve"> — See how application spending changes over time. Spot growth, cuts, and anomalies across fiscal years.</w:t>
      </w:r>
    </w:p>
    <w:p>
      <w:pPr>
        <w:pStyle w:val="ListParagraph"/>
        <w:numPr>
          <w:ilvl w:val="0"/>
          <w:numId w:val="2"/>
        </w:numPr>
        <w:spacing w:after="60"/>
      </w:pPr>
      <w:r>
        <w:rPr>
          <w:b/>
          <w:bCs/>
          <w:color w:val="1A2744"/>
          <w:sz w:val="22"/>
          <w:szCs w:val="22"/>
        </w:rPr>
        <w:t xml:space="preserve">Budget Cycle Management</w:t>
      </w:r>
      <w:r>
        <w:rPr>
          <w:color w:val="3D4F5F"/>
          <w:sz w:val="22"/>
          <w:szCs w:val="22"/>
        </w:rPr>
        <w:t xml:space="preserve"> — Align application costs to your fiscal calendar. Plan renewals, flag budget overruns before they happen.</w:t>
      </w:r>
    </w:p>
    <w:p>
      <w:pPr>
        <w:pStyle w:val="ListParagraph"/>
        <w:numPr>
          <w:ilvl w:val="0"/>
          <w:numId w:val="2"/>
        </w:numPr>
        <w:spacing w:after="60"/>
      </w:pPr>
      <w:r>
        <w:rPr>
          <w:b/>
          <w:bCs/>
          <w:color w:val="1A2744"/>
          <w:sz w:val="22"/>
          <w:szCs w:val="22"/>
        </w:rPr>
        <w:t xml:space="preserve">Vendor Spend Rollups</w:t>
      </w:r>
      <w:r>
        <w:rPr>
          <w:color w:val="3D4F5F"/>
          <w:sz w:val="22"/>
          <w:szCs w:val="22"/>
        </w:rPr>
        <w:t xml:space="preserve"> — Total spend per vendor across your entire portfolio. No more consolidating spreadsheets from multiple departments.</w:t>
      </w:r>
    </w:p>
    <w:p>
      <w:pPr>
        <w:pStyle w:val="ListParagraph"/>
        <w:numPr>
          <w:ilvl w:val="0"/>
          <w:numId w:val="2"/>
        </w:numPr>
        <w:spacing w:after="60"/>
      </w:pPr>
      <w:r>
        <w:rPr>
          <w:b/>
          <w:bCs/>
          <w:color w:val="1A2744"/>
          <w:sz w:val="22"/>
          <w:szCs w:val="22"/>
        </w:rPr>
        <w:t xml:space="preserve">Contract Lifecycle Tracking</w:t>
      </w:r>
      <w:r>
        <w:rPr>
          <w:color w:val="3D4F5F"/>
          <w:sz w:val="22"/>
          <w:szCs w:val="22"/>
        </w:rPr>
        <w:t xml:space="preserve"> — Contract reference, start/end dates, renewal notice windows. Automated alerts before contracts expire or auto-renew.</w:t>
      </w:r>
    </w:p>
    <w:p>
      <w:pPr>
        <w:pStyle w:val="ListParagraph"/>
        <w:numPr>
          <w:ilvl w:val="0"/>
          <w:numId w:val="2"/>
        </w:numPr>
        <w:spacing w:after="60"/>
      </w:pPr>
      <w:r>
        <w:rPr>
          <w:b/>
          <w:bCs/>
          <w:color w:val="1A2744"/>
          <w:sz w:val="22"/>
          <w:szCs w:val="22"/>
        </w:rPr>
        <w:t xml:space="preserve">IT Spend Dashboard</w:t>
      </w:r>
      <w:r>
        <w:rPr>
          <w:color w:val="3D4F5F"/>
          <w:sz w:val="22"/>
          <w:szCs w:val="22"/>
        </w:rPr>
        <w:t xml:space="preserve"> — Filter-responsive KPIs by portfolio, vendor, lifecycle status. Drill into any number to see the applications behind it.</w:t>
      </w:r>
    </w:p>
    <w:p>
      <w:pPr>
        <w:pStyle w:val="ListParagraph"/>
        <w:numPr>
          <w:ilvl w:val="0"/>
          <w:numId w:val="2"/>
        </w:numPr>
        <w:spacing w:after="60"/>
      </w:pPr>
      <w:r>
        <w:rPr>
          <w:b/>
          <w:bCs/>
          <w:color w:val="1A2744"/>
          <w:sz w:val="22"/>
          <w:szCs w:val="22"/>
        </w:rPr>
        <w:t xml:space="preserve">Double-Count Guards</w:t>
      </w:r>
      <w:r>
        <w:rPr>
          <w:color w:val="3D4F5F"/>
          <w:sz w:val="22"/>
          <w:szCs w:val="22"/>
        </w:rPr>
        <w:t xml:space="preserve"> — Each application follows one cost path — never attributed to both an IT Service and a Cost Bundle simultaneously.</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4</w:t>
      </w:r>
      <w:r>
        <w:rPr>
          <w:rFonts w:ascii="Arial" w:cs="Arial" w:eastAsia="Arial" w:hAnsi="Arial"/>
          <w:b/>
          <w:bCs/>
          <w:color w:val="1A2744"/>
          <w:sz w:val="24"/>
          <w:szCs w:val="24"/>
        </w:rPr>
        <w:t xml:space="preserve">  —  Portfolio Isolation &amp; Controlled Sharing</w:t>
      </w:r>
    </w:p>
    <w:p>
      <w:pPr>
        <w:spacing w:after="120"/>
      </w:pPr>
      <w:r>
        <w:rPr>
          <w:color w:val="3D4F5F"/>
          <w:sz w:val="22"/>
          <w:szCs w:val="22"/>
        </w:rPr>
        <w:t xml:space="preserve">Lead with the experience, not the architecture.</w:t>
      </w:r>
    </w:p>
    <w:p>
      <w:pPr>
        <w:spacing w:after="60" w:before="120"/>
      </w:pPr>
      <w:r>
        <w:rPr>
          <w:b/>
          <w:bCs/>
          <w:color w:val="1A2744"/>
          <w:sz w:val="22"/>
          <w:szCs w:val="22"/>
        </w:rPr>
        <w:t xml:space="preserve">Subtitle:</w:t>
      </w:r>
    </w:p>
    <w:p>
      <w:pPr>
        <w:spacing w:after="120"/>
      </w:pPr>
      <w:r>
        <w:rPr>
          <w:color w:val="3D4F5F"/>
          <w:sz w:val="22"/>
          <w:szCs w:val="22"/>
        </w:rPr>
        <w:t xml:space="preserve">When Police logs in, they see Police. No noise. No scrolling past Libraries or Finance applications to find their own. Their dashboard, their data, their assessments — nothing else.</w:t>
      </w:r>
    </w:p>
    <w:p>
      <w:pPr>
        <w:spacing w:after="60" w:before="160"/>
      </w:pPr>
      <w:r>
        <w:rPr>
          <w:b/>
          <w:bCs/>
          <w:color w:val="1A2744"/>
          <w:sz w:val="22"/>
          <w:szCs w:val="22"/>
        </w:rPr>
        <w:t xml:space="preserve">Key messages:</w:t>
      </w:r>
    </w:p>
    <w:p>
      <w:pPr>
        <w:pStyle w:val="ListParagraph"/>
        <w:numPr>
          <w:ilvl w:val="0"/>
          <w:numId w:val="2"/>
        </w:numPr>
        <w:spacing w:after="60"/>
      </w:pPr>
      <w:r>
        <w:rPr>
          <w:b/>
          <w:bCs/>
          <w:color w:val="1A2744"/>
          <w:sz w:val="22"/>
          <w:szCs w:val="22"/>
        </w:rPr>
        <w:t xml:space="preserve">No noise</w:t>
      </w:r>
      <w:r>
        <w:rPr>
          <w:color w:val="3D4F5F"/>
          <w:sz w:val="22"/>
          <w:szCs w:val="22"/>
        </w:rPr>
        <w:t xml:space="preserve"> — Every user and manager sees a dashboard populated only with the applications that matter to them. Police sees CAD, RMS, and body cam systems. Finance sees payroll, budgeting, and tax applications. Nobody wades through hundreds of applications to find the ones that are theirs.</w:t>
      </w:r>
    </w:p>
    <w:p>
      <w:pPr>
        <w:pStyle w:val="ListParagraph"/>
        <w:numPr>
          <w:ilvl w:val="0"/>
          <w:numId w:val="2"/>
        </w:numPr>
        <w:spacing w:after="60"/>
      </w:pPr>
      <w:r>
        <w:rPr>
          <w:b/>
          <w:bCs/>
          <w:color w:val="1A2744"/>
          <w:sz w:val="22"/>
          <w:szCs w:val="22"/>
        </w:rPr>
        <w:t xml:space="preserve">Complete autonomy</w:t>
      </w:r>
      <w:r>
        <w:rPr>
          <w:color w:val="3D4F5F"/>
          <w:sz w:val="22"/>
          <w:szCs w:val="22"/>
        </w:rPr>
        <w:t xml:space="preserve"> — Each division operates independently — running their own assessments, managing their own contacts, tracking their own costs. Think of each Workspace as a mini-GetInSync for that division. They don't need to coordinate with other divisions to get their work done.</w:t>
      </w:r>
    </w:p>
    <w:p>
      <w:pPr>
        <w:pStyle w:val="ListParagraph"/>
        <w:numPr>
          <w:ilvl w:val="0"/>
          <w:numId w:val="2"/>
        </w:numPr>
        <w:spacing w:after="60"/>
      </w:pPr>
      <w:r>
        <w:rPr>
          <w:b/>
          <w:bCs/>
          <w:color w:val="1A2744"/>
          <w:sz w:val="22"/>
          <w:szCs w:val="22"/>
        </w:rPr>
        <w:t xml:space="preserve">Enforced at the database level</w:t>
      </w:r>
      <w:r>
        <w:rPr>
          <w:color w:val="3D4F5F"/>
          <w:sz w:val="22"/>
          <w:szCs w:val="22"/>
        </w:rPr>
        <w:t xml:space="preserve"> — This isn't a filter you can toggle off. Row Level Security means if you're not a member of a Workspace, the data doesn't exist to you. Not hidden — absent.</w:t>
      </w:r>
    </w:p>
    <w:p>
      <w:pPr>
        <w:pStyle w:val="ListParagraph"/>
        <w:numPr>
          <w:ilvl w:val="0"/>
          <w:numId w:val="2"/>
        </w:numPr>
        <w:spacing w:after="60"/>
      </w:pPr>
      <w:r>
        <w:rPr>
          <w:b/>
          <w:bCs/>
          <w:color w:val="1A2744"/>
          <w:sz w:val="22"/>
          <w:szCs w:val="22"/>
        </w:rPr>
        <w:t xml:space="preserve">Portfolios still work the way you know them</w:t>
      </w:r>
      <w:r>
        <w:rPr>
          <w:color w:val="3D4F5F"/>
          <w:sz w:val="22"/>
          <w:szCs w:val="22"/>
        </w:rPr>
        <w:t xml:space="preserve"> — Inside each Workspace, portfolios are how you group and report on applications. That hasn't changed.</w:t>
      </w:r>
    </w:p>
    <w:p>
      <w:pPr>
        <w:spacing w:after="60" w:before="160"/>
      </w:pPr>
      <w:r>
        <w:rPr>
          <w:b/>
          <w:bCs/>
          <w:color w:val="1A2744"/>
          <w:sz w:val="22"/>
          <w:szCs w:val="22"/>
        </w:rPr>
        <w:t xml:space="preserve">Workspace Groups — Publisher / Consumer model:</w:t>
      </w:r>
    </w:p>
    <w:p>
      <w:pPr>
        <w:spacing w:after="120"/>
      </w:pPr>
      <w:r>
        <w:rPr>
          <w:color w:val="3D4F5F"/>
          <w:sz w:val="22"/>
          <w:szCs w:val="22"/>
        </w:rPr>
        <w:t xml:space="preserve">IT publishes shared applications like M365, network infrastructure, and cybersecurity tools. Other divisions consume them — they see the app, they can assess it in their context, but IT retains ownership. One record, no duplication, costs allocated once.</w:t>
      </w:r>
    </w:p>
    <w:p>
      <w:pPr>
        <w:spacing w:after="60" w:before="120"/>
      </w:pPr>
      <w:r>
        <w:rPr>
          <w:b/>
          <w:bCs/>
          <w:color w:val="1A2744"/>
          <w:sz w:val="22"/>
          <w:szCs w:val="22"/>
        </w:rPr>
        <w:t xml:space="preserve">Leadership view:</w:t>
      </w:r>
    </w:p>
    <w:p>
      <w:pPr>
        <w:spacing w:after="120"/>
      </w:pPr>
      <w:r>
        <w:rPr>
          <w:color w:val="3D4F5F"/>
          <w:sz w:val="22"/>
          <w:szCs w:val="22"/>
        </w:rPr>
        <w:t xml:space="preserve">Cross-Workspace views let leadership report across all divisions without breaking the isolation that protects each team's data.</w:t>
      </w:r>
    </w:p>
    <w:p>
      <w:pPr>
        <w:spacing w:after="60" w:before="120"/>
      </w:pPr>
      <w:r>
        <w:rPr>
          <w:b/>
          <w:bCs/>
          <w:i/>
          <w:iCs/>
          <w:color w:val="888888"/>
          <w:sz w:val="22"/>
          <w:szCs w:val="22"/>
        </w:rPr>
        <w:t xml:space="preserve">Visual: Three portfolio boxes on the slide:</w:t>
      </w:r>
    </w:p>
    <w:p>
      <w:pPr>
        <w:pStyle w:val="ListParagraph"/>
        <w:numPr>
          <w:ilvl w:val="0"/>
          <w:numId w:val="2"/>
        </w:numPr>
        <w:spacing w:after="60"/>
      </w:pPr>
      <w:r>
        <w:rPr>
          <w:color w:val="3D4F5F"/>
          <w:sz w:val="22"/>
          <w:szCs w:val="22"/>
        </w:rPr>
        <w:t xml:space="preserve">Financial Services Portfolio</w:t>
      </w:r>
    </w:p>
    <w:p>
      <w:pPr>
        <w:pStyle w:val="ListParagraph"/>
        <w:numPr>
          <w:ilvl w:val="0"/>
          <w:numId w:val="2"/>
        </w:numPr>
        <w:spacing w:after="60"/>
      </w:pPr>
      <w:r>
        <w:rPr>
          <w:color w:val="3D4F5F"/>
          <w:sz w:val="22"/>
          <w:szCs w:val="22"/>
        </w:rPr>
        <w:t xml:space="preserve">Public Safety — Police Portfolio</w:t>
      </w:r>
    </w:p>
    <w:p>
      <w:pPr>
        <w:pStyle w:val="ListParagraph"/>
        <w:numPr>
          <w:ilvl w:val="0"/>
          <w:numId w:val="2"/>
        </w:numPr>
        <w:spacing w:after="60"/>
      </w:pPr>
      <w:r>
        <w:rPr>
          <w:color w:val="3D4F5F"/>
          <w:sz w:val="22"/>
          <w:szCs w:val="22"/>
        </w:rPr>
        <w:t xml:space="preserve">Information Technology Portfolio</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5</w:t>
      </w:r>
      <w:r>
        <w:rPr>
          <w:rFonts w:ascii="Arial" w:cs="Arial" w:eastAsia="Arial" w:hAnsi="Arial"/>
          <w:b/>
          <w:bCs/>
          <w:color w:val="1A2744"/>
          <w:sz w:val="24"/>
          <w:szCs w:val="24"/>
        </w:rPr>
        <w:t xml:space="preserve">  —  AI-Powered Portfolio Intelligence</w:t>
      </w:r>
    </w:p>
    <w:p>
      <w:pPr>
        <w:spacing w:after="120"/>
      </w:pPr>
      <w:r>
        <w:rPr>
          <w:i/>
          <w:iCs/>
          <w:color w:val="028090"/>
          <w:sz w:val="22"/>
          <w:szCs w:val="22"/>
        </w:rPr>
        <w:t xml:space="preserve">Stop building reports. Start asking questions.</w:t>
      </w:r>
    </w:p>
    <w:p>
      <w:pPr>
        <w:spacing w:after="120"/>
      </w:pPr>
      <w:r>
        <w:rPr>
          <w:color w:val="3D4F5F"/>
          <w:sz w:val="22"/>
          <w:szCs w:val="22"/>
        </w:rPr>
        <w:t xml:space="preserve">Five example queries, all cost/vendor/risk focused. Each shown as a chat-style prompt with a one-line explanation of what it queries.</w:t>
      </w:r>
    </w:p>
    <w:p>
      <w:pPr>
        <w:spacing w:after="60" w:before="120"/>
      </w:pPr>
      <w:r>
        <w:rPr>
          <w:b/>
          <w:bCs/>
          <w:color w:val="1A2744"/>
          <w:sz w:val="22"/>
          <w:szCs w:val="22"/>
        </w:rPr>
        <w:t xml:space="preserve">Example queries:</w:t>
      </w:r>
    </w:p>
    <w:p>
      <w:pPr>
        <w:pStyle w:val="ListParagraph"/>
        <w:numPr>
          <w:ilvl w:val="0"/>
          <w:numId w:val="2"/>
        </w:numPr>
        <w:spacing w:after="60"/>
      </w:pPr>
      <w:r>
        <w:rPr>
          <w:b/>
          <w:bCs/>
          <w:color w:val="1A2744"/>
          <w:sz w:val="22"/>
          <w:szCs w:val="22"/>
        </w:rPr>
        <w:t xml:space="preserve">"How much are we spending with Oracle across all departments?"</w:t>
      </w:r>
      <w:r>
        <w:rPr>
          <w:color w:val="3D4F5F"/>
          <w:sz w:val="22"/>
          <w:szCs w:val="22"/>
        </w:rPr>
        <w:t xml:space="preserve"> — Queries vendor spend across IT Services and Cost Bundles, rolls up by vendor.</w:t>
      </w:r>
    </w:p>
    <w:p>
      <w:pPr>
        <w:pStyle w:val="ListParagraph"/>
        <w:numPr>
          <w:ilvl w:val="0"/>
          <w:numId w:val="2"/>
        </w:numPr>
        <w:spacing w:after="60"/>
      </w:pPr>
      <w:r>
        <w:rPr>
          <w:b/>
          <w:bCs/>
          <w:color w:val="1A2744"/>
          <w:sz w:val="22"/>
          <w:szCs w:val="22"/>
        </w:rPr>
        <w:t xml:space="preserve">"Which contracts expire in the next 90 days?"</w:t>
      </w:r>
      <w:r>
        <w:rPr>
          <w:color w:val="3D4F5F"/>
          <w:sz w:val="22"/>
          <w:szCs w:val="22"/>
        </w:rPr>
        <w:t xml:space="preserve"> — Scans contract lifecycle data, flags renewals due by date range.</w:t>
      </w:r>
    </w:p>
    <w:p>
      <w:pPr>
        <w:pStyle w:val="ListParagraph"/>
        <w:numPr>
          <w:ilvl w:val="0"/>
          <w:numId w:val="2"/>
        </w:numPr>
        <w:spacing w:after="60"/>
      </w:pPr>
      <w:r>
        <w:rPr>
          <w:b/>
          <w:bCs/>
          <w:color w:val="1A2744"/>
          <w:sz w:val="22"/>
          <w:szCs w:val="22"/>
        </w:rPr>
        <w:t xml:space="preserve">"What's our year-over-year spend trend in Public Safety?"</w:t>
      </w:r>
      <w:r>
        <w:rPr>
          <w:color w:val="3D4F5F"/>
          <w:sz w:val="22"/>
          <w:szCs w:val="22"/>
        </w:rPr>
        <w:t xml:space="preserve"> — Pulls budget history by portfolio, calculates trend direction.</w:t>
      </w:r>
    </w:p>
    <w:p>
      <w:pPr>
        <w:pStyle w:val="ListParagraph"/>
        <w:numPr>
          <w:ilvl w:val="0"/>
          <w:numId w:val="2"/>
        </w:numPr>
        <w:spacing w:after="60"/>
      </w:pPr>
      <w:r>
        <w:rPr>
          <w:b/>
          <w:bCs/>
          <w:color w:val="1A2744"/>
          <w:sz w:val="22"/>
          <w:szCs w:val="22"/>
        </w:rPr>
        <w:t xml:space="preserve">"Show me all applications with no assigned business owner"</w:t>
      </w:r>
      <w:r>
        <w:rPr>
          <w:color w:val="3D4F5F"/>
          <w:sz w:val="22"/>
          <w:szCs w:val="22"/>
        </w:rPr>
        <w:t xml:space="preserve"> — Identifies gaps in ownership — data quality you can act on.</w:t>
      </w:r>
    </w:p>
    <w:p>
      <w:pPr>
        <w:pStyle w:val="ListParagraph"/>
        <w:numPr>
          <w:ilvl w:val="0"/>
          <w:numId w:val="2"/>
        </w:numPr>
        <w:spacing w:after="60"/>
      </w:pPr>
      <w:r>
        <w:rPr>
          <w:b/>
          <w:bCs/>
          <w:color w:val="1A2744"/>
          <w:sz w:val="22"/>
          <w:szCs w:val="22"/>
        </w:rPr>
        <w:t xml:space="preserve">"Which applications run on end-of-support technology?"</w:t>
      </w:r>
      <w:r>
        <w:rPr>
          <w:color w:val="3D4F5F"/>
          <w:sz w:val="22"/>
          <w:szCs w:val="22"/>
        </w:rPr>
        <w:t xml:space="preserve"> — Cross-references technology tags with lifecycle reference dates.</w:t>
      </w:r>
    </w:p>
    <w:p>
      <w:pPr>
        <w:spacing w:after="120"/>
      </w:pPr>
      <w:r>
        <w:rPr>
          <w:color w:val="3D4F5F"/>
          <w:sz w:val="22"/>
          <w:szCs w:val="22"/>
        </w:rPr>
        <w:t xml:space="preserve">Bottom line: Every question runs against your live data — not a static export. Answers in seconds, not days.</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6</w:t>
      </w:r>
      <w:r>
        <w:rPr>
          <w:rFonts w:ascii="Arial" w:cs="Arial" w:eastAsia="Arial" w:hAnsi="Arial"/>
          <w:b/>
          <w:bCs/>
          <w:color w:val="1A2744"/>
          <w:sz w:val="24"/>
          <w:szCs w:val="24"/>
        </w:rPr>
        <w:t xml:space="preserve">  —  Technology Health &amp; Lifecycle Intelligence</w:t>
      </w:r>
    </w:p>
    <w:p>
      <w:pPr>
        <w:spacing w:after="120"/>
      </w:pPr>
      <w:r>
        <w:rPr>
          <w:color w:val="3D4F5F"/>
          <w:sz w:val="22"/>
          <w:szCs w:val="22"/>
        </w:rPr>
        <w:t xml:space="preserve">Subtitle: This isn't manual tracking. It's an AI-augmented service that runs out of the box — tag your technology, and NextGen does the rest.</w:t>
      </w:r>
    </w:p>
    <w:p>
      <w:pPr>
        <w:spacing w:after="60" w:before="120"/>
      </w:pPr>
      <w:r>
        <w:rPr>
          <w:b/>
          <w:bCs/>
          <w:color w:val="1A2744"/>
          <w:sz w:val="22"/>
          <w:szCs w:val="22"/>
        </w:rPr>
        <w:t xml:space="preserve">Four-step pipeline (visual):</w:t>
      </w:r>
    </w:p>
    <w:p>
      <w:pPr>
        <w:pStyle w:val="ListParagraph"/>
        <w:numPr>
          <w:ilvl w:val="0"/>
          <w:numId w:val="2"/>
        </w:numPr>
        <w:spacing w:after="60"/>
      </w:pPr>
      <w:r>
        <w:rPr>
          <w:b/>
          <w:bCs/>
          <w:color w:val="1A2744"/>
          <w:sz w:val="22"/>
          <w:szCs w:val="22"/>
        </w:rPr>
        <w:t xml:space="preserve">You Tag</w:t>
      </w:r>
      <w:r>
        <w:rPr>
          <w:color w:val="3D4F5F"/>
          <w:sz w:val="22"/>
          <w:szCs w:val="22"/>
        </w:rPr>
        <w:t xml:space="preserve"> — Identify the database, OS, runtime, or web server on each application.</w:t>
      </w:r>
    </w:p>
    <w:p>
      <w:pPr>
        <w:pStyle w:val="ListParagraph"/>
        <w:numPr>
          <w:ilvl w:val="0"/>
          <w:numId w:val="2"/>
        </w:numPr>
        <w:spacing w:after="60"/>
      </w:pPr>
      <w:r>
        <w:rPr>
          <w:b/>
          <w:bCs/>
          <w:color w:val="1A2744"/>
          <w:sz w:val="22"/>
          <w:szCs w:val="22"/>
        </w:rPr>
        <w:t xml:space="preserve">We Match</w:t>
      </w:r>
      <w:r>
        <w:rPr>
          <w:color w:val="3D4F5F"/>
          <w:sz w:val="22"/>
          <w:szCs w:val="22"/>
        </w:rPr>
        <w:t xml:space="preserve"> — AI automatically looks up the vendor's lifecycle data — EOL, EOS, support dates.</w:t>
      </w:r>
    </w:p>
    <w:p>
      <w:pPr>
        <w:pStyle w:val="ListParagraph"/>
        <w:numPr>
          <w:ilvl w:val="0"/>
          <w:numId w:val="2"/>
        </w:numPr>
        <w:spacing w:after="60"/>
      </w:pPr>
      <w:r>
        <w:rPr>
          <w:b/>
          <w:bCs/>
          <w:color w:val="1A2744"/>
          <w:sz w:val="22"/>
          <w:szCs w:val="22"/>
        </w:rPr>
        <w:t xml:space="preserve">We Alert</w:t>
      </w:r>
      <w:r>
        <w:rPr>
          <w:color w:val="3D4F5F"/>
          <w:sz w:val="22"/>
          <w:szCs w:val="22"/>
        </w:rPr>
        <w:t xml:space="preserve"> — Dashboard highlights applications running on end-of-support technology.</w:t>
      </w:r>
    </w:p>
    <w:p>
      <w:pPr>
        <w:pStyle w:val="ListParagraph"/>
        <w:numPr>
          <w:ilvl w:val="0"/>
          <w:numId w:val="2"/>
        </w:numPr>
        <w:spacing w:after="60"/>
      </w:pPr>
      <w:r>
        <w:rPr>
          <w:b/>
          <w:bCs/>
          <w:color w:val="1A2744"/>
          <w:sz w:val="22"/>
          <w:szCs w:val="22"/>
        </w:rPr>
        <w:t xml:space="preserve">You Act</w:t>
      </w:r>
      <w:r>
        <w:rPr>
          <w:color w:val="3D4F5F"/>
          <w:sz w:val="22"/>
          <w:szCs w:val="22"/>
        </w:rPr>
        <w:t xml:space="preserve"> — Prioritize modernization using risk data that's always up to date.</w:t>
      </w:r>
    </w:p>
    <w:p>
      <w:pPr>
        <w:spacing w:after="60" w:before="160"/>
      </w:pPr>
      <w:r>
        <w:rPr>
          <w:b/>
          <w:bCs/>
          <w:color w:val="1A2744"/>
          <w:sz w:val="22"/>
          <w:szCs w:val="22"/>
        </w:rPr>
        <w:t xml:space="preserve">Three feature cards:</w:t>
      </w:r>
    </w:p>
    <w:p>
      <w:pPr>
        <w:pStyle w:val="ListParagraph"/>
        <w:numPr>
          <w:ilvl w:val="0"/>
          <w:numId w:val="2"/>
        </w:numPr>
        <w:spacing w:after="60"/>
      </w:pPr>
      <w:r>
        <w:rPr>
          <w:b/>
          <w:bCs/>
          <w:color w:val="1A2744"/>
          <w:sz w:val="22"/>
          <w:szCs w:val="22"/>
        </w:rPr>
        <w:t xml:space="preserve">AI-Augmented Lifecycle Intelligence</w:t>
      </w:r>
      <w:r>
        <w:rPr>
          <w:color w:val="3D4F5F"/>
          <w:sz w:val="22"/>
          <w:szCs w:val="22"/>
        </w:rPr>
        <w:t xml:space="preserve"> — Pre-loaded with 76+ vendor lifecycle references (Microsoft, Oracle, SAP, and more). When reference data doesn't exist, AI looks it up automatically. Services like Flexera, Snow, and ServiceNow SAM charge $60K+ per year for similar lifecycle intelligence. This is included with NextGen.</w:t>
      </w:r>
    </w:p>
    <w:p>
      <w:pPr>
        <w:pStyle w:val="ListParagraph"/>
        <w:numPr>
          <w:ilvl w:val="0"/>
          <w:numId w:val="2"/>
        </w:numPr>
        <w:spacing w:after="60"/>
      </w:pPr>
      <w:r>
        <w:rPr>
          <w:b/>
          <w:bCs/>
          <w:color w:val="1A2744"/>
          <w:sz w:val="22"/>
          <w:szCs w:val="22"/>
        </w:rPr>
        <w:t xml:space="preserve">Technology Health Dashboard</w:t>
      </w:r>
      <w:r>
        <w:rPr>
          <w:color w:val="3D4F5F"/>
          <w:sz w:val="22"/>
          <w:szCs w:val="22"/>
        </w:rPr>
        <w:t xml:space="preserve"> — Filter by lifecycle status, vendor, or category. Spot end-of-support exposure across your entire portfolio at a glance.</w:t>
      </w:r>
    </w:p>
    <w:p>
      <w:pPr>
        <w:pStyle w:val="ListParagraph"/>
        <w:numPr>
          <w:ilvl w:val="0"/>
          <w:numId w:val="2"/>
        </w:numPr>
        <w:spacing w:after="60"/>
      </w:pPr>
      <w:r>
        <w:rPr>
          <w:b/>
          <w:bCs/>
          <w:color w:val="1A2744"/>
          <w:sz w:val="22"/>
          <w:szCs w:val="22"/>
        </w:rPr>
        <w:t xml:space="preserve">Standards Intelligence</w:t>
      </w:r>
      <w:r>
        <w:rPr>
          <w:color w:val="3D4F5F"/>
          <w:sz w:val="22"/>
          <w:szCs w:val="22"/>
        </w:rPr>
        <w:t xml:space="preserve"> — NextGen detects what technology standards are implied by your deployments. Assert them or flag deviations.</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7</w:t>
      </w:r>
      <w:r>
        <w:rPr>
          <w:rFonts w:ascii="Arial" w:cs="Arial" w:eastAsia="Arial" w:hAnsi="Arial"/>
          <w:b/>
          <w:bCs/>
          <w:color w:val="1A2744"/>
          <w:sz w:val="24"/>
          <w:szCs w:val="24"/>
        </w:rPr>
        <w:t xml:space="preserve">  —  Security &amp; Compliance</w:t>
      </w:r>
    </w:p>
    <w:p>
      <w:pPr>
        <w:spacing w:after="120"/>
      </w:pPr>
      <w:r>
        <w:rPr>
          <w:color w:val="3D4F5F"/>
          <w:sz w:val="22"/>
          <w:szCs w:val="22"/>
        </w:rPr>
        <w:t xml:space="preserve">Subtitle: Enterprise-grade security built into every layer — not bolted on after the fact.</w:t>
      </w:r>
    </w:p>
    <w:p>
      <w:pPr>
        <w:spacing w:after="120"/>
      </w:pPr>
      <w:r>
        <w:rPr>
          <w:color w:val="3D4F5F"/>
          <w:sz w:val="22"/>
          <w:szCs w:val="22"/>
        </w:rPr>
        <w:t xml:space="preserve">Four capabilities, clean layout. No stats, no numbers — just what it means for them.</w:t>
      </w:r>
    </w:p>
    <w:p>
      <w:pPr>
        <w:pStyle w:val="ListParagraph"/>
        <w:numPr>
          <w:ilvl w:val="0"/>
          <w:numId w:val="2"/>
        </w:numPr>
        <w:spacing w:after="60"/>
      </w:pPr>
      <w:r>
        <w:rPr>
          <w:b/>
          <w:bCs/>
          <w:color w:val="1A2744"/>
          <w:sz w:val="22"/>
          <w:szCs w:val="22"/>
        </w:rPr>
        <w:t xml:space="preserve">Enterprise Identity Management</w:t>
      </w:r>
      <w:r>
        <w:rPr>
          <w:color w:val="3D4F5F"/>
          <w:sz w:val="22"/>
          <w:szCs w:val="22"/>
        </w:rPr>
        <w:t xml:space="preserve"> — OAuth, Single Sign-On, and Entra ID integration. Your users authenticate with the identity provider your organization already trusts.</w:t>
      </w:r>
    </w:p>
    <w:p>
      <w:pPr>
        <w:pStyle w:val="ListParagraph"/>
        <w:numPr>
          <w:ilvl w:val="0"/>
          <w:numId w:val="2"/>
        </w:numPr>
        <w:spacing w:after="60"/>
      </w:pPr>
      <w:r>
        <w:rPr>
          <w:b/>
          <w:bCs/>
          <w:color w:val="1A2744"/>
          <w:sz w:val="22"/>
          <w:szCs w:val="22"/>
        </w:rPr>
        <w:t xml:space="preserve">SOC2-Ready Architecture</w:t>
      </w:r>
      <w:r>
        <w:rPr>
          <w:color w:val="3D4F5F"/>
          <w:sz w:val="22"/>
          <w:szCs w:val="22"/>
        </w:rPr>
        <w:t xml:space="preserve"> — Built for SOC2 Type II compliance from day one. Evidence collection is automated — not a manual audit exercise.</w:t>
      </w:r>
    </w:p>
    <w:p>
      <w:pPr>
        <w:pStyle w:val="ListParagraph"/>
        <w:numPr>
          <w:ilvl w:val="0"/>
          <w:numId w:val="2"/>
        </w:numPr>
        <w:spacing w:after="60"/>
      </w:pPr>
      <w:r>
        <w:rPr>
          <w:b/>
          <w:bCs/>
          <w:color w:val="1A2744"/>
          <w:sz w:val="22"/>
          <w:szCs w:val="22"/>
        </w:rPr>
        <w:t xml:space="preserve">Multi-National Data Residency</w:t>
      </w:r>
      <w:r>
        <w:rPr>
          <w:color w:val="3D4F5F"/>
          <w:sz w:val="22"/>
          <w:szCs w:val="22"/>
        </w:rPr>
        <w:t xml:space="preserve"> — Choose where your data lives — Canada, US, or EU. Each region operates on its own infrastructure. No data crosses residency boundaries.</w:t>
      </w:r>
    </w:p>
    <w:p>
      <w:pPr>
        <w:pStyle w:val="ListParagraph"/>
        <w:numPr>
          <w:ilvl w:val="0"/>
          <w:numId w:val="2"/>
        </w:numPr>
        <w:spacing w:after="60"/>
      </w:pPr>
      <w:r>
        <w:rPr>
          <w:b/>
          <w:bCs/>
          <w:color w:val="1A2744"/>
          <w:sz w:val="22"/>
          <w:szCs w:val="22"/>
        </w:rPr>
        <w:t xml:space="preserve">Complete Audit Trail</w:t>
      </w:r>
      <w:r>
        <w:rPr>
          <w:color w:val="3D4F5F"/>
          <w:sz w:val="22"/>
          <w:szCs w:val="22"/>
        </w:rPr>
        <w:t xml:space="preserve"> — Every create, update, and delete is logged with the user, timestamp, and before/after state. Full accountability across every action.</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8</w:t>
      </w:r>
      <w:r>
        <w:rPr>
          <w:rFonts w:ascii="Arial" w:cs="Arial" w:eastAsia="Arial" w:hAnsi="Arial"/>
          <w:b/>
          <w:bCs/>
          <w:color w:val="1A2744"/>
          <w:sz w:val="24"/>
          <w:szCs w:val="24"/>
        </w:rPr>
        <w:t xml:space="preserve">  —  Granular Access Controls</w:t>
      </w:r>
    </w:p>
    <w:p>
      <w:pPr>
        <w:spacing w:after="120"/>
      </w:pPr>
      <w:r>
        <w:rPr>
          <w:color w:val="3D4F5F"/>
          <w:sz w:val="22"/>
          <w:szCs w:val="22"/>
        </w:rPr>
        <w:t xml:space="preserve">Subtitle: The right people see the right things — and the right people can update their own applications.</w:t>
      </w:r>
    </w:p>
    <w:p>
      <w:pPr>
        <w:spacing w:after="120"/>
      </w:pPr>
      <w:r>
        <w:rPr>
          <w:color w:val="3D4F5F"/>
          <w:sz w:val="22"/>
          <w:szCs w:val="22"/>
        </w:rPr>
        <w:t xml:space="preserve">This slide is about delegation, not just permissions. The key message: instead of your team chasing application owners for assessment updates, invite them in.</w:t>
      </w:r>
    </w:p>
    <w:p>
      <w:pPr>
        <w:spacing w:after="60" w:before="120"/>
      </w:pPr>
      <w:r>
        <w:rPr>
          <w:b/>
          <w:bCs/>
          <w:color w:val="1A2744"/>
          <w:sz w:val="22"/>
          <w:szCs w:val="22"/>
        </w:rPr>
        <w:t xml:space="preserve">Five role levels:</w:t>
      </w:r>
    </w:p>
    <w:p>
      <w:pPr>
        <w:pStyle w:val="ListParagraph"/>
        <w:numPr>
          <w:ilvl w:val="0"/>
          <w:numId w:val="2"/>
        </w:numPr>
        <w:spacing w:after="60"/>
      </w:pPr>
      <w:r>
        <w:rPr>
          <w:b/>
          <w:bCs/>
          <w:color w:val="1A2744"/>
          <w:sz w:val="22"/>
          <w:szCs w:val="22"/>
        </w:rPr>
        <w:t xml:space="preserve">Admin</w:t>
      </w:r>
      <w:r>
        <w:rPr>
          <w:color w:val="3D4F5F"/>
          <w:sz w:val="22"/>
          <w:szCs w:val="22"/>
        </w:rPr>
        <w:t xml:space="preserve"> — Full control over the portfolio, users, and settings.</w:t>
      </w:r>
    </w:p>
    <w:p>
      <w:pPr>
        <w:pStyle w:val="ListParagraph"/>
        <w:numPr>
          <w:ilvl w:val="0"/>
          <w:numId w:val="2"/>
        </w:numPr>
        <w:spacing w:after="60"/>
      </w:pPr>
      <w:r>
        <w:rPr>
          <w:b/>
          <w:bCs/>
          <w:color w:val="1A2744"/>
          <w:sz w:val="22"/>
          <w:szCs w:val="22"/>
        </w:rPr>
        <w:t xml:space="preserve">Editor</w:t>
      </w:r>
      <w:r>
        <w:rPr>
          <w:color w:val="3D4F5F"/>
          <w:sz w:val="22"/>
          <w:szCs w:val="22"/>
        </w:rPr>
        <w:t xml:space="preserve"> — Creates and modifies applications, assessments, and costs.</w:t>
      </w:r>
    </w:p>
    <w:p>
      <w:pPr>
        <w:pStyle w:val="ListParagraph"/>
        <w:numPr>
          <w:ilvl w:val="0"/>
          <w:numId w:val="2"/>
        </w:numPr>
        <w:spacing w:after="60"/>
      </w:pPr>
      <w:r>
        <w:rPr>
          <w:b/>
          <w:bCs/>
          <w:color w:val="1A2744"/>
          <w:sz w:val="22"/>
          <w:szCs w:val="22"/>
        </w:rPr>
        <w:t xml:space="preserve">Steward</w:t>
      </w:r>
      <w:r>
        <w:rPr>
          <w:color w:val="3D4F5F"/>
          <w:sz w:val="22"/>
          <w:szCs w:val="22"/>
        </w:rPr>
        <w:t xml:space="preserve"> — This is your business owner. Invite application owners directly into the platform to assess their own applications. They update what's assigned to them — no training required, no risk of touching someone else's data.</w:t>
      </w:r>
    </w:p>
    <w:p>
      <w:pPr>
        <w:pStyle w:val="ListParagraph"/>
        <w:numPr>
          <w:ilvl w:val="0"/>
          <w:numId w:val="2"/>
        </w:numPr>
        <w:spacing w:after="60"/>
      </w:pPr>
      <w:r>
        <w:rPr>
          <w:b/>
          <w:bCs/>
          <w:color w:val="1A2744"/>
          <w:sz w:val="22"/>
          <w:szCs w:val="22"/>
        </w:rPr>
        <w:t xml:space="preserve">Viewer</w:t>
      </w:r>
      <w:r>
        <w:rPr>
          <w:color w:val="3D4F5F"/>
          <w:sz w:val="22"/>
          <w:szCs w:val="22"/>
        </w:rPr>
        <w:t xml:space="preserve"> — Read-only access to everything in the portfolio.</w:t>
      </w:r>
    </w:p>
    <w:p>
      <w:pPr>
        <w:pStyle w:val="ListParagraph"/>
        <w:numPr>
          <w:ilvl w:val="0"/>
          <w:numId w:val="2"/>
        </w:numPr>
        <w:spacing w:after="60"/>
      </w:pPr>
      <w:r>
        <w:rPr>
          <w:b/>
          <w:bCs/>
          <w:color w:val="1A2744"/>
          <w:sz w:val="22"/>
          <w:szCs w:val="22"/>
        </w:rPr>
        <w:t xml:space="preserve">Restricted</w:t>
      </w:r>
      <w:r>
        <w:rPr>
          <w:color w:val="3D4F5F"/>
          <w:sz w:val="22"/>
          <w:szCs w:val="22"/>
        </w:rPr>
        <w:t xml:space="preserve"> — Read-only access limited to assigned applications only. This is how Police stays curtained — Restricted users in other portfolios can't even see Police applications exist.</w:t>
      </w:r>
    </w:p>
    <w:p>
      <w:pPr>
        <w:spacing w:after="60" w:before="160"/>
      </w:pPr>
      <w:r>
        <w:rPr>
          <w:b/>
          <w:bCs/>
          <w:color w:val="1A2744"/>
          <w:sz w:val="22"/>
          <w:szCs w:val="22"/>
        </w:rPr>
        <w:t xml:space="preserve">Key talking point:</w:t>
      </w:r>
    </w:p>
    <w:p>
      <w:pPr>
        <w:spacing w:after="120"/>
      </w:pPr>
      <w:r>
        <w:rPr>
          <w:i/>
          <w:iCs/>
          <w:color w:val="028090"/>
          <w:sz w:val="22"/>
          <w:szCs w:val="22"/>
        </w:rPr>
        <w:t xml:space="preserve">Instead of your team chasing hundreds of application owners for assessment updates, invite them in as Stewards. They see only their apps. They answer the questions. You get the data.</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9</w:t>
      </w:r>
      <w:r>
        <w:rPr>
          <w:rFonts w:ascii="Arial" w:cs="Arial" w:eastAsia="Arial" w:hAnsi="Arial"/>
          <w:b/>
          <w:bCs/>
          <w:color w:val="1A2744"/>
          <w:sz w:val="24"/>
          <w:szCs w:val="24"/>
        </w:rPr>
        <w:t xml:space="preserve">  —  Your Applications, Connected to Your ITSM</w:t>
      </w:r>
    </w:p>
    <w:p>
      <w:pPr>
        <w:spacing w:after="120"/>
      </w:pPr>
      <w:r>
        <w:rPr>
          <w:color w:val="3D4F5F"/>
          <w:sz w:val="22"/>
          <w:szCs w:val="22"/>
        </w:rPr>
        <w:t xml:space="preserve">Subtitle: The application data you curate in GetInSync flows directly into your ticketing and service management platform — structured, clean, and ready to use.</w:t>
      </w:r>
    </w:p>
    <w:p>
      <w:pPr>
        <w:spacing w:after="120"/>
      </w:pPr>
      <w:r>
        <w:rPr>
          <w:color w:val="3D4F5F"/>
          <w:sz w:val="22"/>
          <w:szCs w:val="22"/>
        </w:rPr>
        <w:t xml:space="preserve">Three value cards:</w:t>
      </w:r>
    </w:p>
    <w:p>
      <w:pPr>
        <w:pStyle w:val="ListParagraph"/>
        <w:numPr>
          <w:ilvl w:val="0"/>
          <w:numId w:val="2"/>
        </w:numPr>
        <w:spacing w:after="60"/>
      </w:pPr>
      <w:r>
        <w:rPr>
          <w:b/>
          <w:bCs/>
          <w:color w:val="1A2744"/>
          <w:sz w:val="22"/>
          <w:szCs w:val="22"/>
        </w:rPr>
        <w:t xml:space="preserve">Publish, Don't Re-Enter</w:t>
      </w:r>
      <w:r>
        <w:rPr>
          <w:color w:val="3D4F5F"/>
          <w:sz w:val="22"/>
          <w:szCs w:val="22"/>
        </w:rPr>
        <w:t xml:space="preserve"> — Application records created in GetInSync publish directly to your ITSM platform. No re-keying. No copy-paste. One authoritative source.</w:t>
      </w:r>
    </w:p>
    <w:p>
      <w:pPr>
        <w:pStyle w:val="ListParagraph"/>
        <w:numPr>
          <w:ilvl w:val="0"/>
          <w:numId w:val="2"/>
        </w:numPr>
        <w:spacing w:after="60"/>
      </w:pPr>
      <w:r>
        <w:rPr>
          <w:b/>
          <w:bCs/>
          <w:color w:val="1A2744"/>
          <w:sz w:val="22"/>
          <w:szCs w:val="22"/>
        </w:rPr>
        <w:t xml:space="preserve">Service Relationships Included</w:t>
      </w:r>
      <w:r>
        <w:rPr>
          <w:color w:val="3D4F5F"/>
          <w:sz w:val="22"/>
          <w:szCs w:val="22"/>
        </w:rPr>
        <w:t xml:space="preserve"> — Each application is linked to the IT Services it depends on — so your service desk knows the impact when something goes down.</w:t>
      </w:r>
    </w:p>
    <w:p>
      <w:pPr>
        <w:pStyle w:val="ListParagraph"/>
        <w:numPr>
          <w:ilvl w:val="0"/>
          <w:numId w:val="2"/>
        </w:numPr>
        <w:spacing w:after="60"/>
      </w:pPr>
      <w:r>
        <w:rPr>
          <w:b/>
          <w:bCs/>
          <w:color w:val="1A2744"/>
          <w:sz w:val="22"/>
          <w:szCs w:val="22"/>
        </w:rPr>
        <w:t xml:space="preserve">Team Assignments Ready</w:t>
      </w:r>
      <w:r>
        <w:rPr>
          <w:color w:val="3D4F5F"/>
          <w:sz w:val="22"/>
          <w:szCs w:val="22"/>
        </w:rPr>
        <w:t xml:space="preserve"> — Support team, change team, managing team — all assigned in GetInSync and mapped to your ITSM operational fields.</w:t>
      </w:r>
    </w:p>
    <w:p>
      <w:pPr>
        <w:spacing w:after="120"/>
      </w:pPr>
      <w:r>
        <w:rPr>
          <w:color w:val="3D4F5F"/>
          <w:sz w:val="22"/>
          <w:szCs w:val="22"/>
        </w:rPr>
        <w:t xml:space="preserve">Bottom reference: Three managed catalogs keep your data structured — IT Service (14 types), Software Product (12 categories), Technology Product (15 categories).</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10</w:t>
      </w:r>
      <w:r>
        <w:rPr>
          <w:rFonts w:ascii="Arial" w:cs="Arial" w:eastAsia="Arial" w:hAnsi="Arial"/>
          <w:b/>
          <w:bCs/>
          <w:color w:val="1A2744"/>
          <w:sz w:val="24"/>
          <w:szCs w:val="24"/>
        </w:rPr>
        <w:t xml:space="preserve">  —  Roadmaps &amp; Visual Portfolio Views</w:t>
      </w:r>
    </w:p>
    <w:p>
      <w:pPr>
        <w:spacing w:after="120"/>
      </w:pPr>
      <w:r>
        <w:rPr>
          <w:i/>
          <w:iCs/>
          <w:color w:val="028090"/>
          <w:sz w:val="22"/>
          <w:szCs w:val="22"/>
        </w:rPr>
        <w:t xml:space="preserve">Not just assessing what you have — planning what's next.</w:t>
      </w:r>
    </w:p>
    <w:p>
      <w:pPr>
        <w:spacing w:after="120"/>
      </w:pPr>
      <w:r>
        <w:rPr>
          <w:color w:val="3D4F5F"/>
          <w:sz w:val="22"/>
          <w:szCs w:val="22"/>
        </w:rPr>
        <w:t xml:space="preserve">Two-column layout:</w:t>
      </w:r>
    </w:p>
    <w:p>
      <w:pPr>
        <w:spacing w:after="60" w:before="120"/>
      </w:pPr>
      <w:r>
        <w:rPr>
          <w:b/>
          <w:bCs/>
          <w:color w:val="1A2744"/>
          <w:sz w:val="22"/>
          <w:szCs w:val="22"/>
        </w:rPr>
        <w:t xml:space="preserve">Roadmap Module:</w:t>
      </w:r>
    </w:p>
    <w:p>
      <w:pPr>
        <w:pStyle w:val="ListParagraph"/>
        <w:numPr>
          <w:ilvl w:val="0"/>
          <w:numId w:val="2"/>
        </w:numPr>
        <w:spacing w:after="60"/>
      </w:pPr>
      <w:r>
        <w:rPr>
          <w:color w:val="3D4F5F"/>
          <w:sz w:val="22"/>
          <w:szCs w:val="22"/>
        </w:rPr>
        <w:t xml:space="preserve">Findings → Ideas → Initiatives → Programs</w:t>
      </w:r>
    </w:p>
    <w:p>
      <w:pPr>
        <w:pStyle w:val="ListParagraph"/>
        <w:numPr>
          <w:ilvl w:val="0"/>
          <w:numId w:val="2"/>
        </w:numPr>
        <w:spacing w:after="60"/>
      </w:pPr>
      <w:r>
        <w:rPr>
          <w:color w:val="3D4F5F"/>
          <w:sz w:val="22"/>
          <w:szCs w:val="22"/>
        </w:rPr>
        <w:t xml:space="preserve">Kanban, Gantt, and Grid views</w:t>
      </w:r>
    </w:p>
    <w:p>
      <w:pPr>
        <w:pStyle w:val="ListParagraph"/>
        <w:numPr>
          <w:ilvl w:val="0"/>
          <w:numId w:val="2"/>
        </w:numPr>
        <w:spacing w:after="60"/>
      </w:pPr>
      <w:r>
        <w:rPr>
          <w:color w:val="3D4F5F"/>
          <w:sz w:val="22"/>
          <w:szCs w:val="22"/>
        </w:rPr>
        <w:t xml:space="preserve">Link initiatives to specific applications</w:t>
      </w:r>
    </w:p>
    <w:p>
      <w:pPr>
        <w:pStyle w:val="ListParagraph"/>
        <w:numPr>
          <w:ilvl w:val="0"/>
          <w:numId w:val="2"/>
        </w:numPr>
        <w:spacing w:after="60"/>
      </w:pPr>
      <w:r>
        <w:rPr>
          <w:color w:val="3D4F5F"/>
          <w:sz w:val="22"/>
          <w:szCs w:val="22"/>
        </w:rPr>
        <w:t xml:space="preserve">Self-organizing scope — programs built from initiative membership</w:t>
      </w:r>
    </w:p>
    <w:p>
      <w:pPr>
        <w:pStyle w:val="ListParagraph"/>
        <w:numPr>
          <w:ilvl w:val="0"/>
          <w:numId w:val="2"/>
        </w:numPr>
        <w:spacing w:after="60"/>
      </w:pPr>
      <w:r>
        <w:rPr>
          <w:color w:val="3D4F5F"/>
          <w:sz w:val="22"/>
          <w:szCs w:val="22"/>
        </w:rPr>
        <w:t xml:space="preserve">Cross-portfolio initiative planning</w:t>
      </w:r>
    </w:p>
    <w:p>
      <w:pPr>
        <w:spacing w:after="60" w:before="120"/>
      </w:pPr>
      <w:r>
        <w:rPr>
          <w:b/>
          <w:bCs/>
          <w:color w:val="1A2744"/>
          <w:sz w:val="22"/>
          <w:szCs w:val="22"/>
        </w:rPr>
        <w:t xml:space="preserve">Visual Diagrams:</w:t>
      </w:r>
    </w:p>
    <w:p>
      <w:pPr>
        <w:pStyle w:val="ListParagraph"/>
        <w:numPr>
          <w:ilvl w:val="0"/>
          <w:numId w:val="2"/>
        </w:numPr>
        <w:spacing w:after="60"/>
      </w:pPr>
      <w:r>
        <w:rPr>
          <w:color w:val="3D4F5F"/>
          <w:sz w:val="22"/>
          <w:szCs w:val="22"/>
        </w:rPr>
        <w:t xml:space="preserve">Interactive drill-down: App → Deployment → Blast Radius → Tech Products</w:t>
      </w:r>
    </w:p>
    <w:p>
      <w:pPr>
        <w:pStyle w:val="ListParagraph"/>
        <w:numPr>
          <w:ilvl w:val="0"/>
          <w:numId w:val="2"/>
        </w:numPr>
        <w:spacing w:after="60"/>
      </w:pPr>
      <w:r>
        <w:rPr>
          <w:color w:val="3D4F5F"/>
          <w:sz w:val="22"/>
          <w:szCs w:val="22"/>
        </w:rPr>
        <w:t xml:space="preserve">See integration dependencies before retiring an application</w:t>
      </w:r>
    </w:p>
    <w:p>
      <w:pPr>
        <w:pStyle w:val="ListParagraph"/>
        <w:numPr>
          <w:ilvl w:val="0"/>
          <w:numId w:val="2"/>
        </w:numPr>
        <w:spacing w:after="60"/>
      </w:pPr>
      <w:r>
        <w:rPr>
          <w:color w:val="3D4F5F"/>
          <w:sz w:val="22"/>
          <w:szCs w:val="22"/>
        </w:rPr>
        <w:t xml:space="preserve">IT Service composition — which apps depend on which services</w:t>
      </w:r>
    </w:p>
    <w:p>
      <w:pPr>
        <w:pStyle w:val="ListParagraph"/>
        <w:numPr>
          <w:ilvl w:val="0"/>
          <w:numId w:val="2"/>
        </w:numPr>
        <w:spacing w:after="60"/>
      </w:pPr>
      <w:r>
        <w:rPr>
          <w:color w:val="3D4F5F"/>
          <w:sz w:val="22"/>
          <w:szCs w:val="22"/>
        </w:rPr>
        <w:t xml:space="preserve">Pan, zoom, breadcrumb navigation</w:t>
      </w:r>
    </w:p>
    <w:p>
      <w:pPr>
        <w:pBdr>
          <w:bottom w:val="single" w:color="028090" w:sz="2" w:space="1"/>
        </w:pBdr>
        <w:spacing w:after="200" w:before="200"/>
      </w:pPr>
    </w:p>
    <w:p>
      <w:pPr>
        <w:shd w:fill="E8F4F6" w:val="clear"/>
        <w:spacing w:after="80" w:before="240"/>
      </w:pPr>
      <w:r>
        <w:rPr>
          <w:rFonts w:ascii="Arial" w:cs="Arial" w:eastAsia="Arial" w:hAnsi="Arial"/>
          <w:b/>
          <w:bCs/>
          <w:color w:val="028090"/>
          <w:sz w:val="20"/>
          <w:szCs w:val="20"/>
        </w:rPr>
        <w:t xml:space="preserve">SLIDE 11</w:t>
      </w:r>
      <w:r>
        <w:rPr>
          <w:rFonts w:ascii="Arial" w:cs="Arial" w:eastAsia="Arial" w:hAnsi="Arial"/>
          <w:b/>
          <w:bCs/>
          <w:color w:val="1A2744"/>
          <w:sz w:val="24"/>
          <w:szCs w:val="24"/>
        </w:rPr>
        <w:t xml:space="preserve">  —  Your Input Shapes What Ships</w:t>
      </w:r>
    </w:p>
    <w:p>
      <w:pPr>
        <w:spacing w:after="120"/>
      </w:pPr>
      <w:r>
        <w:rPr>
          <w:color w:val="3D4F5F"/>
          <w:sz w:val="22"/>
          <w:szCs w:val="22"/>
        </w:rPr>
        <w:t xml:space="preserve">Subtitle: We're in an active development window right now. Your participation helps us validate what we've built and prioritize what comes next.</w:t>
      </w:r>
    </w:p>
    <w:p>
      <w:pPr>
        <w:spacing w:after="120"/>
      </w:pPr>
      <w:r>
        <w:rPr>
          <w:color w:val="3D4F5F"/>
          <w:sz w:val="22"/>
          <w:szCs w:val="22"/>
        </w:rPr>
        <w:t xml:space="preserve">Three action cards:</w:t>
      </w:r>
    </w:p>
    <w:p>
      <w:pPr>
        <w:pStyle w:val="ListParagraph"/>
        <w:numPr>
          <w:ilvl w:val="0"/>
          <w:numId w:val="2"/>
        </w:numPr>
        <w:spacing w:after="60"/>
      </w:pPr>
      <w:r>
        <w:rPr>
          <w:b/>
          <w:bCs/>
          <w:color w:val="1A2744"/>
          <w:sz w:val="22"/>
          <w:szCs w:val="22"/>
        </w:rPr>
        <w:t xml:space="preserve">Validate</w:t>
      </w:r>
      <w:r>
        <w:rPr>
          <w:color w:val="3D4F5F"/>
          <w:sz w:val="22"/>
          <w:szCs w:val="22"/>
        </w:rPr>
        <w:t xml:space="preserve"> — Walk through your portfolio data in NextGen. Confirm the cost model, portfolio isolation, and contract tracking work the way you need them to.</w:t>
      </w:r>
    </w:p>
    <w:p>
      <w:pPr>
        <w:pStyle w:val="ListParagraph"/>
        <w:numPr>
          <w:ilvl w:val="0"/>
          <w:numId w:val="2"/>
        </w:numPr>
        <w:spacing w:after="60"/>
      </w:pPr>
      <w:r>
        <w:rPr>
          <w:b/>
          <w:bCs/>
          <w:color w:val="1A2744"/>
          <w:sz w:val="22"/>
          <w:szCs w:val="22"/>
        </w:rPr>
        <w:t xml:space="preserve">Influence</w:t>
      </w:r>
      <w:r>
        <w:rPr>
          <w:color w:val="3D4F5F"/>
          <w:sz w:val="22"/>
          <w:szCs w:val="22"/>
        </w:rPr>
        <w:t xml:space="preserve"> — Your feedback directly shapes feature priority. Budget cycle management, vendor reporting, ITSM integration — tell us what matters most to you.</w:t>
      </w:r>
    </w:p>
    <w:p>
      <w:pPr>
        <w:pStyle w:val="ListParagraph"/>
        <w:numPr>
          <w:ilvl w:val="0"/>
          <w:numId w:val="2"/>
        </w:numPr>
        <w:spacing w:after="60"/>
      </w:pPr>
      <w:r>
        <w:rPr>
          <w:b/>
          <w:bCs/>
          <w:color w:val="1A2744"/>
          <w:sz w:val="22"/>
          <w:szCs w:val="22"/>
        </w:rPr>
        <w:t xml:space="preserve">Go Live</w:t>
      </w:r>
      <w:r>
        <w:rPr>
          <w:color w:val="3D4F5F"/>
          <w:sz w:val="22"/>
          <w:szCs w:val="22"/>
        </w:rPr>
        <w:t xml:space="preserve"> — Your application data has a proven migration path. When you're ready, the transition is a migration — not a restart. Your investment is preserved.</w:t>
      </w:r>
    </w:p>
    <w:p>
      <w:pPr>
        <w:spacing w:after="60" w:before="160"/>
      </w:pPr>
      <w:r>
        <w:rPr>
          <w:b/>
          <w:bCs/>
          <w:color w:val="1A2744"/>
          <w:sz w:val="22"/>
          <w:szCs w:val="22"/>
        </w:rPr>
        <w:t xml:space="preserve">Call to action:</w:t>
      </w:r>
    </w:p>
    <w:p>
      <w:pPr>
        <w:spacing w:after="120"/>
      </w:pPr>
      <w:r>
        <w:rPr>
          <w:i/>
          <w:iCs/>
          <w:color w:val="028090"/>
          <w:sz w:val="22"/>
          <w:szCs w:val="22"/>
        </w:rPr>
        <w:t xml:space="preserve">Let's schedule a live walkthrough.</w:t>
      </w:r>
    </w:p>
    <w:p>
      <w:pPr>
        <w:pBdr>
          <w:bottom w:val="single" w:color="028090" w:sz="2" w:space="1"/>
        </w:pBdr>
        <w:spacing w:after="200" w:before="200"/>
      </w:pPr>
    </w:p>
    <w:p>
      <w:pPr>
        <w:spacing w:after="120" w:before="240"/>
      </w:pPr>
      <w:r>
        <w:rPr>
          <w:b/>
          <w:bCs/>
          <w:color w:val="1A2744"/>
          <w:sz w:val="24"/>
          <w:szCs w:val="24"/>
        </w:rPr>
        <w:t xml:space="preserve">NOTES FOR DISCUSSION</w:t>
      </w:r>
    </w:p>
    <w:p>
      <w:pPr>
        <w:pStyle w:val="ListParagraph"/>
        <w:numPr>
          <w:ilvl w:val="0"/>
          <w:numId w:val="2"/>
        </w:numPr>
        <w:spacing w:after="60"/>
      </w:pPr>
      <w:r>
        <w:rPr>
          <w:color w:val="3D4F5F"/>
          <w:sz w:val="22"/>
          <w:szCs w:val="22"/>
        </w:rPr>
        <w:t xml:space="preserve">Workspace names (Financial Services, Public Safety — Police, Information Technology) — confirm these match what Garland will use.</w:t>
      </w:r>
    </w:p>
    <w:p>
      <w:pPr>
        <w:pStyle w:val="ListParagraph"/>
        <w:numPr>
          <w:ilvl w:val="0"/>
          <w:numId w:val="2"/>
        </w:numPr>
        <w:spacing w:after="60"/>
      </w:pPr>
      <w:r>
        <w:rPr>
          <w:color w:val="3D4F5F"/>
          <w:sz w:val="22"/>
          <w:szCs w:val="22"/>
        </w:rPr>
        <w:t xml:space="preserve">The completely redesigned assessment platform should be discussed in the live demo, not on a slide.</w:t>
      </w:r>
    </w:p>
    <w:p>
      <w:pPr>
        <w:pStyle w:val="ListParagraph"/>
        <w:numPr>
          <w:ilvl w:val="0"/>
          <w:numId w:val="2"/>
        </w:numPr>
        <w:spacing w:after="60"/>
      </w:pPr>
      <w:r>
        <w:rPr>
          <w:color w:val="3D4F5F"/>
          <w:sz w:val="22"/>
          <w:szCs w:val="22"/>
        </w:rPr>
        <w:t xml:space="preserve">Flexera / Snow / ServiceNow SAM pricing comparison ($60K+) — confirm comfort level naming competitors.</w:t>
      </w:r>
    </w:p>
    <w:p>
      <w:pPr>
        <w:pStyle w:val="ListParagraph"/>
        <w:numPr>
          <w:ilvl w:val="0"/>
          <w:numId w:val="2"/>
        </w:numPr>
        <w:spacing w:after="60"/>
      </w:pPr>
      <w:r>
        <w:rPr>
          <w:color w:val="3D4F5F"/>
          <w:sz w:val="22"/>
          <w:szCs w:val="22"/>
        </w:rPr>
        <w:t xml:space="preserve">Publisher / consumer terminology for Workspace Groups — confirm this resonates or adjust.</w:t>
      </w:r>
    </w:p>
    <w:p>
      <w:pPr>
        <w:pStyle w:val="ListParagraph"/>
        <w:numPr>
          <w:ilvl w:val="0"/>
          <w:numId w:val="2"/>
        </w:numPr>
        <w:spacing w:after="60"/>
      </w:pPr>
      <w:r>
        <w:rPr>
          <w:color w:val="3D4F5F"/>
          <w:sz w:val="22"/>
          <w:szCs w:val="22"/>
        </w:rPr>
        <w:t xml:space="preserve">Assessment delegation via Steward role is a strong demo moment — plan to show this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744"/>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028090"/>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2026-04-13T17:25:07.229Z</dcterms:created>
  <dcterms:modified xsi:type="dcterms:W3CDTF">2026-04-13T17:25:07.230Z</dcterms:modified>
</cp:coreProperties>
</file>

<file path=docProps/custom.xml><?xml version="1.0" encoding="utf-8"?>
<Properties xmlns="http://schemas.openxmlformats.org/officeDocument/2006/custom-properties" xmlns:vt="http://schemas.openxmlformats.org/officeDocument/2006/docPropsVTypes"/>
</file>