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GetInSync NextGen — Cost Model Primer</w:t>
      </w:r>
    </w:p>
    <w:p>
      <w:pPr>
        <w:pStyle w:val="Author"/>
      </w:pPr>
      <w:r>
        <w:t xml:space="preserve">GetInSync Architecture Team</w:t>
      </w:r>
    </w:p>
    <w:p>
      <w:pPr>
        <w:pStyle w:val="Date"/>
      </w:pPr>
      <w:r>
        <w:t xml:space="preserve">March 5, 2026</w:t>
      </w:r>
    </w:p>
    <w:bookmarkStart w:id="10" w:name="the-big-idea"/>
    <w:p>
      <w:pPr>
        <w:pStyle w:val="Heading1"/>
      </w:pPr>
      <w:r>
        <w:t xml:space="preserve">1. The Big Idea</w:t>
      </w:r>
    </w:p>
    <w:p>
      <w:pPr>
        <w:pStyle w:val="FirstParagraph"/>
      </w:pPr>
      <w:r>
        <w:rPr>
          <w:b/>
          <w:bCs/>
        </w:rPr>
        <w:t xml:space="preserve">“Every dollar needs a home and an owner.”</w:t>
      </w:r>
    </w:p>
    <w:p>
      <w:pPr>
        <w:pStyle w:val="BodyText"/>
      </w:pPr>
      <w:r>
        <w:t xml:space="preserve">GetInSync tracks the cost of running your application portfolio. Instead of dumping a single dollar figure on an application and hoping someone remembers where it came from, costs flow through two defined</w:t>
      </w:r>
      <w:r>
        <w:t xml:space="preserve"> </w:t>
      </w:r>
      <w:r>
        <w:rPr>
          <w:b/>
          <w:bCs/>
        </w:rPr>
        <w:t xml:space="preserve">channels</w:t>
      </w:r>
      <w:r>
        <w:t xml:space="preserve"> </w:t>
      </w:r>
      <w:r>
        <w:t xml:space="preserve">— each tied to a specific source.</w:t>
      </w:r>
    </w:p>
    <w:bookmarkStart w:id="9" w:name="key-concepts"/>
    <w:p>
      <w:pPr>
        <w:pStyle w:val="Heading2"/>
      </w:pPr>
      <w:r>
        <w:t xml:space="preserve">Key Concepts</w:t>
      </w:r>
    </w:p>
    <w:p>
      <w:pPr>
        <w:pStyle w:val="FirstParagraph"/>
      </w:pPr>
      <w:r>
        <w:rPr>
          <w:b/>
          <w:bCs/>
        </w:rPr>
        <w:t xml:space="preserve">Deployment Profile is the cost rollup point, not the Application.</w:t>
      </w:r>
      <w:r>
        <w:t xml:space="preserve"> </w:t>
      </w:r>
      <w:r>
        <w:t xml:space="preserve">A Deployment Profile (DP) represents a deployed instance of an application — typically one per environment (PROD, DEV, TEST). Costs attach to DPs because different environments may have different infrastructure and support costs.</w:t>
      </w:r>
    </w:p>
    <w:p>
      <w:pPr>
        <w:pStyle w:val="BodyText"/>
      </w:pPr>
      <w:r>
        <w:rPr>
          <w:b/>
          <w:bCs/>
        </w:rPr>
        <w:t xml:space="preserve">Application is a reporting aggregate.</w:t>
      </w:r>
      <w:r>
        <w:t xml:space="preserve"> </w:t>
      </w:r>
      <w:r>
        <w:t xml:space="preserve">An application’s total cost is simply the sum of costs across all its DPs. The application itself stores no cost data directly.</w:t>
      </w:r>
    </w:p>
    <w:p>
      <w:pPr>
        <w:pStyle w:val="BodyText"/>
      </w:pPr>
      <w:r>
        <w:rPr>
          <w:b/>
          <w:bCs/>
        </w:rPr>
        <w:t xml:space="preserve">Two channels, no exceptions.</w:t>
      </w:r>
      <w:r>
        <w:t xml:space="preserve"> </w:t>
      </w:r>
      <w:r>
        <w:t xml:space="preserve">Every cost enters the system through exactly one of two channels: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Source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Services</w:t>
            </w:r>
          </w:p>
        </w:tc>
        <w:tc>
          <w:tcPr/>
          <w:p>
            <w:pPr>
              <w:pStyle w:val="Compact"/>
            </w:pPr>
            <w:r>
              <w:t xml:space="preserve">Infrastructure allocations and software licensing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deployment_profile_it_services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Bundles</w:t>
            </w:r>
          </w:p>
        </w:tc>
        <w:tc>
          <w:tcPr/>
          <w:p>
            <w:pPr>
              <w:pStyle w:val="Compact"/>
            </w:pPr>
            <w:r>
              <w:t xml:space="preserve">Everything else (consulting, MSP, support, etc.)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dp_type = 'cost_bundle'</w:t>
            </w:r>
          </w:p>
        </w:tc>
      </w:tr>
    </w:tbl>
    <w:p>
      <w:pPr>
        <w:pStyle w:val="BodyText"/>
      </w:pPr>
      <w:r>
        <w:t xml:space="preserve">If a cost doesn’t fit either channel, it goes in a Cost Bundle. No cost lives directly on an application or a standard deployment profile.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4" w:name="the-two-cost-channels"/>
    <w:p>
      <w:pPr>
        <w:pStyle w:val="Heading1"/>
      </w:pPr>
      <w:r>
        <w:t xml:space="preserve">2. The Two Cost Channels</w:t>
      </w:r>
    </w:p>
    <w:bookmarkStart w:id="17" w:name="channel-1-it-services"/>
    <w:p>
      <w:pPr>
        <w:pStyle w:val="Heading2"/>
      </w:pPr>
      <w:r>
        <w:t xml:space="preserve">2.1 Channel 1: IT Services</w:t>
      </w:r>
    </w:p>
    <w:p>
      <w:pPr>
        <w:pStyle w:val="FirstParagraph"/>
      </w:pPr>
      <w:r>
        <w:t xml:space="preserve">IT Service costs represent shared infrastructure and software licensing — the servers, databases, network, cloud services, and software agreements that applications depend on.</w:t>
      </w:r>
    </w:p>
    <w:p>
      <w:pPr>
        <w:pStyle w:val="BodyText"/>
      </w:pPr>
      <w:r>
        <w:t xml:space="preserve">IT Services also serve as the</w:t>
      </w:r>
      <w:r>
        <w:t xml:space="preserve"> </w:t>
      </w:r>
      <w:r>
        <w:rPr>
          <w:b/>
          <w:bCs/>
        </w:rPr>
        <w:t xml:space="preserve">commercial agreement</w:t>
      </w:r>
      <w:r>
        <w:t xml:space="preserve"> </w:t>
      </w:r>
      <w:r>
        <w:t xml:space="preserve">for software. An IT Service like</w:t>
      </w:r>
      <w:r>
        <w:t xml:space="preserve"> </w:t>
      </w:r>
      <w:r>
        <w:t xml:space="preserve">“Microsoft 365 E5 Enterprise Agreement”</w:t>
      </w:r>
      <w:r>
        <w:t xml:space="preserve"> </w:t>
      </w:r>
      <w:r>
        <w:t xml:space="preserve">carries the cost pool ($240K), the vendor (Microsoft), and the contract lifecycle (start date, end date, renewal notice). It links to the Software Products it covers via the</w:t>
      </w:r>
      <w:r>
        <w:t xml:space="preserve"> </w:t>
      </w:r>
      <w:r>
        <w:rPr>
          <w:b/>
          <w:bCs/>
        </w:rPr>
        <w:t xml:space="preserve">Software Products Provided</w:t>
      </w:r>
      <w:r>
        <w:t xml:space="preserve"> </w:t>
      </w:r>
      <w:r>
        <w:t xml:space="preserve">relationship.</w:t>
      </w:r>
    </w:p>
    <w:bookmarkStart w:id="11" w:name="the-cost-pool-model"/>
    <w:p>
      <w:pPr>
        <w:pStyle w:val="Heading3"/>
      </w:pPr>
      <w:r>
        <w:t xml:space="preserve">The cost pool model</w:t>
      </w:r>
    </w:p>
    <w:p>
      <w:pPr>
        <w:pStyle w:val="FirstParagraph"/>
      </w:pPr>
      <w:r>
        <w:t xml:space="preserve">An IT Service has a</w:t>
      </w:r>
      <w:r>
        <w:t xml:space="preserve"> </w:t>
      </w:r>
      <w:r>
        <w:rPr>
          <w:b/>
          <w:bCs/>
        </w:rPr>
        <w:t xml:space="preserve">total cost pool</w:t>
      </w:r>
      <w:r>
        <w:t xml:space="preserve"> </w:t>
      </w:r>
      <w:r>
        <w:t xml:space="preserve">(e.g.,</w:t>
      </w:r>
      <w:r>
        <w:t xml:space="preserve"> </w:t>
      </w:r>
      <w:r>
        <w:t xml:space="preserve">“Database Hosting — SQL Server”</w:t>
      </w:r>
      <w:r>
        <w:t xml:space="preserve"> </w:t>
      </w:r>
      <w:r>
        <w:t xml:space="preserve">costs $100,000/year to operate). That pool gets</w:t>
      </w:r>
      <w:r>
        <w:t xml:space="preserve"> </w:t>
      </w:r>
      <w:r>
        <w:rPr>
          <w:b/>
          <w:bCs/>
        </w:rPr>
        <w:t xml:space="preserve">allocated</w:t>
      </w:r>
      <w:r>
        <w:t xml:space="preserve"> </w:t>
      </w:r>
      <w:r>
        <w:t xml:space="preserve">to the applications that use it. Whatever isn’t allocated is</w:t>
      </w:r>
      <w:r>
        <w:t xml:space="preserve"> </w:t>
      </w:r>
      <w:r>
        <w:rPr>
          <w:b/>
          <w:bCs/>
        </w:rPr>
        <w:t xml:space="preserve">stranded cost</w:t>
      </w:r>
      <w:r>
        <w:t xml:space="preserve"> </w:t>
      </w:r>
      <w:r>
        <w:t xml:space="preserve">— overhead that Central IT absorbs.</w:t>
      </w:r>
    </w:p>
    <w:p>
      <w:pPr>
        <w:pStyle w:val="SourceCode"/>
      </w:pPr>
      <w:r>
        <w:rPr>
          <w:rStyle w:val="VerbatimChar"/>
        </w:rPr>
        <w:t xml:space="preserve">IT Service: Database Hosting — SQL Server</w:t>
      </w:r>
      <w:r>
        <w:br/>
      </w:r>
      <w:r>
        <w:rPr>
          <w:rStyle w:val="VerbatimChar"/>
        </w:rPr>
        <w:t xml:space="preserve">Total Pool:          $100,000</w:t>
      </w:r>
      <w:r>
        <w:br/>
      </w:r>
      <w:r>
        <w:br/>
      </w:r>
      <w:r>
        <w:rPr>
          <w:rStyle w:val="VerbatimChar"/>
        </w:rPr>
        <w:t xml:space="preserve">Allocated:</w:t>
      </w:r>
      <w:r>
        <w:br/>
      </w:r>
      <w:r>
        <w:rPr>
          <w:rStyle w:val="VerbatimChar"/>
        </w:rPr>
        <w:t xml:space="preserve">  Finance App DP:     $10,000  (10%)</w:t>
      </w:r>
      <w:r>
        <w:br/>
      </w:r>
      <w:r>
        <w:rPr>
          <w:rStyle w:val="VerbatimChar"/>
        </w:rPr>
        <w:t xml:space="preserve">  Justice App DP:     $20,000  (20%)</w:t>
      </w:r>
      <w:r>
        <w:br/>
      </w:r>
      <w:r>
        <w:br/>
      </w:r>
      <w:r>
        <w:rPr>
          <w:rStyle w:val="VerbatimChar"/>
        </w:rPr>
        <w:t xml:space="preserve">Recovered:            $30,000</w:t>
      </w:r>
      <w:r>
        <w:br/>
      </w:r>
      <w:r>
        <w:rPr>
          <w:rStyle w:val="VerbatimChar"/>
        </w:rPr>
        <w:t xml:space="preserve">Stranded (overhead):  $70,000</w:t>
      </w:r>
    </w:p>
    <w:bookmarkEnd w:id="11"/>
    <w:bookmarkStart w:id="12" w:name="where-the-data-lives"/>
    <w:p>
      <w:pPr>
        <w:pStyle w:val="Heading3"/>
      </w:pPr>
      <w:r>
        <w:t xml:space="preserve">Where the data lives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pool:</w:t>
      </w:r>
      <w:r>
        <w:t xml:space="preserve"> </w:t>
      </w:r>
      <w:r>
        <w:rPr>
          <w:rStyle w:val="VerbatimChar"/>
        </w:rPr>
        <w:t xml:space="preserve">it_services.annual_cost</w:t>
      </w:r>
      <w:r>
        <w:t xml:space="preserve"> </w:t>
      </w:r>
      <w:r>
        <w:t xml:space="preserve">— the total cost (infrastructure or licensing).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Vendor:</w:t>
      </w:r>
      <w:r>
        <w:t xml:space="preserve"> </w:t>
      </w:r>
      <w:r>
        <w:rPr>
          <w:rStyle w:val="VerbatimChar"/>
        </w:rPr>
        <w:t xml:space="preserve">it_services.vendor_org_id</w:t>
      </w:r>
      <w:r>
        <w:t xml:space="preserve"> </w:t>
      </w:r>
      <w:r>
        <w:t xml:space="preserve">— who supplies this service.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lifecycle:</w:t>
      </w:r>
      <w:r>
        <w:t xml:space="preserve"> </w:t>
      </w:r>
      <w:r>
        <w:rPr>
          <w:rStyle w:val="VerbatimChar"/>
        </w:rPr>
        <w:t xml:space="preserve">it_services.contract_reference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renewal_notice_days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Software product link:</w:t>
      </w:r>
      <w:r>
        <w:t xml:space="preserve"> </w:t>
      </w:r>
      <w:r>
        <w:rPr>
          <w:rStyle w:val="VerbatimChar"/>
        </w:rPr>
        <w:t xml:space="preserve">it_service_software_products</w:t>
      </w:r>
      <w:r>
        <w:t xml:space="preserve"> </w:t>
      </w:r>
      <w:r>
        <w:t xml:space="preserve">— which Software Products this IT Service covers.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Allocations:</w:t>
      </w:r>
      <w:r>
        <w:t xml:space="preserve"> </w:t>
      </w:r>
      <w:r>
        <w:rPr>
          <w:rStyle w:val="VerbatimChar"/>
        </w:rPr>
        <w:t xml:space="preserve">deployment_profile_it_services</w:t>
      </w:r>
      <w:r>
        <w:t xml:space="preserve"> </w:t>
      </w:r>
      <w:r>
        <w:t xml:space="preserve">— links an IT Service to a DP with an allocation amount.</w:t>
      </w:r>
    </w:p>
    <w:bookmarkEnd w:id="12"/>
    <w:bookmarkStart w:id="13" w:name="two-allocation-modes"/>
    <w:p>
      <w:pPr>
        <w:pStyle w:val="Heading3"/>
      </w:pPr>
      <w:r>
        <w:t xml:space="preserve">Two allocation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Field Value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allocation_basis = 'fixed'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allocation_value</w:t>
            </w:r>
            <w:r>
              <w:t xml:space="preserve"> </w:t>
            </w:r>
            <w:r>
              <w:t xml:space="preserve">is a dollar amount (e.g., $10,000)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allocation_basis = 'percent'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allocation_value</w:t>
            </w:r>
            <w:r>
              <w:t xml:space="preserve"> </w:t>
            </w:r>
            <w:r>
              <w:t xml:space="preserve">is a percentage of the pool (e.g., 10 = 10% of pool)</w:t>
            </w:r>
          </w:p>
        </w:tc>
      </w:tr>
    </w:tbl>
    <w:bookmarkEnd w:id="13"/>
    <w:bookmarkStart w:id="14" w:name="how-to-enter-it"/>
    <w:p>
      <w:pPr>
        <w:pStyle w:val="Heading3"/>
      </w:pPr>
      <w:r>
        <w:t xml:space="preserve">How to enter it</w:t>
      </w:r>
    </w:p>
    <w:p>
      <w:pPr>
        <w:pStyle w:val="Compact"/>
        <w:numPr>
          <w:ilvl w:val="0"/>
          <w:numId w:val="1002"/>
        </w:numPr>
      </w:pPr>
      <w:r>
        <w:t xml:space="preserve">Open an application and expand a</w:t>
      </w:r>
      <w:r>
        <w:t xml:space="preserve"> </w:t>
      </w:r>
      <w:r>
        <w:rPr>
          <w:b/>
          <w:bCs/>
        </w:rPr>
        <w:t xml:space="preserve">Deployment Profile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“Services Used”</w:t>
      </w:r>
      <w:r>
        <w:t xml:space="preserve"> </w:t>
      </w:r>
      <w:r>
        <w:t xml:space="preserve">section, click</w:t>
      </w:r>
      <w:r>
        <w:t xml:space="preserve"> </w:t>
      </w:r>
      <w:r>
        <w:rPr>
          <w:b/>
          <w:bCs/>
        </w:rPr>
        <w:t xml:space="preserve">+ Link IT 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Select the IT Service from the picker.</w:t>
      </w:r>
    </w:p>
    <w:p>
      <w:pPr>
        <w:pStyle w:val="Compact"/>
        <w:numPr>
          <w:ilvl w:val="0"/>
          <w:numId w:val="1002"/>
        </w:numPr>
      </w:pPr>
      <w:r>
        <w:t xml:space="preserve">The new service appears in the table with a</w:t>
      </w:r>
      <w:r>
        <w:t xml:space="preserve"> </w:t>
      </w:r>
      <w:r>
        <w:rPr>
          <w:b/>
          <w:bCs/>
        </w:rPr>
        <w:t xml:space="preserve">“Set”</w:t>
      </w:r>
      <w:r>
        <w:t xml:space="preserve"> </w:t>
      </w:r>
      <w:r>
        <w:t xml:space="preserve">button in the Allocation column.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“Set”</w:t>
      </w:r>
      <w:r>
        <w:t xml:space="preserve"> </w:t>
      </w:r>
      <w:r>
        <w:t xml:space="preserve">(or the calculator icon on an existing allocation) to open the</w:t>
      </w:r>
      <w:r>
        <w:t xml:space="preserve"> </w:t>
      </w:r>
      <w:r>
        <w:rPr>
          <w:b/>
          <w:bCs/>
        </w:rPr>
        <w:t xml:space="preserve">Quick Calculator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Unit Price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Quantity</w:t>
      </w:r>
      <w:r>
        <w:t xml:space="preserve"> </w:t>
      </w:r>
      <w:r>
        <w:t xml:space="preserve">— the calculator shows the total (e.g., $120 × 150 = $18,000).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— the allocation is saved as a fixed dollar amount.</w:t>
      </w:r>
    </w:p>
    <w:p>
      <w:pPr>
        <w:pStyle w:val="Compact"/>
        <w:numPr>
          <w:ilvl w:val="0"/>
          <w:numId w:val="1002"/>
        </w:numPr>
      </w:pPr>
      <w:r>
        <w:t xml:space="preserve">Existing percent-based allocations display as</w:t>
      </w:r>
      <w:r>
        <w:t xml:space="preserve"> </w:t>
      </w:r>
      <w:r>
        <w:rPr>
          <w:b/>
          <w:bCs/>
        </w:rPr>
        <w:t xml:space="preserve">“35%”</w:t>
      </w:r>
      <w:r>
        <w:t xml:space="preserve">; fixed allocations display as</w:t>
      </w:r>
      <w:r>
        <w:t xml:space="preserve"> </w:t>
      </w:r>
      <w:r>
        <w:rPr>
          <w:b/>
          <w:bCs/>
        </w:rPr>
        <w:t xml:space="preserve">“$1,500”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 clear an allocation, click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button next to the value.</w:t>
      </w:r>
    </w:p>
    <w:bookmarkEnd w:id="14"/>
    <w:bookmarkStart w:id="15" w:name="example-infrastructure"/>
    <w:p>
      <w:pPr>
        <w:pStyle w:val="Heading3"/>
      </w:pPr>
      <w:r>
        <w:t xml:space="preserve">Example — Infrastructure</w:t>
      </w:r>
    </w:p>
    <w:p>
      <w:pPr>
        <w:pStyle w:val="BlockText"/>
      </w:pPr>
      <w:r>
        <w:rPr>
          <w:b/>
          <w:bCs/>
        </w:rPr>
        <w:t xml:space="preserve">Finance ERP — PROD</w:t>
      </w:r>
      <w:r>
        <w:t xml:space="preserve"> </w:t>
      </w:r>
      <w:r>
        <w:t xml:space="preserve">uses</w:t>
      </w:r>
      <w:r>
        <w:t xml:space="preserve"> </w:t>
      </w:r>
      <w:r>
        <w:t xml:space="preserve">“Database Hosting — SQL Server”</w:t>
      </w:r>
    </w:p>
    <w:p>
      <w:pPr>
        <w:pStyle w:val="Compact"/>
        <w:numPr>
          <w:ilvl w:val="0"/>
          <w:numId w:val="1003"/>
        </w:numPr>
      </w:pPr>
      <w:r>
        <w:t xml:space="preserve">Allocation basis: percent</w:t>
      </w:r>
    </w:p>
    <w:p>
      <w:pPr>
        <w:pStyle w:val="Compact"/>
        <w:numPr>
          <w:ilvl w:val="0"/>
          <w:numId w:val="1003"/>
        </w:numPr>
      </w:pPr>
      <w:r>
        <w:t xml:space="preserve">Allocation value: 10</w:t>
      </w:r>
    </w:p>
    <w:p>
      <w:pPr>
        <w:pStyle w:val="Compact"/>
        <w:numPr>
          <w:ilvl w:val="0"/>
          <w:numId w:val="1003"/>
        </w:numPr>
      </w:pPr>
      <w:r>
        <w:t xml:space="preserve">IT Service pool: $100,000</w:t>
      </w:r>
    </w:p>
    <w:p>
      <w:pPr>
        <w:pStyle w:val="Compact"/>
        <w:numPr>
          <w:ilvl w:val="0"/>
          <w:numId w:val="1003"/>
        </w:numPr>
      </w:pPr>
      <w:r>
        <w:t xml:space="preserve">Calculated cost:</w:t>
      </w:r>
      <w:r>
        <w:t xml:space="preserve"> </w:t>
      </w:r>
      <w:r>
        <w:rPr>
          <w:b/>
          <w:bCs/>
        </w:rPr>
        <w:t xml:space="preserve">$10,000</w:t>
      </w:r>
      <w:r>
        <w:t xml:space="preserve"> </w:t>
      </w:r>
      <w:r>
        <w:t xml:space="preserve">(10% of $100,000)</w:t>
      </w:r>
    </w:p>
    <w:bookmarkEnd w:id="15"/>
    <w:bookmarkStart w:id="16" w:name="example-software-licensing"/>
    <w:p>
      <w:pPr>
        <w:pStyle w:val="Heading3"/>
      </w:pPr>
      <w:r>
        <w:t xml:space="preserve">Example — Software Licensing</w:t>
      </w:r>
    </w:p>
    <w:p>
      <w:pPr>
        <w:pStyle w:val="BlockText"/>
      </w:pPr>
      <w:r>
        <w:rPr>
          <w:b/>
          <w:bCs/>
        </w:rPr>
        <w:t xml:space="preserve">Justice — PROD</w:t>
      </w:r>
      <w:r>
        <w:t xml:space="preserve"> </w:t>
      </w:r>
      <w:r>
        <w:t xml:space="preserve">uses</w:t>
      </w:r>
      <w:r>
        <w:t xml:space="preserve"> </w:t>
      </w:r>
      <w:r>
        <w:t xml:space="preserve">“Microsoft 365 E5 Enterprise Agreement”</w:t>
      </w:r>
    </w:p>
    <w:p>
      <w:pPr>
        <w:pStyle w:val="Compact"/>
        <w:numPr>
          <w:ilvl w:val="0"/>
          <w:numId w:val="1004"/>
        </w:numPr>
      </w:pPr>
      <w:r>
        <w:t xml:space="preserve">IT Service pool: $240,000 (vendor: Microsoft, contract end: 2027-06-30)</w:t>
      </w:r>
    </w:p>
    <w:p>
      <w:pPr>
        <w:pStyle w:val="Compact"/>
        <w:numPr>
          <w:ilvl w:val="0"/>
          <w:numId w:val="1004"/>
        </w:numPr>
      </w:pPr>
      <w:r>
        <w:t xml:space="preserve">Quick Calculator: $120/seat × 300 seats =</w:t>
      </w:r>
      <w:r>
        <w:t xml:space="preserve"> </w:t>
      </w:r>
      <w:r>
        <w:rPr>
          <w:b/>
          <w:bCs/>
        </w:rPr>
        <w:t xml:space="preserve">$36,000</w:t>
      </w:r>
    </w:p>
    <w:p>
      <w:pPr>
        <w:pStyle w:val="Compact"/>
        <w:numPr>
          <w:ilvl w:val="0"/>
          <w:numId w:val="1004"/>
        </w:numPr>
      </w:pPr>
      <w:r>
        <w:t xml:space="preserve">Saved as: allocation_basis = fixed, allocation_value = $36,000</w:t>
      </w:r>
    </w:p>
    <w:p>
      <w:pPr>
        <w:pStyle w:val="Compact"/>
        <w:numPr>
          <w:ilvl w:val="0"/>
          <w:numId w:val="1004"/>
        </w:numPr>
      </w:pPr>
      <w:r>
        <w:t xml:space="preserve">The IT Service lists Software Products Provided:</w:t>
      </w:r>
      <w:r>
        <w:t xml:space="preserve"> </w:t>
      </w:r>
      <w:r>
        <w:t xml:space="preserve">“Microsoft 365 E5”</w:t>
      </w:r>
      <w:r>
        <w:t xml:space="preserve">,</w:t>
      </w:r>
      <w:r>
        <w:t xml:space="preserve"> </w:t>
      </w:r>
      <w:r>
        <w:t xml:space="preserve">“Microsoft Teams”</w:t>
      </w:r>
      <w:r>
        <w:t xml:space="preserve">,</w:t>
      </w:r>
      <w:r>
        <w:t xml:space="preserve"> </w:t>
      </w:r>
      <w:r>
        <w:t xml:space="preserve">“Microsoft SharePoint”</w:t>
      </w:r>
    </w:p>
    <w:p>
      <w:pPr>
        <w:pStyle w:val="Compact"/>
        <w:numPr>
          <w:ilvl w:val="0"/>
          <w:numId w:val="1004"/>
        </w:numPr>
      </w:pPr>
      <w:r>
        <w:t xml:space="preserve">These products also appear on the DP’s software inventory for tracking purposes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hannel-2-cost-bundles"/>
    <w:p>
      <w:pPr>
        <w:pStyle w:val="Heading2"/>
      </w:pPr>
      <w:r>
        <w:t xml:space="preserve">2.2 Channel 2: Cost Bundles</w:t>
      </w:r>
    </w:p>
    <w:p>
      <w:pPr>
        <w:pStyle w:val="FirstParagraph"/>
      </w:pPr>
      <w:r>
        <w:t xml:space="preserve">Cost Bundles capture everything that isn’t a software license or an IT service allocation. They are the</w:t>
      </w:r>
      <w:r>
        <w:t xml:space="preserve"> </w:t>
      </w:r>
      <w:r>
        <w:t xml:space="preserve">“catch-all”</w:t>
      </w:r>
      <w:r>
        <w:t xml:space="preserve"> </w:t>
      </w:r>
      <w:r>
        <w:t xml:space="preserve">channel.</w:t>
      </w:r>
    </w:p>
    <w:bookmarkStart w:id="18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5"/>
        </w:numPr>
      </w:pPr>
      <w:r>
        <w:t xml:space="preserve">Estimated/rough costs when you’re just getting started</w:t>
      </w:r>
    </w:p>
    <w:p>
      <w:pPr>
        <w:pStyle w:val="Compact"/>
        <w:numPr>
          <w:ilvl w:val="0"/>
          <w:numId w:val="1005"/>
        </w:numPr>
      </w:pPr>
      <w:r>
        <w:t xml:space="preserve">Consulting and professional services fees</w:t>
      </w:r>
    </w:p>
    <w:p>
      <w:pPr>
        <w:pStyle w:val="Compact"/>
        <w:numPr>
          <w:ilvl w:val="0"/>
          <w:numId w:val="1005"/>
        </w:numPr>
      </w:pPr>
      <w:r>
        <w:t xml:space="preserve">Managed service provider (MSP) contracts</w:t>
      </w:r>
    </w:p>
    <w:p>
      <w:pPr>
        <w:pStyle w:val="Compact"/>
        <w:numPr>
          <w:ilvl w:val="0"/>
          <w:numId w:val="1005"/>
        </w:numPr>
      </w:pPr>
      <w:r>
        <w:t xml:space="preserve">One-time migration or project costs</w:t>
      </w:r>
    </w:p>
    <w:p>
      <w:pPr>
        <w:pStyle w:val="Compact"/>
        <w:numPr>
          <w:ilvl w:val="0"/>
          <w:numId w:val="1005"/>
        </w:numPr>
      </w:pPr>
      <w:r>
        <w:t xml:space="preserve">Annual support agreements</w:t>
      </w:r>
    </w:p>
    <w:p>
      <w:pPr>
        <w:pStyle w:val="Compact"/>
        <w:numPr>
          <w:ilvl w:val="0"/>
          <w:numId w:val="1005"/>
        </w:numPr>
      </w:pPr>
      <w:r>
        <w:t xml:space="preserve">Legacy balance-forward amounts</w:t>
      </w:r>
    </w:p>
    <w:bookmarkEnd w:id="18"/>
    <w:bookmarkStart w:id="19" w:name="where-the-data-lives-1"/>
    <w:p>
      <w:pPr>
        <w:pStyle w:val="Heading3"/>
      </w:pPr>
      <w:r>
        <w:t xml:space="preserve">Where the data lives</w:t>
      </w:r>
    </w:p>
    <w:p>
      <w:pPr>
        <w:pStyle w:val="FirstParagraph"/>
      </w:pPr>
      <w:r>
        <w:t xml:space="preserve">A Cost Bundle is a special type of Deployment Profile: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deployment_profiles.dp_type = 'cost_bundle'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deployment_profiles.annual_cost</w:t>
      </w:r>
      <w:r>
        <w:t xml:space="preserve"> </w:t>
      </w:r>
      <w:r>
        <w:t xml:space="preserve">— the dollar amount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deployment_profiles.cost_recurrence = 'recurring'</w:t>
      </w:r>
      <w:r>
        <w:t xml:space="preserve"> </w:t>
      </w:r>
      <w:r>
        <w:t xml:space="preserve">— only recurring bundles count toward run rate</w:t>
      </w:r>
    </w:p>
    <w:bookmarkEnd w:id="19"/>
    <w:bookmarkStart w:id="20" w:name="important-primary-dp-rule"/>
    <w:p>
      <w:pPr>
        <w:pStyle w:val="Heading3"/>
      </w:pPr>
      <w:r>
        <w:t xml:space="preserve">Important: Primary DP rule</w:t>
      </w:r>
    </w:p>
    <w:p>
      <w:pPr>
        <w:pStyle w:val="FirstParagraph"/>
      </w:pPr>
      <w:r>
        <w:t xml:space="preserve">Cost Bundles are scoped to an application (via</w:t>
      </w:r>
      <w:r>
        <w:t xml:space="preserve"> </w:t>
      </w:r>
      <w:r>
        <w:rPr>
          <w:rStyle w:val="VerbatimChar"/>
        </w:rPr>
        <w:t xml:space="preserve">application_id</w:t>
      </w:r>
      <w:r>
        <w:t xml:space="preserve">), but they only roll up through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DP (</w:t>
      </w:r>
      <w:r>
        <w:rPr>
          <w:rStyle w:val="VerbatimChar"/>
        </w:rPr>
        <w:t xml:space="preserve">is_primary = true</w:t>
      </w:r>
      <w:r>
        <w:t xml:space="preserve">). This prevents double-counting when an application has multiple DPs (e.g., PROD and DEV).</w:t>
      </w:r>
    </w:p>
    <w:bookmarkEnd w:id="20"/>
    <w:bookmarkStart w:id="21" w:name="how-to-enter-it-1"/>
    <w:p>
      <w:pPr>
        <w:pStyle w:val="Heading3"/>
      </w:pPr>
      <w:r>
        <w:t xml:space="preserve">How to enter it</w:t>
      </w:r>
    </w:p>
    <w:p>
      <w:pPr>
        <w:pStyle w:val="Compact"/>
        <w:numPr>
          <w:ilvl w:val="0"/>
          <w:numId w:val="1007"/>
        </w:numPr>
      </w:pPr>
      <w:r>
        <w:t xml:space="preserve">Open an application and go to the</w:t>
      </w:r>
      <w:r>
        <w:t xml:space="preserve"> </w:t>
      </w:r>
      <w:r>
        <w:rPr>
          <w:b/>
          <w:bCs/>
        </w:rPr>
        <w:t xml:space="preserve">Deployments &amp; Costs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7"/>
        </w:numPr>
      </w:pPr>
      <w:r>
        <w:t xml:space="preserve">Scroll to the</w:t>
      </w:r>
      <w:r>
        <w:t xml:space="preserve"> </w:t>
      </w:r>
      <w:r>
        <w:rPr>
          <w:b/>
          <w:bCs/>
        </w:rPr>
        <w:t xml:space="preserve">Recurring Costs</w:t>
      </w:r>
      <w:r>
        <w:t xml:space="preserve"> </w:t>
      </w:r>
      <w:r>
        <w:t xml:space="preserve">section at the bottom.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Recurring Cost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a name (e.g.,</w:t>
      </w:r>
      <w:r>
        <w:t xml:space="preserve"> </w:t>
      </w:r>
      <w:r>
        <w:t xml:space="preserve">“Annual Support Agreement”</w:t>
      </w:r>
      <w:r>
        <w:t xml:space="preserve">) and the annual cost.</w:t>
      </w:r>
    </w:p>
    <w:p>
      <w:pPr>
        <w:pStyle w:val="Compact"/>
        <w:numPr>
          <w:ilvl w:val="0"/>
          <w:numId w:val="1007"/>
        </w:numPr>
      </w:pPr>
      <w:r>
        <w:t xml:space="preserve">Save.</w:t>
      </w:r>
    </w:p>
    <w:bookmarkEnd w:id="21"/>
    <w:bookmarkStart w:id="22" w:name="example"/>
    <w:p>
      <w:pPr>
        <w:pStyle w:val="Heading3"/>
      </w:pPr>
      <w:r>
        <w:t xml:space="preserve">Example</w:t>
      </w:r>
    </w:p>
    <w:p>
      <w:pPr>
        <w:pStyle w:val="BlockText"/>
      </w:pPr>
      <w:r>
        <w:rPr>
          <w:b/>
          <w:bCs/>
        </w:rPr>
        <w:t xml:space="preserve">Finance ERP</w:t>
      </w:r>
      <w:r>
        <w:t xml:space="preserve"> </w:t>
      </w:r>
      <w:r>
        <w:t xml:space="preserve">has two cost bundles:</w:t>
      </w:r>
    </w:p>
    <w:p>
      <w:pPr>
        <w:pStyle w:val="Compact"/>
        <w:numPr>
          <w:ilvl w:val="0"/>
          <w:numId w:val="1008"/>
        </w:numPr>
      </w:pPr>
      <w:r>
        <w:t xml:space="preserve">“Vendor Support Agreement”</w:t>
      </w:r>
      <w:r>
        <w:t xml:space="preserve"> </w:t>
      </w:r>
      <w:r>
        <w:t xml:space="preserve">— $5,000/year</w:t>
      </w:r>
    </w:p>
    <w:p>
      <w:pPr>
        <w:pStyle w:val="Compact"/>
        <w:numPr>
          <w:ilvl w:val="0"/>
          <w:numId w:val="1008"/>
        </w:numPr>
      </w:pPr>
      <w:r>
        <w:t xml:space="preserve">“Annual Penetration Test”</w:t>
      </w:r>
      <w:r>
        <w:t xml:space="preserve"> </w:t>
      </w:r>
      <w:r>
        <w:t xml:space="preserve">— $3,000/year</w:t>
      </w:r>
    </w:p>
    <w:p>
      <w:pPr>
        <w:pStyle w:val="Compact"/>
        <w:numPr>
          <w:ilvl w:val="0"/>
          <w:numId w:val="1008"/>
        </w:numPr>
      </w:pPr>
      <w:r>
        <w:t xml:space="preserve">Total bundle cost:</w:t>
      </w:r>
      <w:r>
        <w:t xml:space="preserve"> </w:t>
      </w:r>
      <w:r>
        <w:rPr>
          <w:b/>
          <w:bCs/>
        </w:rPr>
        <w:t xml:space="preserve">$8,000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how-costs-roll-up"/>
    <w:p>
      <w:pPr>
        <w:pStyle w:val="Heading1"/>
      </w:pPr>
      <w:r>
        <w:t xml:space="preserve">3. How Costs Roll Up</w:t>
      </w:r>
    </w:p>
    <w:bookmarkStart w:id="25" w:name="deployment-profile-level"/>
    <w:p>
      <w:pPr>
        <w:pStyle w:val="Heading2"/>
      </w:pPr>
      <w:r>
        <w:t xml:space="preserve">3.1 Deployment Profile Level</w:t>
      </w:r>
    </w:p>
    <w:p>
      <w:pPr>
        <w:pStyle w:val="FirstParagraph"/>
      </w:pPr>
      <w:r>
        <w:t xml:space="preserve">The database view</w:t>
      </w:r>
      <w:r>
        <w:t xml:space="preserve"> </w:t>
      </w:r>
      <w:r>
        <w:rPr>
          <w:rStyle w:val="VerbatimChar"/>
        </w:rPr>
        <w:t xml:space="preserve">vw_deployment_profile_costs</w:t>
      </w:r>
      <w:r>
        <w:t xml:space="preserve"> </w:t>
      </w:r>
      <w:r>
        <w:t xml:space="preserve">calculates the total cost for each application-type DP by summing across both channels:</w:t>
      </w:r>
    </w:p>
    <w:p>
      <w:pPr>
        <w:pStyle w:val="SourceCode"/>
      </w:pPr>
      <w:r>
        <w:rPr>
          <w:rStyle w:val="VerbatimChar"/>
        </w:rPr>
        <w:t xml:space="preserve">DP Total = Service Cost + Bundle Cost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Service Cost  = SUM(fixed allocations) + SUM(percent allocations)</w:t>
      </w:r>
      <w:r>
        <w:br/>
      </w:r>
      <w:r>
        <w:rPr>
          <w:rStyle w:val="VerbatimChar"/>
        </w:rPr>
        <w:t xml:space="preserve">  Bundle Cost   = SUM(cost_bundle DPs where is_primary = true)</w:t>
      </w:r>
    </w:p>
    <w:p>
      <w:pPr>
        <w:pStyle w:val="FirstParagraph"/>
      </w:pPr>
      <w:r>
        <w:t xml:space="preserve">The view returns these columns for each DP: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deployment_profile_id</w:t>
            </w:r>
          </w:p>
        </w:tc>
        <w:tc>
          <w:tcPr/>
          <w:p>
            <w:pPr>
              <w:pStyle w:val="Compact"/>
            </w:pPr>
            <w:r>
              <w:t xml:space="preserve">Which 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application_id</w:t>
            </w:r>
          </w:p>
        </w:tc>
        <w:tc>
          <w:tcPr/>
          <w:p>
            <w:pPr>
              <w:pStyle w:val="Compact"/>
            </w:pPr>
            <w:r>
              <w:t xml:space="preserve">Which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service_cost</w:t>
            </w:r>
          </w:p>
        </w:tc>
        <w:tc>
          <w:tcPr/>
          <w:p>
            <w:pPr>
              <w:pStyle w:val="Compact"/>
            </w:pPr>
            <w:r>
              <w:t xml:space="preserve">Total from IT Service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bundle_cost</w:t>
            </w:r>
          </w:p>
        </w:tc>
        <w:tc>
          <w:tcPr/>
          <w:p>
            <w:pPr>
              <w:pStyle w:val="Compact"/>
            </w:pPr>
            <w:r>
              <w:t xml:space="preserve">Total from Cost Bundle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</w:t>
            </w:r>
          </w:p>
        </w:tc>
        <w:tc>
          <w:tcPr/>
          <w:p>
            <w:pPr>
              <w:pStyle w:val="Compact"/>
            </w:pPr>
            <w:r>
              <w:t xml:space="preserve">Sum of both channels</w:t>
            </w:r>
          </w:p>
        </w:tc>
      </w:tr>
    </w:tbl>
    <w:bookmarkEnd w:id="25"/>
    <w:bookmarkStart w:id="26" w:name="application-level"/>
    <w:p>
      <w:pPr>
        <w:pStyle w:val="Heading2"/>
      </w:pPr>
      <w:r>
        <w:t xml:space="preserve">3.2 Application Level</w:t>
      </w:r>
    </w:p>
    <w:p>
      <w:pPr>
        <w:pStyle w:val="FirstParagraph"/>
      </w:pPr>
      <w:r>
        <w:t xml:space="preserve">An application’s</w:t>
      </w:r>
      <w:r>
        <w:t xml:space="preserve"> </w:t>
      </w:r>
      <w:r>
        <w:rPr>
          <w:b/>
          <w:bCs/>
        </w:rPr>
        <w:t xml:space="preserve">total run rate</w:t>
      </w:r>
      <w:r>
        <w:t xml:space="preserve"> </w:t>
      </w:r>
      <w:r>
        <w:t xml:space="preserve">is the sum of</w:t>
      </w:r>
      <w:r>
        <w:t xml:space="preserve"> </w:t>
      </w:r>
      <w:r>
        <w:rPr>
          <w:rStyle w:val="VerbatimChar"/>
        </w:rPr>
        <w:t xml:space="preserve">total_cost</w:t>
      </w:r>
      <w:r>
        <w:t xml:space="preserve"> </w:t>
      </w:r>
      <w:r>
        <w:t xml:space="preserve">across all its application-type DPs:</w:t>
      </w:r>
    </w:p>
    <w:p>
      <w:pPr>
        <w:pStyle w:val="SourceCode"/>
      </w:pPr>
      <w:r>
        <w:rPr>
          <w:rStyle w:val="VerbatimChar"/>
        </w:rPr>
        <w:t xml:space="preserve">App Run Rate = SUM(DP.total_cost) for all DPs where dp_type = 'application'</w:t>
      </w:r>
    </w:p>
    <w:p>
      <w:pPr>
        <w:pStyle w:val="FirstParagraph"/>
      </w:pPr>
      <w:r>
        <w:t xml:space="preserve">The view</w:t>
      </w:r>
      <w:r>
        <w:t xml:space="preserve"> </w:t>
      </w:r>
      <w:r>
        <w:rPr>
          <w:rStyle w:val="VerbatimChar"/>
        </w:rPr>
        <w:t xml:space="preserve">vw_application_run_rate</w:t>
      </w:r>
      <w:r>
        <w:t xml:space="preserve"> </w:t>
      </w:r>
      <w:r>
        <w:t xml:space="preserve">provides this rollup.</w:t>
      </w:r>
    </w:p>
    <w:bookmarkEnd w:id="26"/>
    <w:bookmarkStart w:id="27" w:name="frontend-utility"/>
    <w:p>
      <w:pPr>
        <w:pStyle w:val="Heading2"/>
      </w:pPr>
      <w:r>
        <w:t xml:space="preserve">3.3 Frontend Utility</w:t>
      </w:r>
    </w:p>
    <w:p>
      <w:pPr>
        <w:pStyle w:val="FirstParagraph"/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getTotalAnnualCost()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src/lib/utils/costs.ts</w:t>
      </w:r>
      <w:r>
        <w:t xml:space="preserve"> </w:t>
      </w:r>
      <w:r>
        <w:t xml:space="preserve">is the single source of truth for displaying an application’s cost in the UI. It reads from</w:t>
      </w:r>
      <w:r>
        <w:t xml:space="preserve"> </w:t>
      </w:r>
      <w:r>
        <w:rPr>
          <w:rStyle w:val="VerbatimChar"/>
        </w:rPr>
        <w:t xml:space="preserve">vw_deployment_profile_costs</w:t>
      </w:r>
      <w:r>
        <w:t xml:space="preserve"> </w:t>
      </w:r>
      <w:r>
        <w:t xml:space="preserve">and sums across all DPs.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where-costs-appear-in-the-ui"/>
    <w:p>
      <w:pPr>
        <w:pStyle w:val="Heading1"/>
      </w:pPr>
      <w:r>
        <w:t xml:space="preserve">4. Where Costs Appear in the UI</w:t>
      </w:r>
    </w:p>
    <w:bookmarkStart w:id="29" w:name="application-detail-general-tab"/>
    <w:p>
      <w:pPr>
        <w:pStyle w:val="Heading2"/>
      </w:pPr>
      <w:r>
        <w:t xml:space="preserve">4.1 Application Detail — General Tab</w:t>
      </w:r>
    </w:p>
    <w:p>
      <w:pPr>
        <w:pStyle w:val="FirstParagraph"/>
      </w:pPr>
      <w:r>
        <w:rPr>
          <w:b/>
          <w:bCs/>
        </w:rPr>
        <w:t xml:space="preserve">CostSnapshotCard</w:t>
      </w:r>
      <w:r>
        <w:t xml:space="preserve"> </w:t>
      </w:r>
      <w:r>
        <w:t xml:space="preserve">shows a single</w:t>
      </w:r>
      <w:r>
        <w:t xml:space="preserve"> </w:t>
      </w:r>
      <w:r>
        <w:t xml:space="preserve">“Total Run Rate”</w:t>
      </w:r>
      <w:r>
        <w:t xml:space="preserve"> </w:t>
      </w:r>
      <w:r>
        <w:t xml:space="preserve">figure for the application with a dollar sign icon. If no costs are tracked, it displays</w:t>
      </w:r>
      <w:r>
        <w:t xml:space="preserve"> </w:t>
      </w:r>
      <w:r>
        <w:t xml:space="preserve">“No costs tracked.”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“View Cost Details”</w:t>
      </w:r>
      <w:r>
        <w:t xml:space="preserve"> </w:t>
      </w:r>
      <w:r>
        <w:t xml:space="preserve">link navigates to the full cost breakdown.</w:t>
      </w:r>
    </w:p>
    <w:bookmarkEnd w:id="29"/>
    <w:bookmarkStart w:id="30" w:name="application-detail-deployments-costs-tab"/>
    <w:p>
      <w:pPr>
        <w:pStyle w:val="Heading2"/>
      </w:pPr>
      <w:r>
        <w:t xml:space="preserve">4.2 Application Detail — Deployments &amp; Costs Tab</w:t>
      </w:r>
    </w:p>
    <w:p>
      <w:pPr>
        <w:pStyle w:val="FirstParagraph"/>
      </w:pPr>
      <w:r>
        <w:rPr>
          <w:b/>
          <w:bCs/>
        </w:rPr>
        <w:t xml:space="preserve">ApplicationCostSummary</w:t>
      </w:r>
      <w:r>
        <w:t xml:space="preserve"> </w:t>
      </w:r>
      <w:r>
        <w:t xml:space="preserve">shows an expandable breakdown of costs by channel: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 Products</w:t>
      </w:r>
      <w:r>
        <w:t xml:space="preserve"> </w:t>
      </w:r>
      <w:r>
        <w:t xml:space="preserve">— inventory of what software is deployed (expandable, shows ↳ detail rows)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 Services</w:t>
      </w:r>
      <w:r>
        <w:t xml:space="preserve"> </w:t>
      </w:r>
      <w:r>
        <w:t xml:space="preserve">— each allocated service with its calculated cost and allocation type (e.g.,</w:t>
      </w:r>
      <w:r>
        <w:t xml:space="preserve"> </w:t>
      </w:r>
      <w:r>
        <w:t xml:space="preserve">“↳ Database Hosting (35%)”</w:t>
      </w:r>
      <w:r>
        <w:t xml:space="preserve"> </w:t>
      </w:r>
      <w:r>
        <w:t xml:space="preserve">— $5,250)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Recurring Costs</w:t>
      </w:r>
      <w:r>
        <w:t xml:space="preserve"> </w:t>
      </w:r>
      <w:r>
        <w:t xml:space="preserve">— each cost bundle with its amount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Run Rate</w:t>
      </w:r>
      <w:r>
        <w:t xml:space="preserve"> </w:t>
      </w:r>
      <w:r>
        <w:t xml:space="preserve">— the sum of IT Service + Cost Bundle costs, displayed in bold at the bottom</w:t>
      </w:r>
    </w:p>
    <w:p>
      <w:pPr>
        <w:pStyle w:val="FirstParagraph"/>
      </w:pPr>
      <w:r>
        <w:t xml:space="preserve">If the application has multiple DPs, each cost line includes the DP name for context (e.g.,</w:t>
      </w:r>
      <w:r>
        <w:t xml:space="preserve"> </w:t>
      </w:r>
      <w:r>
        <w:t xml:space="preserve">“Database Hosting (PROD-AWS)”</w:t>
      </w:r>
      <w:r>
        <w:t xml:space="preserve">).</w:t>
      </w:r>
    </w:p>
    <w:bookmarkEnd w:id="30"/>
    <w:bookmarkStart w:id="31" w:name="application-detail-services-used"/>
    <w:p>
      <w:pPr>
        <w:pStyle w:val="Heading2"/>
      </w:pPr>
      <w:r>
        <w:t xml:space="preserve">4.3 Application Detail — Services Used</w:t>
      </w:r>
    </w:p>
    <w:p>
      <w:pPr>
        <w:pStyle w:val="FirstParagraph"/>
      </w:pPr>
      <w:r>
        <w:rPr>
          <w:b/>
          <w:bCs/>
        </w:rPr>
        <w:t xml:space="preserve">ITServiceDependencyList</w:t>
      </w:r>
      <w:r>
        <w:t xml:space="preserve"> </w:t>
      </w:r>
      <w:r>
        <w:t xml:space="preserve">shows the IT Services linked to each Deployment Profile in a table with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The IT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Service type badge (e.g.,</w:t>
            </w:r>
            <w:r>
              <w:t xml:space="preserve"> </w:t>
            </w:r>
            <w:r>
              <w:t xml:space="preserve">“Email”</w:t>
            </w:r>
            <w:r>
              <w:t xml:space="preserve">,</w:t>
            </w:r>
            <w:r>
              <w:t xml:space="preserve"> </w:t>
            </w:r>
            <w:r>
              <w:t xml:space="preserve">“Hosting”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Linked technology products and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“Built On”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“Depends On”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Cost allocation with Quick Calculator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Free-text notes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Allocation</w:t>
      </w:r>
      <w:r>
        <w:t xml:space="preserve"> </w:t>
      </w:r>
      <w:r>
        <w:t xml:space="preserve">column is interactive — click</w:t>
      </w:r>
      <w:r>
        <w:t xml:space="preserve"> </w:t>
      </w:r>
      <w:r>
        <w:t xml:space="preserve">“Set”</w:t>
      </w:r>
      <w:r>
        <w:t xml:space="preserve"> </w:t>
      </w:r>
      <w:r>
        <w:t xml:space="preserve">to open the Quick Calculator, or click the calculator icon to edit an existing allocation.</w:t>
      </w:r>
    </w:p>
    <w:bookmarkEnd w:id="31"/>
    <w:bookmarkStart w:id="32" w:name="dashboard-cost-analysis"/>
    <w:p>
      <w:pPr>
        <w:pStyle w:val="Heading2"/>
      </w:pPr>
      <w:r>
        <w:t xml:space="preserve">4.4 Dashboard — Cost Analysis</w:t>
      </w:r>
    </w:p>
    <w:p>
      <w:pPr>
        <w:pStyle w:val="FirstParagraph"/>
      </w:pPr>
      <w:r>
        <w:rPr>
          <w:b/>
          <w:bCs/>
        </w:rPr>
        <w:t xml:space="preserve">CostAnalysisPanel</w:t>
      </w:r>
      <w:r>
        <w:t xml:space="preserve"> </w:t>
      </w:r>
      <w:r>
        <w:t xml:space="preserve">provides portfolio-level cost analysis:</w:t>
      </w:r>
    </w:p>
    <w:p>
      <w:pPr>
        <w:pStyle w:val="Compact"/>
        <w:numPr>
          <w:ilvl w:val="0"/>
          <w:numId w:val="1010"/>
        </w:numPr>
      </w:pPr>
      <w:r>
        <w:t xml:space="preserve">Portfolio total run rate</w:t>
      </w:r>
    </w:p>
    <w:p>
      <w:pPr>
        <w:pStyle w:val="Compact"/>
        <w:numPr>
          <w:ilvl w:val="0"/>
          <w:numId w:val="1010"/>
        </w:numPr>
      </w:pPr>
      <w:r>
        <w:t xml:space="preserve">Top 5 most expensive applications</w:t>
      </w:r>
    </w:p>
    <w:p>
      <w:pPr>
        <w:pStyle w:val="Compact"/>
        <w:numPr>
          <w:ilvl w:val="0"/>
          <w:numId w:val="1010"/>
        </w:numPr>
      </w:pPr>
      <w:r>
        <w:t xml:space="preserve">Breakdown by vendor (who are we paying the most?)</w:t>
      </w:r>
    </w:p>
    <w:p>
      <w:pPr>
        <w:pStyle w:val="Compact"/>
        <w:numPr>
          <w:ilvl w:val="0"/>
          <w:numId w:val="1010"/>
        </w:numPr>
      </w:pPr>
      <w:r>
        <w:t xml:space="preserve">Breakdown by application (expandable to show per-DP costs)</w:t>
      </w:r>
    </w:p>
    <w:bookmarkEnd w:id="32"/>
    <w:bookmarkStart w:id="33" w:name="dashboard-contract-expiry"/>
    <w:p>
      <w:pPr>
        <w:pStyle w:val="Heading2"/>
      </w:pPr>
      <w:r>
        <w:t xml:space="preserve">4.5 Dashboard — Contract Expiry</w:t>
      </w:r>
    </w:p>
    <w:p>
      <w:pPr>
        <w:pStyle w:val="FirstParagraph"/>
      </w:pPr>
      <w:r>
        <w:rPr>
          <w:b/>
          <w:bCs/>
        </w:rPr>
        <w:t xml:space="preserve">ContractExpiryWidget</w:t>
      </w:r>
      <w:r>
        <w:t xml:space="preserve"> </w:t>
      </w:r>
      <w:r>
        <w:t xml:space="preserve">surfaces IT Service contracts approaching expiry. It displays: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filter chips</w:t>
      </w:r>
      <w:r>
        <w:t xml:space="preserve"> </w:t>
      </w:r>
      <w:r>
        <w:t xml:space="preserve">across the top: All, Expired (red), Renewal Due (orange), Expiring Soon (yellow), Active (green), No Contract (gray) — each showing a count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Table</w:t>
      </w:r>
      <w:r>
        <w:t xml:space="preserve"> </w:t>
      </w:r>
      <w:r>
        <w:t xml:space="preserve">with columns: Service name, Vendor, Annual Cost, End Date, Days Left, Status badge</w:t>
      </w:r>
    </w:p>
    <w:p>
      <w:pPr>
        <w:pStyle w:val="Compact"/>
        <w:numPr>
          <w:ilvl w:val="0"/>
          <w:numId w:val="1011"/>
        </w:numPr>
      </w:pPr>
      <w:r>
        <w:t xml:space="preserve">Overdue contracts show days in red (e.g.,</w:t>
      </w:r>
      <w:r>
        <w:t xml:space="preserve"> </w:t>
      </w:r>
      <w:r>
        <w:t xml:space="preserve">“45d overdue”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Paginated with configurable page size</w:t>
      </w:r>
    </w:p>
    <w:bookmarkEnd w:id="33"/>
    <w:bookmarkStart w:id="34" w:name="it-service-detail"/>
    <w:p>
      <w:pPr>
        <w:pStyle w:val="Heading2"/>
      </w:pPr>
      <w:r>
        <w:t xml:space="preserve">4.6 IT Service Detail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IT Service modal</w:t>
      </w:r>
      <w:r>
        <w:t xml:space="preserve"> </w:t>
      </w:r>
      <w:r>
        <w:t xml:space="preserve">(Settings &gt; IT Services, or inline edit) includes: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Basic info:</w:t>
      </w:r>
      <w:r>
        <w:t xml:space="preserve"> </w:t>
      </w:r>
      <w:r>
        <w:t xml:space="preserve">Name, description, service type, lifecycle state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Annual cost (cost pool) and cost model (Fixed, Per User, Per Instance, etc.)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 Details</w:t>
      </w:r>
      <w:r>
        <w:t xml:space="preserve"> </w:t>
      </w:r>
      <w:r>
        <w:t xml:space="preserve">(collapsible section): Contract Reference, Start Date, End Date, Renewal Notice Period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Infrastructure Providers:</w:t>
      </w:r>
      <w:r>
        <w:t xml:space="preserve"> </w:t>
      </w:r>
      <w:r>
        <w:t xml:space="preserve">Linked infrastructure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Software Products Provided:</w:t>
      </w:r>
      <w:r>
        <w:t xml:space="preserve"> </w:t>
      </w:r>
      <w:r>
        <w:t xml:space="preserve">List of Software Products this service covers, with a</w:t>
      </w:r>
      <w:r>
        <w:t xml:space="preserve"> </w:t>
      </w:r>
      <w:r>
        <w:rPr>
          <w:b/>
          <w:bCs/>
        </w:rPr>
        <w:t xml:space="preserve">“+ Link Product”</w:t>
      </w:r>
      <w:r>
        <w:t xml:space="preserve"> </w:t>
      </w:r>
      <w:r>
        <w:t xml:space="preserve">button to add more. Each linked product shows name, version, and license type.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Shared Service toggle:</w:t>
      </w:r>
      <w:r>
        <w:t xml:space="preserve"> </w:t>
      </w:r>
      <w:r>
        <w:t xml:space="preserve">Makes the service available to other workspaces</w:t>
      </w:r>
    </w:p>
    <w:bookmarkEnd w:id="34"/>
    <w:bookmarkStart w:id="35" w:name="budget-settings"/>
    <w:p>
      <w:pPr>
        <w:pStyle w:val="Heading2"/>
      </w:pPr>
      <w:r>
        <w:t xml:space="preserve">4.7 Budget Settings</w:t>
      </w:r>
    </w:p>
    <w:p>
      <w:pPr>
        <w:pStyle w:val="FirstParagraph"/>
      </w:pPr>
      <w:r>
        <w:rPr>
          <w:b/>
          <w:bCs/>
        </w:rPr>
        <w:t xml:space="preserve">BudgetSettings</w:t>
      </w:r>
      <w:r>
        <w:t xml:space="preserve"> </w:t>
      </w:r>
      <w:r>
        <w:t xml:space="preserve">(Settings &gt; Budget) compares actual run rate against budgets:</w:t>
      </w:r>
    </w:p>
    <w:p>
      <w:pPr>
        <w:pStyle w:val="Compact"/>
        <w:numPr>
          <w:ilvl w:val="0"/>
          <w:numId w:val="1013"/>
        </w:numPr>
      </w:pPr>
      <w:r>
        <w:t xml:space="preserve">Workspace-level budget from</w:t>
      </w:r>
      <w:r>
        <w:t xml:space="preserve"> </w:t>
      </w:r>
      <w:r>
        <w:rPr>
          <w:rStyle w:val="VerbatimChar"/>
        </w:rPr>
        <w:t xml:space="preserve">workspace_budgets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3"/>
        </w:numPr>
      </w:pPr>
      <w:r>
        <w:t xml:space="preserve">Per-application budget status (healthy / tight / over_10 / over_critical)</w:t>
      </w:r>
    </w:p>
    <w:p>
      <w:pPr>
        <w:pStyle w:val="Compact"/>
        <w:numPr>
          <w:ilvl w:val="0"/>
          <w:numId w:val="1013"/>
        </w:numPr>
      </w:pPr>
      <w:r>
        <w:t xml:space="preserve">Per-IT-service budget status</w:t>
      </w:r>
    </w:p>
    <w:p>
      <w:pPr>
        <w:pStyle w:val="Compact"/>
        <w:numPr>
          <w:ilvl w:val="0"/>
          <w:numId w:val="1013"/>
        </w:numPr>
      </w:pPr>
      <w:r>
        <w:t xml:space="preserve">Budget health alerts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st-maturity-levels"/>
    <w:p>
      <w:pPr>
        <w:pStyle w:val="Heading1"/>
      </w:pPr>
      <w:r>
        <w:t xml:space="preserve">5. Cost Maturity Levels</w:t>
      </w:r>
    </w:p>
    <w:p>
      <w:pPr>
        <w:pStyle w:val="FirstParagraph"/>
      </w:pPr>
      <w:r>
        <w:t xml:space="preserve">Organizations don’t need to track every dollar from day one. GetInSync supports a crawl-walk-run approach: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731"/>
        <w:gridCol w:w="1340"/>
        <w:gridCol w:w="1949"/>
        <w:gridCol w:w="14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Focus on TIME/PAID assessment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Cost Bundle</w:t>
            </w:r>
          </w:p>
        </w:tc>
        <w:tc>
          <w:tcPr/>
          <w:p>
            <w:pPr>
              <w:pStyle w:val="Compact"/>
            </w:pPr>
            <w:r>
              <w:t xml:space="preserve">Cost Bundle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Quick start, rough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Categorized</w:t>
            </w:r>
          </w:p>
        </w:tc>
        <w:tc>
          <w:tcPr/>
          <w:p>
            <w:pPr>
              <w:pStyle w:val="Compact"/>
            </w:pPr>
            <w:r>
              <w:t xml:space="preserve">IT Service</w:t>
            </w:r>
          </w:p>
        </w:tc>
        <w:tc>
          <w:tcPr/>
          <w:p>
            <w:pPr>
              <w:pStyle w:val="Compact"/>
            </w:pPr>
            <w:r>
              <w:t xml:space="preserve">Cost Bundle</w:t>
            </w:r>
          </w:p>
        </w:tc>
        <w:tc>
          <w:tcPr/>
          <w:p>
            <w:pPr>
              <w:pStyle w:val="Compact"/>
            </w:pPr>
            <w:r>
              <w:t xml:space="preserve">By %</w:t>
            </w:r>
          </w:p>
        </w:tc>
        <w:tc>
          <w:tcPr/>
          <w:p>
            <w:pPr>
              <w:pStyle w:val="Compact"/>
            </w:pPr>
            <w:r>
              <w:t xml:space="preserve">Know licensing, estimate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Attributed</w:t>
            </w:r>
          </w:p>
        </w:tc>
        <w:tc>
          <w:tcPr/>
          <w:p>
            <w:pPr>
              <w:pStyle w:val="Compact"/>
            </w:pPr>
            <w:r>
              <w:t xml:space="preserve">IT Service</w:t>
            </w:r>
          </w:p>
        </w:tc>
        <w:tc>
          <w:tcPr/>
          <w:p>
            <w:pPr>
              <w:pStyle w:val="Compact"/>
            </w:pPr>
            <w:r>
              <w:t xml:space="preserve">IT Service</w:t>
            </w:r>
          </w:p>
        </w:tc>
        <w:tc>
          <w:tcPr/>
          <w:p>
            <w:pPr>
              <w:pStyle w:val="Compact"/>
            </w:pPr>
            <w:r>
              <w:t xml:space="preserve">By %</w:t>
            </w:r>
          </w:p>
        </w:tc>
        <w:tc>
          <w:tcPr/>
          <w:p>
            <w:pPr>
              <w:pStyle w:val="Compact"/>
            </w:pPr>
            <w:r>
              <w:t xml:space="preserve">Full traceability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Allocated</w:t>
            </w:r>
          </w:p>
        </w:tc>
        <w:tc>
          <w:tcPr/>
          <w:p>
            <w:pPr>
              <w:pStyle w:val="Compact"/>
            </w:pPr>
            <w:r>
              <w:t xml:space="preserve">IT Service + Stranded</w:t>
            </w:r>
          </w:p>
        </w:tc>
        <w:tc>
          <w:tcPr/>
          <w:p>
            <w:pPr>
              <w:pStyle w:val="Compact"/>
            </w:pPr>
            <w:r>
              <w:t xml:space="preserve">IT Service + Stranded</w:t>
            </w:r>
          </w:p>
        </w:tc>
        <w:tc>
          <w:tcPr/>
          <w:p>
            <w:pPr>
              <w:pStyle w:val="Compact"/>
            </w:pPr>
            <w:r>
              <w:t xml:space="preserve">By % with basis</w:t>
            </w:r>
          </w:p>
        </w:tc>
        <w:tc>
          <w:tcPr/>
          <w:p>
            <w:pPr>
              <w:pStyle w:val="Compact"/>
            </w:pPr>
            <w:r>
              <w:t xml:space="preserve">Chargeback-ready</w:t>
            </w:r>
          </w:p>
        </w:tc>
      </w:tr>
    </w:tbl>
    <w:bookmarkStart w:id="37" w:name="level-1-example-quick-start"/>
    <w:p>
      <w:pPr>
        <w:pStyle w:val="Heading3"/>
      </w:pPr>
      <w:r>
        <w:t xml:space="preserve">Level 1 Example (Quick Start)</w:t>
      </w:r>
    </w:p>
    <w:p>
      <w:pPr>
        <w:pStyle w:val="FirstParagraph"/>
      </w:pPr>
      <w:r>
        <w:t xml:space="preserve">Don’t know the breakdown? Create a single Cost Bundle:</w:t>
      </w:r>
    </w:p>
    <w:p>
      <w:pPr>
        <w:pStyle w:val="BlockText"/>
      </w:pPr>
      <w:r>
        <w:t xml:space="preserve">“Finance ERP — Estimated Costs”</w:t>
      </w:r>
      <w:r>
        <w:t xml:space="preserve"> </w:t>
      </w:r>
      <w:r>
        <w:t xml:space="preserve">— $50,000/year</w:t>
      </w:r>
    </w:p>
    <w:p>
      <w:pPr>
        <w:pStyle w:val="BlockText"/>
      </w:pPr>
      <w:r>
        <w:t xml:space="preserve">Notes:</w:t>
      </w:r>
      <w:r>
        <w:t xml:space="preserve"> </w:t>
      </w:r>
      <w:r>
        <w:t xml:space="preserve">“Includes licensing, hosting, and support. To be broken out later.”</w:t>
      </w:r>
    </w:p>
    <w:p>
      <w:pPr>
        <w:pStyle w:val="FirstParagraph"/>
      </w:pPr>
      <w:r>
        <w:t xml:space="preserve">This is better than nothing. You get a cost figure in the system immediately, and you can refine it later by replacing the bundle with IT Service entries.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ta-flow-diagram"/>
    <w:p>
      <w:pPr>
        <w:pStyle w:val="Heading1"/>
      </w:pPr>
      <w:r>
        <w:t xml:space="preserve">6. Data Flow Diagram</w:t>
      </w:r>
    </w:p>
    <w:p>
      <w:pPr>
        <w:pStyle w:val="SourceCode"/>
      </w:pPr>
      <w:r>
        <w:rPr>
          <w:rStyle w:val="VerbatimChar"/>
        </w:rPr>
        <w:t xml:space="preserve">USER ENTRY</w:t>
      </w:r>
      <w:r>
        <w:br/>
      </w:r>
      <w:r>
        <w:rPr>
          <w:rStyle w:val="VerbatimChar"/>
        </w:rPr>
        <w:t xml:space="preserve">==========</w:t>
      </w:r>
      <w:r>
        <w:br/>
      </w:r>
      <w:r>
        <w:rPr>
          <w:rStyle w:val="VerbatimChar"/>
        </w:rPr>
        <w:t xml:space="preserve">                                                    DATABASE TABLES</w:t>
      </w:r>
      <w:r>
        <w:br/>
      </w:r>
      <w:r>
        <w:rPr>
          <w:rStyle w:val="VerbatimChar"/>
        </w:rPr>
        <w:t xml:space="preserve">                                                    ===============</w:t>
      </w:r>
      <w:r>
        <w:br/>
      </w:r>
      <w:r>
        <w:rPr>
          <w:rStyle w:val="VerbatimChar"/>
        </w:rPr>
        <w:t xml:space="preserve">  Create IT Service  ──────────────────────►  it_services</w:t>
      </w:r>
      <w:r>
        <w:br/>
      </w:r>
      <w:r>
        <w:rPr>
          <w:rStyle w:val="VerbatimChar"/>
        </w:rPr>
        <w:t xml:space="preserve">  (cost pool, vendor, contract)                 ├─ annual_cost (pool)</w:t>
      </w:r>
      <w:r>
        <w:br/>
      </w:r>
      <w:r>
        <w:rPr>
          <w:rStyle w:val="VerbatimChar"/>
        </w:rPr>
        <w:t xml:space="preserve">                                                ├─ vendor_org_id</w:t>
      </w:r>
      <w:r>
        <w:br/>
      </w:r>
      <w:r>
        <w:rPr>
          <w:rStyle w:val="VerbatimChar"/>
        </w:rPr>
        <w:t xml:space="preserve">                                                ├─ contract_reference</w:t>
      </w:r>
      <w:r>
        <w:br/>
      </w:r>
      <w:r>
        <w:rPr>
          <w:rStyle w:val="VerbatimChar"/>
        </w:rPr>
        <w:t xml:space="preserve">                                                └─ contract_start/end_date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Link Software Products ──────────────────►  it_service_software_products</w:t>
      </w:r>
      <w:r>
        <w:br/>
      </w:r>
      <w:r>
        <w:rPr>
          <w:rStyle w:val="VerbatimChar"/>
        </w:rPr>
        <w:t xml:space="preserve">  to IT Service (inventory)                     └─ which software this service covers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Allocate IT Service to DP  ──────────────►  deployment_profile_it_services</w:t>
      </w:r>
      <w:r>
        <w:br/>
      </w:r>
      <w:r>
        <w:rPr>
          <w:rStyle w:val="VerbatimChar"/>
        </w:rPr>
        <w:t xml:space="preserve">  (fixed $ or % of pool)                        ├─ allocation_value</w:t>
      </w:r>
      <w:r>
        <w:br/>
      </w:r>
      <w:r>
        <w:rPr>
          <w:rStyle w:val="VerbatimChar"/>
        </w:rPr>
        <w:t xml:space="preserve">                                                └─ allocation_basis (fixed/percent)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Link Software Product to DP  ────────────►  deployment_profile_software_products</w:t>
      </w:r>
      <w:r>
        <w:br/>
      </w:r>
      <w:r>
        <w:rPr>
          <w:rStyle w:val="VerbatimChar"/>
        </w:rPr>
        <w:t xml:space="preserve">  (inventory only — no cost)                    ├─ deployed_version</w:t>
      </w:r>
      <w:r>
        <w:br/>
      </w:r>
      <w:r>
        <w:rPr>
          <w:rStyle w:val="VerbatimChar"/>
        </w:rPr>
        <w:t xml:space="preserve">                                                └─ quantity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Add Recurring Cost  ──────────────────────►  deployment_profiles</w:t>
      </w:r>
      <w:r>
        <w:br/>
      </w:r>
      <w:r>
        <w:rPr>
          <w:rStyle w:val="VerbatimChar"/>
        </w:rPr>
        <w:t xml:space="preserve">  (cost bundle)                                  ├─ dp_type = 'cost_bundle'</w:t>
      </w:r>
      <w:r>
        <w:br/>
      </w:r>
      <w:r>
        <w:rPr>
          <w:rStyle w:val="VerbatimChar"/>
        </w:rPr>
        <w:t xml:space="preserve">                                                 ├─ annual_cost</w:t>
      </w:r>
      <w:r>
        <w:br/>
      </w:r>
      <w:r>
        <w:rPr>
          <w:rStyle w:val="VerbatimChar"/>
        </w:rPr>
        <w:t xml:space="preserve">                                                 └─ cost_recurrence = 'recurring'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CALCULATION</w:t>
      </w:r>
      <w:r>
        <w:br/>
      </w:r>
      <w:r>
        <w:rPr>
          <w:rStyle w:val="VerbatimChar"/>
        </w:rPr>
        <w:t xml:space="preserve">                                                   ===========</w:t>
      </w:r>
      <w:r>
        <w:br/>
      </w:r>
      <w:r>
        <w:rPr>
          <w:rStyle w:val="VerbatimChar"/>
        </w:rPr>
        <w:t xml:space="preserve">                                              vw_deployment_profile_costs</w:t>
      </w:r>
      <w:r>
        <w:br/>
      </w:r>
      <w:r>
        <w:rPr>
          <w:rStyle w:val="VerbatimChar"/>
        </w:rPr>
        <w:t xml:space="preserve">                                                ├─ service_cost</w:t>
      </w:r>
      <w:r>
        <w:br/>
      </w:r>
      <w:r>
        <w:rPr>
          <w:rStyle w:val="VerbatimChar"/>
        </w:rPr>
        <w:t xml:space="preserve">                                                ├─ bundle_cost</w:t>
      </w:r>
      <w:r>
        <w:br/>
      </w:r>
      <w:r>
        <w:rPr>
          <w:rStyle w:val="VerbatimChar"/>
        </w:rPr>
        <w:t xml:space="preserve">                                                └─ total_cost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DISPLAY</w:t>
      </w:r>
      <w:r>
        <w:br/>
      </w:r>
      <w:r>
        <w:rPr>
          <w:rStyle w:val="VerbatimChar"/>
        </w:rPr>
        <w:t xml:space="preserve">                                                      =======</w:t>
      </w:r>
      <w:r>
        <w:br/>
      </w:r>
      <w:r>
        <w:rPr>
          <w:rStyle w:val="VerbatimChar"/>
        </w:rPr>
        <w:t xml:space="preserve">            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│                                        │</w:t>
      </w:r>
      <w:r>
        <w:br/>
      </w:r>
      <w:r>
        <w:rPr>
          <w:rStyle w:val="VerbatimChar"/>
        </w:rPr>
        <w:t xml:space="preserve">                          CostSnapshotCard              ApplicationCostSummary</w:t>
      </w:r>
      <w:r>
        <w:br/>
      </w:r>
      <w:r>
        <w:rPr>
          <w:rStyle w:val="VerbatimChar"/>
        </w:rPr>
        <w:t xml:space="preserve">                          (General tab)                 (Deployments &amp; Costs)</w:t>
      </w:r>
      <w:r>
        <w:br/>
      </w:r>
      <w:r>
        <w:rPr>
          <w:rStyle w:val="VerbatimChar"/>
        </w:rPr>
        <w:t xml:space="preserve">                          "Total Run Rate"              Channel-by-channel tree</w:t>
      </w:r>
      <w:r>
        <w:br/>
      </w:r>
      <w:r>
        <w:rPr>
          <w:rStyle w:val="VerbatimChar"/>
        </w:rPr>
        <w:t xml:space="preserve">                                  │                                        │</w:t>
      </w:r>
      <w:r>
        <w:br/>
      </w:r>
      <w:r>
        <w:rPr>
          <w:rStyle w:val="VerbatimChar"/>
        </w:rPr>
        <w:t xml:space="preserve">                                  ▼                                        ▼</w:t>
      </w:r>
      <w:r>
        <w:br/>
      </w:r>
      <w:r>
        <w:rPr>
          <w:rStyle w:val="VerbatimChar"/>
        </w:rPr>
        <w:t xml:space="preserve">                          CostAnalysisPanel              BudgetSettings</w:t>
      </w:r>
      <w:r>
        <w:br/>
      </w:r>
      <w:r>
        <w:rPr>
          <w:rStyle w:val="VerbatimChar"/>
        </w:rPr>
        <w:t xml:space="preserve">                          (Dashboard)                    (Settings)</w:t>
      </w:r>
      <w:r>
        <w:br/>
      </w:r>
      <w:r>
        <w:rPr>
          <w:rStyle w:val="VerbatimChar"/>
        </w:rPr>
        <w:t xml:space="preserve">                          Portfolio breakdown             Budget vs run rate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ContractExpiryWidget</w:t>
      </w:r>
      <w:r>
        <w:br/>
      </w:r>
      <w:r>
        <w:rPr>
          <w:rStyle w:val="VerbatimChar"/>
        </w:rPr>
        <w:t xml:space="preserve">                          (Dashboard)</w:t>
      </w:r>
      <w:r>
        <w:br/>
      </w:r>
      <w:r>
        <w:rPr>
          <w:rStyle w:val="VerbatimChar"/>
        </w:rPr>
        <w:t xml:space="preserve">                          Contract lifecycle alerts</w:t>
      </w:r>
    </w:p>
    <w:p>
      <w:r>
        <w:pict>
          <v:rect style="width:0;height:1.5pt" o:hralign="center" o:hrstd="t" o:hr="t"/>
        </w:pict>
      </w:r>
    </w:p>
    <w:bookmarkEnd w:id="39"/>
    <w:bookmarkStart w:id="44" w:name="quick-reference"/>
    <w:p>
      <w:pPr>
        <w:pStyle w:val="Heading1"/>
      </w:pPr>
      <w:r>
        <w:t xml:space="preserve">7. Quick Reference</w:t>
      </w:r>
    </w:p>
    <w:bookmarkStart w:id="40" w:name="key-tables"/>
    <w:p>
      <w:pPr>
        <w:pStyle w:val="Heading2"/>
      </w:pPr>
      <w:r>
        <w:t xml:space="preserve">Key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software_products</w:t>
            </w:r>
          </w:p>
        </w:tc>
        <w:tc>
          <w:tcPr/>
          <w:p>
            <w:pPr>
              <w:pStyle w:val="Compact"/>
            </w:pPr>
            <w:r>
              <w:t xml:space="preserve">Software product catalog (name, manufacturer — inventory only, no cost)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it_services</w:t>
            </w:r>
          </w:p>
        </w:tc>
        <w:tc>
          <w:tcPr/>
          <w:p>
            <w:pPr>
              <w:pStyle w:val="Compact"/>
            </w:pPr>
            <w:r>
              <w:t xml:space="preserve">IT service catalog (name, annual_cost = total pool, vendor, contract 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it_service_software_products</w:t>
            </w:r>
          </w:p>
        </w:tc>
        <w:tc>
          <w:tcPr/>
          <w:p>
            <w:pPr>
              <w:pStyle w:val="Compact"/>
            </w:pPr>
            <w:r>
              <w:t xml:space="preserve">Links IT services to the software products they provide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deployment_profiles</w:t>
            </w:r>
          </w:p>
        </w:tc>
        <w:tc>
          <w:tcPr/>
          <w:p>
            <w:pPr>
              <w:pStyle w:val="Compact"/>
            </w:pPr>
            <w:r>
              <w:t xml:space="preserve">Deployment instances; also stores cost bundles (</w:t>
            </w:r>
            <w:r>
              <w:rPr>
                <w:rStyle w:val="VerbatimChar"/>
              </w:rPr>
              <w:t xml:space="preserve">dp_type = 'cost_bundle'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deployment_profile_software_products</w:t>
            </w:r>
          </w:p>
        </w:tc>
        <w:tc>
          <w:tcPr/>
          <w:p>
            <w:pPr>
              <w:pStyle w:val="Compact"/>
            </w:pPr>
            <w:r>
              <w:t xml:space="preserve">Links software products to DPs (inventory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deployment_profile_it_services</w:t>
            </w:r>
          </w:p>
        </w:tc>
        <w:tc>
          <w:tcPr/>
          <w:p>
            <w:pPr>
              <w:pStyle w:val="Compact"/>
            </w:pPr>
            <w:r>
              <w:t xml:space="preserve">Links IT services to DPs with allocation (fixed or percent)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workspace_budgets</w:t>
            </w:r>
          </w:p>
        </w:tc>
        <w:tc>
          <w:tcPr/>
          <w:p>
            <w:pPr>
              <w:pStyle w:val="Compact"/>
            </w:pPr>
            <w:r>
              <w:t xml:space="preserve">Multi-year workspace budget tracking</w:t>
            </w:r>
          </w:p>
        </w:tc>
      </w:tr>
    </w:tbl>
    <w:bookmarkEnd w:id="40"/>
    <w:bookmarkStart w:id="41" w:name="key-views"/>
    <w:p>
      <w:pPr>
        <w:pStyle w:val="Heading2"/>
      </w:pPr>
      <w:r>
        <w:t xml:space="preserve">Key 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vw_deployment_profile_costs</w:t>
            </w:r>
          </w:p>
        </w:tc>
        <w:tc>
          <w:tcPr/>
          <w:p>
            <w:pPr>
              <w:pStyle w:val="Compact"/>
            </w:pPr>
            <w:r>
              <w:t xml:space="preserve">Two-channel cost rollup per DP (service + bundle)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vw_application_run_rate</w:t>
            </w:r>
          </w:p>
        </w:tc>
        <w:tc>
          <w:tcPr/>
          <w:p>
            <w:pPr>
              <w:pStyle w:val="Compact"/>
            </w:pPr>
            <w:r>
              <w:t xml:space="preserve">Total run rate per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vw_run_rate_by_vendor</w:t>
            </w:r>
          </w:p>
        </w:tc>
        <w:tc>
          <w:tcPr/>
          <w:p>
            <w:pPr>
              <w:pStyle w:val="Compact"/>
            </w:pPr>
            <w:r>
              <w:t xml:space="preserve">Cost by vendor across IT Services + Cost Bundles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vw_budget_status</w:t>
            </w:r>
          </w:p>
        </w:tc>
        <w:tc>
          <w:tcPr/>
          <w:p>
            <w:pPr>
              <w:pStyle w:val="Compact"/>
            </w:pPr>
            <w:r>
              <w:t xml:space="preserve">Per-application budget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vw_it_service_budget_status</w:t>
            </w:r>
          </w:p>
        </w:tc>
        <w:tc>
          <w:tcPr/>
          <w:p>
            <w:pPr>
              <w:pStyle w:val="Compact"/>
            </w:pPr>
            <w:r>
              <w:t xml:space="preserve">Per-service budget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vw_workspace_budget_summary</w:t>
            </w:r>
          </w:p>
        </w:tc>
        <w:tc>
          <w:tcPr/>
          <w:p>
            <w:pPr>
              <w:pStyle w:val="Compact"/>
            </w:pPr>
            <w:r>
              <w:t xml:space="preserve">Workspace-level budget rollup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vw_it_service_contract_expiry</w:t>
            </w:r>
          </w:p>
        </w:tc>
        <w:tc>
          <w:tcPr/>
          <w:p>
            <w:pPr>
              <w:pStyle w:val="Compact"/>
            </w:pPr>
            <w:r>
              <w:t xml:space="preserve">IT Service contract lifecycle tracking</w:t>
            </w:r>
          </w:p>
        </w:tc>
      </w:tr>
    </w:tbl>
    <w:bookmarkEnd w:id="41"/>
    <w:bookmarkStart w:id="42" w:name="key-frontend-components"/>
    <w:p>
      <w:pPr>
        <w:pStyle w:val="Heading2"/>
      </w:pPr>
      <w:r>
        <w:t xml:space="preserve">Key Frontend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CostSnapshotCard</w:t>
            </w:r>
          </w:p>
        </w:tc>
        <w:tc>
          <w:tcPr/>
          <w:p>
            <w:pPr>
              <w:pStyle w:val="Compact"/>
            </w:pPr>
            <w:r>
              <w:t xml:space="preserve">General tab</w:t>
            </w:r>
          </w:p>
        </w:tc>
        <w:tc>
          <w:tcPr/>
          <w:p>
            <w:pPr>
              <w:pStyle w:val="Compact"/>
            </w:pPr>
            <w:r>
              <w:t xml:space="preserve">Shows total run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ApplicationCostSummary</w:t>
            </w:r>
          </w:p>
        </w:tc>
        <w:tc>
          <w:tcPr/>
          <w:p>
            <w:pPr>
              <w:pStyle w:val="Compact"/>
            </w:pPr>
            <w:r>
              <w:t xml:space="preserve">Deployments &amp; Costs tab</w:t>
            </w:r>
          </w:p>
        </w:tc>
        <w:tc>
          <w:tcPr/>
          <w:p>
            <w:pPr>
              <w:pStyle w:val="Compact"/>
            </w:pPr>
            <w:r>
              <w:t xml:space="preserve">Channel-by-channel cost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CostBundleSection</w:t>
            </w:r>
          </w:p>
        </w:tc>
        <w:tc>
          <w:tcPr/>
          <w:p>
            <w:pPr>
              <w:pStyle w:val="Compact"/>
            </w:pPr>
            <w:r>
              <w:t xml:space="preserve">Deployments &amp; Costs tab</w:t>
            </w:r>
          </w:p>
        </w:tc>
        <w:tc>
          <w:tcPr/>
          <w:p>
            <w:pPr>
              <w:pStyle w:val="Compact"/>
            </w:pPr>
            <w:r>
              <w:t xml:space="preserve">Add/edit recurring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ITServiceDependencyList</w:t>
            </w:r>
          </w:p>
        </w:tc>
        <w:tc>
          <w:tcPr/>
          <w:p>
            <w:pPr>
              <w:pStyle w:val="Compact"/>
            </w:pPr>
            <w:r>
              <w:t xml:space="preserve">Deployment Profile detail</w:t>
            </w:r>
          </w:p>
        </w:tc>
        <w:tc>
          <w:tcPr/>
          <w:p>
            <w:pPr>
              <w:pStyle w:val="Compact"/>
            </w:pPr>
            <w:r>
              <w:t xml:space="preserve">IT Service allocations with Quick Calculator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ContractExpiryWidget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Contract lifecycle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ITServiceSoftwareProductsList</w:t>
            </w:r>
          </w:p>
        </w:tc>
        <w:tc>
          <w:tcPr/>
          <w:p>
            <w:pPr>
              <w:pStyle w:val="Compact"/>
            </w:pPr>
            <w:r>
              <w:t xml:space="preserve">IT Service modal</w:t>
            </w:r>
          </w:p>
        </w:tc>
        <w:tc>
          <w:tcPr/>
          <w:p>
            <w:pPr>
              <w:pStyle w:val="Compact"/>
            </w:pPr>
            <w:r>
              <w:t xml:space="preserve">Software Products provided by an IT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CostAnalysisPanel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Portfolio-level cost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BudgetSettings</w:t>
            </w:r>
          </w:p>
        </w:tc>
        <w:tc>
          <w:tcPr/>
          <w:p>
            <w:pPr>
              <w:pStyle w:val="Compact"/>
            </w:pPr>
            <w:r>
              <w:t xml:space="preserve">Settings page</w:t>
            </w:r>
          </w:p>
        </w:tc>
        <w:tc>
          <w:tcPr/>
          <w:p>
            <w:pPr>
              <w:pStyle w:val="Compact"/>
            </w:pPr>
            <w:r>
              <w:t xml:space="preserve">Budget vs run rate management</w:t>
            </w:r>
          </w:p>
        </w:tc>
      </w:tr>
    </w:tbl>
    <w:bookmarkEnd w:id="42"/>
    <w:bookmarkStart w:id="43" w:name="key-hooks"/>
    <w:p>
      <w:pPr>
        <w:pStyle w:val="Heading2"/>
      </w:pPr>
      <w:r>
        <w:t xml:space="preserve">Key 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useDeploymentProfiles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src/hooks/useDeploymentProfiles.ts</w:t>
            </w:r>
          </w:p>
        </w:tc>
        <w:tc>
          <w:tcPr/>
          <w:p>
            <w:pPr>
              <w:pStyle w:val="Compact"/>
            </w:pPr>
            <w:r>
              <w:t xml:space="preserve">Fetch DPs for application/portfolio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useDeploymentProfileEditor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src/hooks/useDeploymentProfileEditor.ts</w:t>
            </w:r>
          </w:p>
        </w:tc>
        <w:tc>
          <w:tcPr/>
          <w:p>
            <w:pPr>
              <w:pStyle w:val="Compact"/>
            </w:pPr>
            <w:r>
              <w:t xml:space="preserve">DP editing state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further-reading"/>
    <w:p>
      <w:pPr>
        <w:pStyle w:val="Heading1"/>
      </w:pPr>
      <w:r>
        <w:t xml:space="preserve">8. Further Reading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features/cost-budget/cost-model.md</w:t>
            </w:r>
          </w:p>
        </w:tc>
        <w:tc>
          <w:tcPr/>
          <w:p>
            <w:pPr>
              <w:pStyle w:val="Compact"/>
            </w:pPr>
            <w:r>
              <w:t xml:space="preserve">Full architecture: two-channel model, allocation, stranded cost, maturity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features/cost-budget/vendor-cost.md</w:t>
            </w:r>
          </w:p>
        </w:tc>
        <w:tc>
          <w:tcPr/>
          <w:p>
            <w:pPr>
              <w:pStyle w:val="Compact"/>
            </w:pPr>
            <w:r>
              <w:t xml:space="preserve">Vendor attribution via IT Services + Cost Bundles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features/cost-budget/software-contract.md</w:t>
            </w:r>
          </w:p>
        </w:tc>
        <w:tc>
          <w:tcPr/>
          <w:p>
            <w:pPr>
              <w:pStyle w:val="Compact"/>
            </w:pPr>
            <w:r>
              <w:t xml:space="preserve">Contract lifecycle on IT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features/cost-budget/budget-management.md</w:t>
            </w:r>
          </w:p>
        </w:tc>
        <w:tc>
          <w:tcPr/>
          <w:p>
            <w:pPr>
              <w:pStyle w:val="Compact"/>
            </w:pPr>
            <w:r>
              <w:t xml:space="preserve">Budgets, thresholds, workspace_budgets table, IT service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features/cost-budget/budget-alerts.md</w:t>
            </w:r>
          </w:p>
        </w:tc>
        <w:tc>
          <w:tcPr/>
          <w:p>
            <w:pPr>
              <w:pStyle w:val="Compact"/>
            </w:pPr>
            <w:r>
              <w:t xml:space="preserve">Alert preferences, configurable alert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features/cost-budget/adr-cost-model-reunification.md</w:t>
            </w:r>
          </w:p>
        </w:tc>
        <w:tc>
          <w:tcPr/>
          <w:p>
            <w:pPr>
              <w:pStyle w:val="Compact"/>
            </w:pPr>
            <w:r>
              <w:t xml:space="preserve">ADR: why Software Product cost merged into IT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catalogs/it-service.md</w:t>
            </w:r>
          </w:p>
        </w:tc>
        <w:tc>
          <w:tcPr/>
          <w:p>
            <w:pPr>
              <w:pStyle w:val="Compact"/>
            </w:pPr>
            <w:r>
              <w:t xml:space="preserve">IT Service architecture: contract fields, software product junction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catalogs/software-product.md</w:t>
            </w:r>
          </w:p>
        </w:tc>
        <w:tc>
          <w:tcPr/>
          <w:p>
            <w:pPr>
              <w:pStyle w:val="Compact"/>
            </w:pPr>
            <w:r>
              <w:t xml:space="preserve">Software Product architecture: inventory-only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Document: features/cost-budget/cost-model-primer.md</w:t>
      </w:r>
      <w:r>
        <w:t xml:space="preserve"> </w:t>
      </w:r>
      <w:r>
        <w:rPr>
          <w:i/>
          <w:iCs/>
        </w:rPr>
        <w:t xml:space="preserve">Version 3.0 — March 2026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GetInSync NextGen — Cost Model Primer</dc:title>
  <dc:creator>GetInSync Architecture Team</dc:creator>
  <cp:keywords/>
  <dcterms:created xsi:type="dcterms:W3CDTF">2026-03-05T21:18:12Z</dcterms:created>
  <dcterms:modified xsi:type="dcterms:W3CDTF">2026-03-05T21:18:12Z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5, 2026</vt:lpwstr>
  </property>
  <property fmtid="{D5CDD505-2E9C-101B-9397-08002B2CF9AE}" pid="3" name="version">
    <vt:lpwstr>3.0</vt:lpwstr>
  </property>
</Properties>
</file>