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Study1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This is the abstract for Study1. It summarizes the key findings of the report.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This is the introduction for Study1.</w:t>
      </w:r>
      <w:r>
        <w:br/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/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1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/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1_pai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1.8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85.0%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13.88 kW</w:t>
      </w:r>
    </w:p>
    <w:p w14:paraId="1F710808" w14:textId="2432C030" w:rsidR="007015DD" w:rsidRPr="007015DD" w:rsidRDefault="007015DD" w:rsidP="007015DD">
      <w:r>
        <w:t xml:space="preserve">The results indicate a strong correlation between flow rate and power output. The efficiency peaks at a flow rate of 1.8 m³/s.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This is the discussion for Study1.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This is the conclusion for Study1.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6</cp:revision>
  <dcterms:created xsi:type="dcterms:W3CDTF">2013-12-23T23:15:00Z</dcterms:created>
  <dcterms:modified xsi:type="dcterms:W3CDTF">2025-07-26T03:53:00Z</dcterms:modified>
  <cp:category/>
  <dc:identifier/>
  <dc:language/>
</cp:coreProperties>
</file>