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generating-data-capture-and-visualisation-requirements-for-unconventional-energy-risk-governance"/>
      <w:bookmarkEnd w:id="21"/>
      <w:r>
        <w:t xml:space="preserve">Title: Generating Data Capture and Visualisation Requirements for Unconventional Energy Risk Governance</w:t>
      </w:r>
    </w:p>
    <w:p>
      <w:pPr>
        <w:pStyle w:val="Heading1"/>
      </w:pPr>
      <w:bookmarkStart w:id="22" w:name="abstract"/>
      <w:bookmarkEnd w:id="22"/>
      <w:r>
        <w:t xml:space="preserve">Abstract</w:t>
      </w:r>
    </w:p>
    <w:p>
      <w:r>
        <w:t xml:space="preserve">A review was conducted of literature with the aim of gathering requirements for a system of risk governance with application to groundwater and Unconventional Energy production. The review covers both current concepts and models regarding the governance of risk within Australia, and also the type of technology and development methods which might be used to accommodate the identified requirements. It was found that there are many different approaches to risk that are relevant to a governance system, and that these increase the complexity of development and place greater emphasis on data-driven approaches.</w:t>
      </w:r>
    </w:p>
    <w:p>
      <w:pPr>
        <w:pStyle w:val="Heading1"/>
      </w:pPr>
      <w:bookmarkStart w:id="23" w:name="aim"/>
      <w:bookmarkEnd w:id="23"/>
      <w:r>
        <w:t xml:space="preserve">Aim</w:t>
      </w:r>
    </w:p>
    <w:p>
      <w:r>
        <w:t xml:space="preserve">The aim of this review is to establish technical requirements of a Risk Governance System (RGS), and evaluate technologies and engineering methods that might be viable solutions to meet these requirements.</w:t>
      </w:r>
    </w:p>
    <w:p>
      <w:pPr>
        <w:pStyle w:val="Heading1"/>
      </w:pPr>
      <w:bookmarkStart w:id="24" w:name="method"/>
      <w:bookmarkEnd w:id="24"/>
      <w:r>
        <w:t xml:space="preserve">Method</w:t>
      </w:r>
    </w:p>
    <w:p>
      <w:r>
        <w:t xml:space="preserve">The approach used here is a requirements-oriented literature review. This approach will generate requirements relevant to different stakeholder perspectives on risk. Each section will be summarized with a table documenting level 1-3 requirements derived from the literature.</w:t>
      </w:r>
      <w:r>
        <w:rPr>
          <w:rStyle w:val="FootnoteRef"/>
        </w:rPr>
        <w:footnoteReference w:id="25"/>
      </w:r>
      <w:r>
        <w:t xml:space="preserve"> </w:t>
      </w:r>
      <w:r>
        <w:t xml:space="preserve">The requirements-oriented review will be undertaken concurrently with system development and a review of system engineering approaches that have been used previously to meet those requirements.</w:t>
      </w:r>
    </w:p>
    <w:p>
      <w:r>
        <w:t xml:space="preserve">Whilst this approach may sacrifice detail in the various reviews, the benefits of a concurrent method is anticipated to be twofold: Firstly, by referring back to the risk literature, there is the opportunity to for a whole-of-system understanding of</w:t>
      </w:r>
      <w:r>
        <w:t xml:space="preserve"> </w:t>
      </w:r>
      <w:r>
        <w:t xml:space="preserve">‘</w:t>
      </w:r>
      <w:r>
        <w:t xml:space="preserve">the why</w:t>
      </w:r>
      <w:r>
        <w:t xml:space="preserve">’</w:t>
      </w:r>
      <w:r>
        <w:t xml:space="preserve">, with respects to why the system is being developed, and how such can inform the system engineering process. Secondly, is an understanding of how the limitations of system engineering may inform the ambitions of risk governance. As noted below, disconnects between IT and business representatives responsible for implementation and development can present responsibility, ownership, vision, and, consequently, engineering challenges. It is anticipated that the close affinity between software engineering, review, and requirements generation will enable greater learning from previous attempts to address similar problems, and research how it might can be done differently to improve economic, environmental and/or social benefits.</w:t>
      </w:r>
    </w:p>
    <w:p>
      <w:pPr>
        <w:pStyle w:val="Heading1"/>
      </w:pPr>
      <w:bookmarkStart w:id="26" w:name="historical-introduction"/>
      <w:bookmarkEnd w:id="26"/>
      <w:r>
        <w:t xml:space="preserve">Historical Introduction</w:t>
      </w:r>
    </w:p>
    <w:p>
      <w:pPr>
        <w:pStyle w:val="Heading2"/>
      </w:pPr>
      <w:bookmarkStart w:id="27" w:name="brief-history-of-risk"/>
      <w:bookmarkEnd w:id="27"/>
      <w:r>
        <w:t xml:space="preserve">Brief History of Risk</w:t>
      </w:r>
    </w:p>
    <w:p>
      <w:r>
        <w:t xml:space="preserve">The historical lineage of risk might be viewed as stemming from Ancient times with intertwined and overlapping perspectives crossing the breadth of human intellectual history</w:t>
      </w:r>
      <w:r>
        <w:t xml:space="preserve"> </w:t>
      </w:r>
      <w:r>
        <w:t xml:space="preserve">(Goodarzi, Ziaei, and Teang Shui 2013)</w:t>
      </w:r>
      <w:r>
        <w:t xml:space="preserve">. Aven and Renn</w:t>
      </w:r>
      <w:r>
        <w:t xml:space="preserve"> </w:t>
      </w:r>
      <w:r>
        <w:t xml:space="preserve">(Aven and Renn 2010, 16.:50–54)</w:t>
      </w:r>
      <w:r>
        <w:t xml:space="preserve"> </w:t>
      </w:r>
      <w:r>
        <w:t xml:space="preserve">make a distinction between two phases in the history of risk analysis. That of the traditional concepts, associated with risk assessment, management and communication, and that of socio-cultural considerations.</w:t>
      </w:r>
    </w:p>
    <w:p>
      <w:r>
        <w:t xml:space="preserve">Citing Grier, Covello and Mumpower claim that the traditional, quantitative, concept of risk assessment first entered intellectual thought in the 4th century AD, through Amobius’s theological consideration of the risks posed to one’s soul after death</w:t>
      </w:r>
      <w:r>
        <w:t xml:space="preserve"> </w:t>
      </w:r>
      <w:r>
        <w:t xml:space="preserve">(Covello and Mumpower 1985)</w:t>
      </w:r>
      <w:r>
        <w:t xml:space="preserve">. Covello and Mumpower argue that prior to 18th century there was almost no history of quantitative probability theory, but at which point there was a flourishing of probability risk analysis (PRA) with a modern prototype developed by LaPlace in application to smallpox vaccination and morbidity probabilities</w:t>
      </w:r>
      <w:r>
        <w:t xml:space="preserve"> </w:t>
      </w:r>
      <w:r>
        <w:t xml:space="preserve">(Covello and Mumpower 1985)</w:t>
      </w:r>
      <w:r>
        <w:t xml:space="preserve">.</w:t>
      </w:r>
    </w:p>
    <w:p>
      <w:r>
        <w:t xml:space="preserve">In the context environmental policy, the application of PRA is relatively recent</w:t>
      </w:r>
      <w:r>
        <w:t xml:space="preserve"> </w:t>
      </w:r>
      <w:r>
        <w:t xml:space="preserve">(Ferguson et al. 1998, 7)</w:t>
      </w:r>
      <w:r>
        <w:t xml:space="preserve">. In subsurface hydrology, Tartakovsky argues that PRA had not been used until 2007</w:t>
      </w:r>
      <w:r>
        <w:t xml:space="preserve"> </w:t>
      </w:r>
      <w:r>
        <w:t xml:space="preserve">(Tartakovsky 2013, 248)</w:t>
      </w:r>
      <w:r>
        <w:t xml:space="preserve">. The aim of introducing PRA to environmental policy was to avoid conflation of political and management goals with environmental objectives, and this was to be done by providing an objective and scientific method</w:t>
      </w:r>
      <w:r>
        <w:t xml:space="preserve"> </w:t>
      </w:r>
      <w:r>
        <w:t xml:space="preserve">(Tartakovsky 2013)</w:t>
      </w:r>
      <w:r>
        <w:t xml:space="preserve">.</w:t>
      </w:r>
      <w:r>
        <w:rPr>
          <w:rStyle w:val="FootnoteRef"/>
        </w:rPr>
        <w:footnoteReference w:id="28"/>
      </w:r>
    </w:p>
    <w:p>
      <w:r>
        <w:t xml:space="preserve">However, as discussed below, risk is not only quantitative, but has qualitative dimensions, and in this vein, if the Ancient Greek-to-English translations are accurate, risk associated with combat and epidemic were already mentioned by Thucydides and Hippocrates</w:t>
      </w:r>
      <w:r>
        <w:t xml:space="preserve"> </w:t>
      </w:r>
      <w:r>
        <w:t xml:space="preserve">(Bracken 2003)</w:t>
      </w:r>
      <w:r>
        <w:t xml:space="preserve">, with evidence of epidemics mentioned in an cuneiform tablet dating back to Ancient Babylon 1400 BCE</w:t>
      </w:r>
      <w:r>
        <w:t xml:space="preserve"> </w:t>
      </w:r>
      <w:r>
        <w:t xml:space="preserve">(Hallo, Jones, and Mattingly 1990, 431)</w:t>
      </w:r>
      <w:r>
        <w:t xml:space="preserve">. Thucydides, for example, said,</w:t>
      </w:r>
    </w:p>
    <w:p>
      <w:pPr>
        <w:pStyle w:val="BlockQuote"/>
      </w:pPr>
      <w:r>
        <w:rPr>
          <w:i/>
        </w:rPr>
        <w:t xml:space="preserve">Concerning the Persian War … when we were performing those deeds the risk was taken for a common benefit</w:t>
      </w:r>
      <w:r>
        <w:t xml:space="preserve">.</w:t>
      </w:r>
      <w:r>
        <w:t xml:space="preserve"> </w:t>
      </w:r>
      <w:r>
        <w:t xml:space="preserve">(Thucydides in Smith and others 1962, BOOK I. lxxiii. 1-4)</w:t>
      </w:r>
    </w:p>
    <w:p>
      <w:r>
        <w:t xml:space="preserve">Indeed the humanitarian discourse concerned with social justice praxis is engaged with understanding the risks that capital and technology pose to the sustainable self-generation of individual, societal and ecological systems</w:t>
      </w:r>
      <w:r>
        <w:t xml:space="preserve"> </w:t>
      </w:r>
      <w:r>
        <w:t xml:space="preserve">(Habermas 1987, 371; Renn 2008; Castaños and Lomnitz 2009)</w:t>
      </w:r>
      <w:r>
        <w:t xml:space="preserve">.</w:t>
      </w:r>
    </w:p>
    <w:p>
      <w:r>
        <w:t xml:space="preserve">This non-technical aspect of the risk discourse, can be seen as an interest that has a continual thread throughout human history. Evolving in accuracy and scope to include the socio-political considerations of distributed authority, co-ordination between stakeholders and functional self-regulation</w:t>
      </w:r>
      <w:r>
        <w:t xml:space="preserve"> </w:t>
      </w:r>
      <w:r>
        <w:t xml:space="preserve">(Renn, Walker, and Bunting 2008,</w:t>
      </w:r>
      <w:r>
        <w:t xml:space="preserve"> </w:t>
      </w:r>
      <w:r>
        <w:t xml:space="preserve">Renn (2008)</w:t>
      </w:r>
      <w:r>
        <w:t xml:space="preserve">; Castaños and Lomnitz 2009; Renn, Klinke, and Asselt 2011; IRGC 2012; Figuié 2014)</w:t>
      </w:r>
      <w:r>
        <w:t xml:space="preserve">.</w:t>
      </w:r>
    </w:p>
    <w:p>
      <w:pPr>
        <w:pStyle w:val="Heading2"/>
      </w:pPr>
      <w:bookmarkStart w:id="29" w:name="brief-history-of-systems-engineering"/>
      <w:bookmarkEnd w:id="29"/>
      <w:r>
        <w:t xml:space="preserve">Brief History of Systems Engineering</w:t>
      </w:r>
    </w:p>
    <w:p>
      <w:r>
        <w:t xml:space="preserve">Schlager (1956)</w:t>
      </w:r>
      <w:r>
        <w:t xml:space="preserve">, locates the origin of the term</w:t>
      </w:r>
      <w:r>
        <w:t xml:space="preserve"> </w:t>
      </w:r>
      <w:r>
        <w:t xml:space="preserve">“</w:t>
      </w:r>
      <w:r>
        <w:t xml:space="preserve">systems engineering</w:t>
      </w:r>
      <w:r>
        <w:t xml:space="preserve">”</w:t>
      </w:r>
      <w:r>
        <w:t xml:space="preserve"> </w:t>
      </w:r>
      <w:r>
        <w:t xml:space="preserve">with the Bell Telephone Laboratories. It arose from the need to engineer and manage systems of significant complexity, where it was observed that satisfactory components did not necessarily combine to produce a satisfactory system [p.64]. The intent was to provide formal methods of truly engineering system synthesis and optimization using probability and statistics, rather than system development through educated guesswork.</w:t>
      </w:r>
    </w:p>
    <w:p>
      <w:r>
        <w:t xml:space="preserve">It has been applied and formalised in the engineering of space and military systems</w:t>
      </w:r>
      <w:r>
        <w:t xml:space="preserve"> </w:t>
      </w:r>
      <w:r>
        <w:t xml:space="preserve">(Rook 1986; Mooz and Forsberg 2001; Lightsey 2001; Kossiakoff and Sweet 2002; Stamatelatos and Caraballo 2002; Estefan 2007; NASA 2007; Clark 2009; Stamatelatos et al. 2011)</w:t>
      </w:r>
      <w:r>
        <w:t xml:space="preserve">, with cornerstone concepts such as the</w:t>
      </w:r>
      <w:r>
        <w:t xml:space="preserve"> </w:t>
      </w:r>
      <w:r>
        <w:t xml:space="preserve">“</w:t>
      </w:r>
      <w:r>
        <w:t xml:space="preserve">V-Model</w:t>
      </w:r>
      <w:r>
        <w:t xml:space="preserve">”</w:t>
      </w:r>
      <w:r>
        <w:t xml:space="preserve"> </w:t>
      </w:r>
      <w:r>
        <w:t xml:space="preserve">(Mooz and Forsberg 1997)</w:t>
      </w:r>
      <w:r>
        <w:t xml:space="preserve">, and specialist software packages like Vitech’s CORE^TM has been constructed to facilitate complex systems engineering process</w:t>
      </w:r>
      <w:r>
        <w:t xml:space="preserve"> </w:t>
      </w:r>
      <w:r>
        <w:t xml:space="preserve">(Vitech 2015)</w:t>
      </w:r>
      <w:r>
        <w:t xml:space="preserve">. Conversely, the history of code research, or hacking, can often follow a very different path without a systemic method, and approached from the investigative trial and error method.</w:t>
      </w:r>
    </w:p>
    <w:p>
      <w:pPr>
        <w:pStyle w:val="Heading1"/>
      </w:pPr>
      <w:bookmarkStart w:id="30" w:name="general-legislative-requirements"/>
      <w:bookmarkEnd w:id="30"/>
      <w:r>
        <w:t xml:space="preserve">General Legislative Requirements</w:t>
      </w:r>
    </w:p>
    <w:p>
      <w:r>
        <w:t xml:space="preserve">A variety of approaches to legislation of UE have emerged at different levels of government. Documented below are some of those that have been developed in the Australian context.</w:t>
      </w:r>
    </w:p>
    <w:p>
      <w:pPr>
        <w:pStyle w:val="Heading2"/>
      </w:pPr>
      <w:bookmarkStart w:id="31" w:name="water-monitoring-strategy-adaptive-risk-management-wms-arm"/>
      <w:bookmarkEnd w:id="31"/>
      <w:r>
        <w:t xml:space="preserve">Water Monitoring Strategy Adaptive Risk Management &amp; (WMS-ARM)</w:t>
      </w:r>
    </w:p>
    <w:p>
      <w:r>
        <w:t xml:space="preserve">The Water Monitoring Strategy (WMS) used in the Surat Underground Water Impact Report aimed to establish background trends to enable further levels of analysis, and improve knowledge around the connectivity between aquifers</w:t>
      </w:r>
      <w:r>
        <w:t xml:space="preserve"> </w:t>
      </w:r>
      <w:r>
        <w:t xml:space="preserve">(QWC 2012)</w:t>
      </w:r>
      <w:r>
        <w:t xml:space="preserve">.</w:t>
      </w:r>
    </w:p>
    <w:p>
      <w:r>
        <w:t xml:space="preserve">At the legislative level,</w:t>
      </w:r>
      <w:r>
        <w:t xml:space="preserve"> </w:t>
      </w:r>
      <w:r>
        <w:t xml:space="preserve">Randall (2012)</w:t>
      </w:r>
      <w:r>
        <w:t xml:space="preserve"> </w:t>
      </w:r>
      <w:r>
        <w:t xml:space="preserve">proposed a model called the screening, pre-release testing and post-release surveillance (STS) model. Randall’s model includes a depiction of the precautionary principle and accords with the HRF’s emphasis on adaptive risk management (ARM)</w:t>
      </w:r>
      <w:r>
        <w:t xml:space="preserve"> </w:t>
      </w:r>
      <w:r>
        <w:t xml:space="preserve">(SCER 2013)</w:t>
      </w:r>
      <w:r>
        <w:t xml:space="preserve"> </w:t>
      </w:r>
      <w:r>
        <w:t xml:space="preserve">as part of a hierarchy of risk control measures that apply to all aspects of the development of natural gas from coals seams.</w:t>
      </w:r>
    </w:p>
    <w:p>
      <w:r>
        <w:t xml:space="preserve">For ARM, on-going monitoring and communication is what makes the risk management adaptive: as soon as any impact is detected, appropriate action can be taken</w:t>
      </w:r>
      <w:r>
        <w:t xml:space="preserve"> </w:t>
      </w:r>
      <w:r>
        <w:t xml:space="preserve">(SCER 2013)</w:t>
      </w:r>
      <w:r>
        <w:t xml:space="preserve">. However</w:t>
      </w:r>
      <w:r>
        <w:t xml:space="preserve"> </w:t>
      </w:r>
      <w:r>
        <w:t xml:space="preserve">Swayne (2012)</w:t>
      </w:r>
      <w:r>
        <w:t xml:space="preserve">, argues the QLD experience shows that ARM needs both KPI’s, and to be integrated into statutory provisions with an appropriate decision-making framework. Moreover, Swayne maintains that such a framework needs the flexibility to enable system changes in response to the improved knowledge of impacts</w:t>
      </w:r>
      <w:r>
        <w:t xml:space="preserve"> </w:t>
      </w:r>
      <w:r>
        <w:t xml:space="preserve">(Swayne 2012)</w:t>
      </w:r>
      <w:r>
        <w:t xml:space="preserve">.</w:t>
      </w:r>
    </w:p>
    <w:p>
      <w:r>
        <w:t xml:space="preserve">For</w:t>
      </w:r>
      <w:r>
        <w:t xml:space="preserve"> </w:t>
      </w:r>
      <w:r>
        <w:t xml:space="preserve">Boudicca (2013)</w:t>
      </w:r>
      <w:r>
        <w:t xml:space="preserve">, any risk assessment model needs to include a definition of</w:t>
      </w:r>
      <w:r>
        <w:t xml:space="preserve"> </w:t>
      </w:r>
      <w:r>
        <w:t xml:space="preserve">‘</w:t>
      </w:r>
      <w:r>
        <w:t xml:space="preserve">unacceptable impacts</w:t>
      </w:r>
      <w:r>
        <w:t xml:space="preserve">’</w:t>
      </w:r>
      <w:r>
        <w:t xml:space="preserve">, whereby projects deemed as having unacceptable impacts should be prohibited. Furthermore, verification of impacts should not rely on in-house representatives, but rather, only on</w:t>
      </w:r>
      <w:r>
        <w:t xml:space="preserve"> </w:t>
      </w:r>
      <w:r>
        <w:t xml:space="preserve">“</w:t>
      </w:r>
      <w:r>
        <w:t xml:space="preserve">independent third-party professional[s]</w:t>
      </w:r>
      <w:r>
        <w:t xml:space="preserve">”</w:t>
      </w:r>
      <w:r>
        <w:t xml:space="preserve"> </w:t>
      </w:r>
      <w:r>
        <w:t xml:space="preserve">(Boudicca 2013)</w:t>
      </w:r>
      <w:r>
        <w:t xml:space="preserve">.</w:t>
      </w:r>
    </w:p>
    <w:p>
      <w:pPr>
        <w:pStyle w:val="Heading3"/>
      </w:pPr>
      <w:bookmarkStart w:id="32" w:name="requirements---wms"/>
      <w:bookmarkEnd w:id="32"/>
      <w:r>
        <w:t xml:space="preserve">Requirements - WMS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Able to establish background trends</w:t>
            </w:r>
          </w:p>
        </w:tc>
        <w:tc>
          <w:p>
            <w:pPr>
              <w:pStyle w:val="Compact"/>
              <w:jc w:val="left"/>
            </w:pPr>
            <w:r>
              <w:rPr>
                <w:rStyle w:val="VerbatimChar"/>
              </w:rPr>
              <w:t xml:space="preserve">schema: timeseries</w:t>
            </w:r>
          </w:p>
        </w:tc>
      </w:tr>
      <w:tr>
        <w:tc>
          <w:p>
            <w:pPr>
              <w:pStyle w:val="Compact"/>
              <w:jc w:val="left"/>
            </w:pPr>
            <w:r>
              <w:t xml:space="preserve">1</w:t>
            </w:r>
          </w:p>
        </w:tc>
        <w:tc>
          <w:p>
            <w:pPr>
              <w:pStyle w:val="Compact"/>
              <w:jc w:val="left"/>
            </w:pPr>
            <w:r>
              <w:t xml:space="preserve">Able to improve future groundwater flow modelling</w:t>
            </w:r>
          </w:p>
        </w:tc>
        <w:tc>
          <w:p>
            <w:pPr>
              <w:pStyle w:val="Compact"/>
              <w:jc w:val="left"/>
            </w:pPr>
            <w:r>
              <w:rPr>
                <w:rStyle w:val="VerbatimChar"/>
              </w:rPr>
              <w:t xml:space="preserve">schema: timeseries</w:t>
            </w:r>
            <w:r>
              <w:t xml:space="preserve"> </w:t>
            </w:r>
            <w:r>
              <w:t xml:space="preserve">&amp; interface with flow models</w:t>
            </w:r>
          </w:p>
        </w:tc>
      </w:tr>
      <w:tr>
        <w:tc>
          <w:p>
            <w:pPr>
              <w:pStyle w:val="Compact"/>
              <w:jc w:val="left"/>
            </w:pPr>
            <w:r>
              <w:t xml:space="preserve">1</w:t>
            </w:r>
          </w:p>
        </w:tc>
        <w:tc>
          <w:p>
            <w:pPr>
              <w:pStyle w:val="Compact"/>
              <w:jc w:val="left"/>
            </w:pPr>
            <w:r>
              <w:t xml:space="preserve">Able to improve understanding of connectivity between aquifers</w:t>
            </w:r>
          </w:p>
        </w:tc>
        <w:tc>
          <w:p>
            <w:pPr>
              <w:pStyle w:val="Compact"/>
              <w:jc w:val="left"/>
            </w:pPr>
            <w:r>
              <w:rPr>
                <w:rStyle w:val="VerbatimChar"/>
              </w:rPr>
              <w:t xml:space="preserve">schema: aquifer</w:t>
            </w:r>
          </w:p>
        </w:tc>
      </w:tr>
      <w:tr>
        <w:tc>
          <w:p>
            <w:pPr>
              <w:pStyle w:val="Compact"/>
              <w:jc w:val="left"/>
            </w:pPr>
            <w:r>
              <w:t xml:space="preserve">3</w:t>
            </w:r>
          </w:p>
        </w:tc>
        <w:tc>
          <w:p>
            <w:pPr>
              <w:pStyle w:val="Compact"/>
              <w:jc w:val="left"/>
            </w:pPr>
            <w:r>
              <w:t xml:space="preserve">Able to identify changes in aquifer conditions within and near areas of petroleum development</w:t>
            </w:r>
          </w:p>
        </w:tc>
        <w:tc>
          <w:p>
            <w:pPr>
              <w:pStyle w:val="Compact"/>
              <w:jc w:val="left"/>
            </w:pPr>
            <w:r>
              <w:rPr>
                <w:rStyle w:val="VerbatimChar"/>
              </w:rPr>
              <w:t xml:space="preserve">schema: site &amp;&amp; aquifer</w:t>
            </w:r>
          </w:p>
        </w:tc>
      </w:tr>
      <w:tr>
        <w:tc>
          <w:p>
            <w:pPr>
              <w:pStyle w:val="Compact"/>
              <w:jc w:val="left"/>
            </w:pPr>
            <w:r>
              <w:t xml:space="preserve">3</w:t>
            </w:r>
          </w:p>
        </w:tc>
        <w:tc>
          <w:p>
            <w:pPr>
              <w:pStyle w:val="Compact"/>
              <w:jc w:val="left"/>
            </w:pPr>
            <w:r>
              <w:t xml:space="preserve">Able to identify changes in aquifer conditions near critical groundwater use</w:t>
            </w:r>
          </w:p>
        </w:tc>
        <w:tc>
          <w:p>
            <w:pPr>
              <w:pStyle w:val="Compact"/>
              <w:jc w:val="left"/>
            </w:pPr>
            <w:r>
              <w:rPr>
                <w:rStyle w:val="VerbatimChar"/>
              </w:rPr>
              <w:t xml:space="preserve">schema: site &amp;&amp; aquifer</w:t>
            </w:r>
          </w:p>
        </w:tc>
      </w:tr>
      <w:tr>
        <w:tc>
          <w:p>
            <w:pPr>
              <w:pStyle w:val="Compact"/>
              <w:jc w:val="left"/>
            </w:pPr>
            <w:r>
              <w:t xml:space="preserve">3</w:t>
            </w:r>
          </w:p>
        </w:tc>
        <w:tc>
          <w:p>
            <w:pPr>
              <w:pStyle w:val="Compact"/>
              <w:jc w:val="left"/>
            </w:pPr>
            <w:r>
              <w:t xml:space="preserve">Able to identify changes in aquifer conditions near springs</w:t>
            </w:r>
          </w:p>
        </w:tc>
        <w:tc>
          <w:p>
            <w:pPr>
              <w:pStyle w:val="Compact"/>
              <w:jc w:val="left"/>
            </w:pPr>
            <w:r>
              <w:rPr>
                <w:rStyle w:val="VerbatimChar"/>
              </w:rPr>
              <w:t xml:space="preserve">schema: site &amp;&amp; aquifer</w:t>
            </w:r>
          </w:p>
        </w:tc>
      </w:tr>
      <w:tr>
        <w:tc>
          <w:p>
            <w:pPr>
              <w:pStyle w:val="Compact"/>
              <w:jc w:val="left"/>
            </w:pPr>
            <w:r>
              <w:t xml:space="preserve">1</w:t>
            </w:r>
          </w:p>
        </w:tc>
        <w:tc>
          <w:p>
            <w:pPr>
              <w:pStyle w:val="Compact"/>
              <w:jc w:val="left"/>
            </w:pPr>
            <w:r>
              <w:t xml:space="preserve">Able to integrate STS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define trigger thresholds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track risks associated with operations</w:t>
            </w:r>
          </w:p>
        </w:tc>
        <w:tc>
          <w:p>
            <w:pPr>
              <w:pStyle w:val="Compact"/>
              <w:jc w:val="left"/>
            </w:pPr>
            <w:r>
              <w:t xml:space="preserve">cloud-based web application</w:t>
            </w:r>
          </w:p>
        </w:tc>
      </w:tr>
      <w:tr>
        <w:tc>
          <w:p>
            <w:pPr>
              <w:pStyle w:val="Compact"/>
              <w:jc w:val="left"/>
            </w:pPr>
            <w:r>
              <w:t xml:space="preserve">1</w:t>
            </w:r>
          </w:p>
        </w:tc>
        <w:tc>
          <w:p>
            <w:pPr>
              <w:pStyle w:val="Compact"/>
              <w:jc w:val="left"/>
            </w:pPr>
            <w:r>
              <w:t xml:space="preserve">Able to communicate/visualise risks to stakeholders</w:t>
            </w:r>
          </w:p>
        </w:tc>
        <w:tc>
          <w:p>
            <w:pPr>
              <w:pStyle w:val="Compact"/>
              <w:jc w:val="left"/>
            </w:pPr>
            <w:r>
              <w:t xml:space="preserve">cloud-based web application &amp;&amp; 2d/3d maps &amp;&amp; forms</w:t>
            </w:r>
          </w:p>
        </w:tc>
      </w:tr>
      <w:tr>
        <w:tc>
          <w:p>
            <w:pPr>
              <w:pStyle w:val="Compact"/>
              <w:jc w:val="left"/>
            </w:pPr>
            <w:r>
              <w:t xml:space="preserve">3</w:t>
            </w:r>
          </w:p>
        </w:tc>
        <w:tc>
          <w:p>
            <w:pPr>
              <w:pStyle w:val="Compact"/>
              <w:jc w:val="left"/>
            </w:pPr>
            <w:r>
              <w:t xml:space="preserve">Able to describe &amp; track hydraulic fracturing</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define and track unacceptable env impacts to site</w:t>
            </w:r>
          </w:p>
        </w:tc>
        <w:tc>
          <w:p>
            <w:pPr>
              <w:pStyle w:val="Compact"/>
              <w:jc w:val="left"/>
            </w:pPr>
            <w:r>
              <w:rPr>
                <w:rStyle w:val="VerbatimChar"/>
              </w:rPr>
              <w:t xml:space="preserve">schema: impacts</w:t>
            </w:r>
          </w:p>
        </w:tc>
      </w:tr>
      <w:tr>
        <w:tc>
          <w:p>
            <w:pPr>
              <w:pStyle w:val="Compact"/>
              <w:jc w:val="left"/>
            </w:pPr>
            <w:r>
              <w:t xml:space="preserve">3</w:t>
            </w:r>
          </w:p>
        </w:tc>
        <w:tc>
          <w:p>
            <w:pPr>
              <w:pStyle w:val="Compact"/>
              <w:jc w:val="left"/>
            </w:pPr>
            <w:r>
              <w:t xml:space="preserve">Able to define and track unacceptable impacts to aquifer</w:t>
            </w:r>
          </w:p>
        </w:tc>
        <w:tc>
          <w:p>
            <w:pPr>
              <w:pStyle w:val="Compact"/>
              <w:jc w:val="left"/>
            </w:pPr>
            <w:r>
              <w:rPr>
                <w:rStyle w:val="VerbatimChar"/>
              </w:rPr>
              <w:t xml:space="preserve">schema: aquifer</w:t>
            </w:r>
          </w:p>
        </w:tc>
      </w:tr>
      <w:tr>
        <w:tc>
          <w:p>
            <w:pPr>
              <w:pStyle w:val="Compact"/>
              <w:jc w:val="left"/>
            </w:pPr>
            <w:r>
              <w:t xml:space="preserve">3</w:t>
            </w:r>
          </w:p>
        </w:tc>
        <w:tc>
          <w:p>
            <w:pPr>
              <w:pStyle w:val="Compact"/>
              <w:jc w:val="left"/>
            </w:pPr>
            <w:r>
              <w:t xml:space="preserve">Able to define and track unacceptable impacts within catchment</w:t>
            </w:r>
          </w:p>
        </w:tc>
        <w:tc>
          <w:p>
            <w:pPr>
              <w:pStyle w:val="Compact"/>
              <w:jc w:val="left"/>
            </w:pPr>
            <w:r>
              <w:rPr>
                <w:rStyle w:val="VerbatimChar"/>
              </w:rPr>
              <w:t xml:space="preserve">schema: catchment</w:t>
            </w:r>
          </w:p>
        </w:tc>
      </w:tr>
      <w:tr>
        <w:tc>
          <w:p>
            <w:pPr>
              <w:pStyle w:val="Compact"/>
              <w:jc w:val="left"/>
            </w:pPr>
            <w:r>
              <w:t xml:space="preserve">3</w:t>
            </w:r>
          </w:p>
        </w:tc>
        <w:tc>
          <w:p>
            <w:pPr>
              <w:pStyle w:val="Compact"/>
              <w:jc w:val="left"/>
            </w:pPr>
            <w:r>
              <w:t xml:space="preserve">Verification that appraisals undertaken by independent third party</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Able to define KPI’s for ARM</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Able to integrate with statutory provisions &amp; reports</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Flexibility to enable changes in response to the improved knowledge of impacts</w:t>
            </w:r>
          </w:p>
        </w:tc>
        <w:tc>
          <w:p>
            <w:pPr>
              <w:pStyle w:val="Compact"/>
              <w:jc w:val="left"/>
            </w:pPr>
            <w:r>
              <w:rPr>
                <w:rStyle w:val="VerbatimChar"/>
              </w:rPr>
              <w:t xml:space="preserve">schema: appraisals</w:t>
            </w:r>
          </w:p>
        </w:tc>
      </w:tr>
    </w:tbl>
    <w:p>
      <w:pPr>
        <w:pStyle w:val="Heading2"/>
      </w:pPr>
      <w:bookmarkStart w:id="33" w:name="harmonized-regulatory-framework"/>
      <w:bookmarkEnd w:id="33"/>
      <w:r>
        <w:t xml:space="preserve">Harmonized Regulatory Framework</w:t>
      </w:r>
    </w:p>
    <w:p>
      <w:r>
        <w:t xml:space="preserve">The Harmonized Regulatory Framework (HRF) forms the context in which Government agencies have attempted to meet the challenges posed by the unconventional energy industry in Australia. The HRF emphasised that Governments at all levels have a key role in providing scientifically-robust information, but also in providing access to such information in a timely manner</w:t>
      </w:r>
      <w:r>
        <w:t xml:space="preserve"> </w:t>
      </w:r>
      <w:r>
        <w:t xml:space="preserve">(SCER 2013, 10)</w:t>
      </w:r>
      <w:r>
        <w:t xml:space="preserve">.</w:t>
      </w:r>
    </w:p>
    <w:p>
      <w:r>
        <w:t xml:space="preserve">This information access aims to establish and maintain the industry’s Social License to Operate (SLO)</w:t>
      </w:r>
      <w:r>
        <w:t xml:space="preserve"> </w:t>
      </w:r>
      <w:r>
        <w:t xml:space="preserve">(Boutilier and Thomson 2011)</w:t>
      </w:r>
      <w:r>
        <w:t xml:space="preserve"> </w:t>
      </w:r>
      <w:r>
        <w:t xml:space="preserve">and community confidence so that Australia and transnational corporate operators can gain economic benefit from any potential development</w:t>
      </w:r>
      <w:r>
        <w:t xml:space="preserve"> </w:t>
      </w:r>
      <w:r>
        <w:t xml:space="preserve">(SCER 2013, 10)</w:t>
      </w:r>
      <w:r>
        <w:t xml:space="preserve">. The National Harmonised Regulatory Framework for Natural Gas from Coal Seams maintains that the main concern in Coal Seam Gas operations is the risk of significant impacts on the environment and humans</w:t>
      </w:r>
      <w:r>
        <w:t xml:space="preserve"> </w:t>
      </w:r>
      <w:r>
        <w:t xml:space="preserve">(SCER 2013)</w:t>
      </w:r>
      <w:r>
        <w:t xml:space="preserve">.</w:t>
      </w:r>
    </w:p>
    <w:p>
      <w:r>
        <w:t xml:space="preserve">At the State Government level in Australia, Queensland (QLD) has been a test case where Coal Seam Gas regulation and production. In alignment with the HRF, and requirement for management and use of produced water under the Environmental Protection Act</w:t>
      </w:r>
      <w:r>
        <w:t xml:space="preserve"> </w:t>
      </w:r>
      <w:r>
        <w:t xml:space="preserve">(SCER 2013)</w:t>
      </w:r>
      <w:r>
        <w:t xml:space="preserve">, QLD developed the Underground Water Management Framework (UWMF)</w:t>
      </w:r>
      <w:r>
        <w:t xml:space="preserve"> </w:t>
      </w:r>
      <w:r>
        <w:t xml:space="preserve">(QLD State Government 2015)</w:t>
      </w:r>
      <w:r>
        <w:t xml:space="preserve">, comprised of a number of legislative components:</w:t>
      </w:r>
    </w:p>
    <w:p>
      <w:pPr>
        <w:pStyle w:val="Compact"/>
        <w:numPr>
          <w:numId w:val="1001"/>
          <w:ilvl w:val="0"/>
        </w:numPr>
      </w:pPr>
      <w:r>
        <w:t xml:space="preserve">Baseline Assessment of water bores (BLA)</w:t>
      </w:r>
    </w:p>
    <w:p>
      <w:pPr>
        <w:pStyle w:val="Compact"/>
        <w:numPr>
          <w:numId w:val="1001"/>
          <w:ilvl w:val="0"/>
        </w:numPr>
      </w:pPr>
      <w:r>
        <w:t xml:space="preserve">Baseline Assessment Plans (BAP)</w:t>
      </w:r>
    </w:p>
    <w:p>
      <w:pPr>
        <w:pStyle w:val="Compact"/>
        <w:numPr>
          <w:numId w:val="1001"/>
          <w:ilvl w:val="0"/>
        </w:numPr>
      </w:pPr>
      <w:r>
        <w:t xml:space="preserve">Underground Water Impact Reports (UWIR)</w:t>
      </w:r>
    </w:p>
    <w:p>
      <w:pPr>
        <w:pStyle w:val="Compact"/>
        <w:numPr>
          <w:numId w:val="1001"/>
          <w:ilvl w:val="0"/>
        </w:numPr>
      </w:pPr>
      <w:r>
        <w:t xml:space="preserve">Declaration of Cumulative Management Areas (CMA)</w:t>
      </w:r>
    </w:p>
    <w:p>
      <w:pPr>
        <w:pStyle w:val="Compact"/>
        <w:numPr>
          <w:numId w:val="1001"/>
          <w:ilvl w:val="0"/>
        </w:numPr>
      </w:pPr>
      <w:r>
        <w:t xml:space="preserve">Make Good obligations for impact recompense (MG)</w:t>
      </w:r>
      <w:r>
        <w:br w:type="textWrapping"/>
      </w:r>
    </w:p>
    <w:p>
      <w:pPr>
        <w:pStyle w:val="Compact"/>
        <w:numPr>
          <w:numId w:val="1001"/>
          <w:ilvl w:val="0"/>
        </w:numPr>
      </w:pPr>
      <w:r>
        <w:t xml:space="preserve">Bore Assessments for impact evaluation (BOA)</w:t>
      </w:r>
      <w:r>
        <w:t xml:space="preserve"> </w:t>
      </w:r>
      <w:r>
        <w:t xml:space="preserve">(EHP 2013)</w:t>
      </w:r>
    </w:p>
    <w:p>
      <w:r>
        <w:t xml:space="preserve">Water, then, is one of the main focuses of the UWMF, and would be the main problem context of any STS model. The HRF therefore stipulate the requirement for a robust framework for data collection and transfer to monitor water levels and associated risks, and also to provide instruction on remedial actions</w:t>
      </w:r>
      <w:r>
        <w:t xml:space="preserve"> </w:t>
      </w:r>
      <w:r>
        <w:t xml:space="preserve">(SCER 2013)</w:t>
      </w:r>
      <w:r>
        <w:t xml:space="preserve">. In this approach, defined trigger thresholds are used to initiate a make-good process</w:t>
      </w:r>
      <w:r>
        <w:t xml:space="preserve"> </w:t>
      </w:r>
      <w:r>
        <w:t xml:space="preserve">(D. of E. H.</w:t>
      </w:r>
      <w:r>
        <w:t xml:space="preserve"> </w:t>
      </w:r>
      <w:r>
        <w:t xml:space="preserve">and</w:t>
      </w:r>
      <w:r>
        <w:t xml:space="preserve"> </w:t>
      </w:r>
      <w:r>
        <w:t xml:space="preserve">P. EHP 2010b)</w:t>
      </w:r>
      <w:r>
        <w:t xml:space="preserve">.</w:t>
      </w:r>
    </w:p>
    <w:p>
      <w:pPr>
        <w:pStyle w:val="Heading3"/>
      </w:pPr>
      <w:bookmarkStart w:id="34" w:name="requirements---hrf-uwmf"/>
      <w:bookmarkEnd w:id="34"/>
      <w:r>
        <w:t xml:space="preserve">Requirements - HRF &amp; UWMF</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Framework for water data collection and transfer to monitor Env &amp; SLO risks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remedial actions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trigger thresholds process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process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visualise risks for risk communication</w:t>
            </w:r>
          </w:p>
        </w:tc>
        <w:tc>
          <w:p>
            <w:pPr>
              <w:pStyle w:val="Compact"/>
              <w:jc w:val="left"/>
            </w:pPr>
            <w:r>
              <w:t xml:space="preserve">UI</w:t>
            </w:r>
          </w:p>
        </w:tc>
      </w:tr>
      <w:tr>
        <w:tc>
          <w:p>
            <w:pPr>
              <w:pStyle w:val="Compact"/>
              <w:jc w:val="left"/>
            </w:pPr>
            <w:r>
              <w:t xml:space="preserve">1</w:t>
            </w:r>
          </w:p>
        </w:tc>
        <w:tc>
          <w:p>
            <w:pPr>
              <w:pStyle w:val="Compact"/>
              <w:jc w:val="left"/>
            </w:pPr>
            <w:r>
              <w:t xml:space="preserve">Able to store data required for MG, BLA, BAP, UWIR, CMA, BOA</w:t>
            </w:r>
          </w:p>
        </w:tc>
        <w:tc>
          <w:p>
            <w:pPr>
              <w:pStyle w:val="Compact"/>
              <w:jc w:val="left"/>
            </w:pPr>
            <w:r>
              <w:t xml:space="preserve">UI</w:t>
            </w:r>
          </w:p>
        </w:tc>
      </w:tr>
    </w:tbl>
    <w:p>
      <w:pPr>
        <w:pStyle w:val="Heading2"/>
      </w:pPr>
      <w:bookmarkStart w:id="35" w:name="feedback-on-hrf"/>
      <w:bookmarkEnd w:id="35"/>
      <w:r>
        <w:t xml:space="preserve">Feedback on HRF</w:t>
      </w:r>
    </w:p>
    <w:p>
      <w:r>
        <w:t xml:space="preserve">A period of public feedback was undertaken as a part of the HRF. Some of the recommendations included that actions should be able to be taken at all levels for, and by, stakeholders across State or Federal (or even National) jurisdictions</w:t>
      </w:r>
      <w:r>
        <w:t xml:space="preserve"> </w:t>
      </w:r>
      <w:r>
        <w:t xml:space="preserve">(ANEDO 2013)</w:t>
      </w:r>
      <w:r>
        <w:t xml:space="preserve">, with the intent of affording a framework for harmonization</w:t>
      </w:r>
      <w:r>
        <w:rPr>
          <w:rStyle w:val="FootnoteRef"/>
        </w:rPr>
        <w:footnoteReference w:id="36"/>
      </w:r>
      <w:r>
        <w:t xml:space="preserve"> </w:t>
      </w:r>
      <w:r>
        <w:t xml:space="preserve">and co-development of procedures between State entities</w:t>
      </w:r>
      <w:r>
        <w:t xml:space="preserve"> </w:t>
      </w:r>
      <w:r>
        <w:t xml:space="preserve">(Brockett 2014b)</w:t>
      </w:r>
      <w:r>
        <w:t xml:space="preserve">.</w:t>
      </w:r>
    </w:p>
    <w:p>
      <w:r>
        <w:t xml:space="preserve">Hunter and Garnett (2013)</w:t>
      </w:r>
      <w:r>
        <w:t xml:space="preserve"> </w:t>
      </w:r>
      <w:r>
        <w:t xml:space="preserve">suggests that demonstrable scientific underpinnings of risk assessments would assist in communications (a component depicted in Fergusson’s model) . Martin</w:t>
      </w:r>
      <w:r>
        <w:t xml:space="preserve"> </w:t>
      </w:r>
      <w:r>
        <w:t xml:space="preserve">(Taylor 2012, 5)</w:t>
      </w:r>
      <w:r>
        <w:t xml:space="preserve"> </w:t>
      </w:r>
      <w:r>
        <w:t xml:space="preserve">says that water allocation and licensing frameworks also need to be enhanced to include water that is produced, and consumed by UE producers. Taylor</w:t>
      </w:r>
      <w:r>
        <w:t xml:space="preserve"> </w:t>
      </w:r>
      <w:r>
        <w:t xml:space="preserve">(Taylor 2012, 5)</w:t>
      </w:r>
      <w:r>
        <w:t xml:space="preserve"> </w:t>
      </w:r>
      <w:r>
        <w:t xml:space="preserve">went on to suggest that where UE producers use water resources, they should carry the costs associated with any impacts from activities. This view concurs with the views of landholders, who wish to receive appropriate compensation and payments</w:t>
      </w:r>
      <w:r>
        <w:t xml:space="preserve"> </w:t>
      </w:r>
      <w:r>
        <w:t xml:space="preserve">(VFF 2013)</w:t>
      </w:r>
      <w:r>
        <w:t xml:space="preserve">.</w:t>
      </w:r>
    </w:p>
    <w:p>
      <w:r>
        <w:t xml:space="preserve">Strict liability is the imposition of liability on a party without a finding of fault. The question is whether strict libability should be afforded to UE producers as the tortfeasor. In this context the NWC recommended that bonds and sureties should be used deal with uncertainty and the time frames associated with potential impacts</w:t>
      </w:r>
      <w:r>
        <w:t xml:space="preserve"> </w:t>
      </w:r>
      <w:r>
        <w:t xml:space="preserve">(NWC 2010)</w:t>
      </w:r>
      <w:r>
        <w:t xml:space="preserve">. As the NWC noted, these time frames may potentially extend past 100 years, which is well-beyond the expected life-span of the CSG recovery process. This includes impacts such as long-term reductions in aquifer pressures or levels, and,</w:t>
      </w:r>
      <w:r>
        <w:t xml:space="preserve"> </w:t>
      </w:r>
      <w:r>
        <w:t xml:space="preserve">“</w:t>
      </w:r>
      <w:r>
        <w:t xml:space="preserve">impacts on environmental assets that are not adequately protected by current</w:t>
      </w:r>
      <w:r>
        <w:t xml:space="preserve"> </w:t>
      </w:r>
      <w:r>
        <w:t xml:space="preserve">‘</w:t>
      </w:r>
      <w:r>
        <w:t xml:space="preserve">make good</w:t>
      </w:r>
      <w:r>
        <w:t xml:space="preserve">’</w:t>
      </w:r>
      <w:r>
        <w:t xml:space="preserve"> </w:t>
      </w:r>
      <w:r>
        <w:t xml:space="preserve">mechanisms</w:t>
      </w:r>
      <w:r>
        <w:t xml:space="preserve">”</w:t>
      </w:r>
      <w:r>
        <w:t xml:space="preserve"> </w:t>
      </w:r>
      <w:r>
        <w:t xml:space="preserve">(NWC 2010)</w:t>
      </w:r>
      <w:r>
        <w:t xml:space="preserve">.</w:t>
      </w:r>
    </w:p>
    <w:p>
      <w:pPr>
        <w:pStyle w:val="Heading3"/>
      </w:pPr>
      <w:bookmarkStart w:id="37" w:name="requirements---hrf-feedback"/>
      <w:bookmarkEnd w:id="37"/>
      <w:r>
        <w:t xml:space="preserve">Requirements - HRF Feedback</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Data collection not limited to jurisdiction</w:t>
            </w:r>
          </w:p>
        </w:tc>
        <w:tc>
          <w:p>
            <w:pPr>
              <w:pStyle w:val="Compact"/>
              <w:jc w:val="left"/>
            </w:pPr>
            <w:r>
              <w:t xml:space="preserve">cloud-based web application</w:t>
            </w:r>
          </w:p>
        </w:tc>
      </w:tr>
      <w:tr>
        <w:tc>
          <w:p>
            <w:pPr>
              <w:pStyle w:val="Compact"/>
              <w:jc w:val="left"/>
            </w:pPr>
            <w:r>
              <w:t xml:space="preserve">1</w:t>
            </w:r>
          </w:p>
        </w:tc>
        <w:tc>
          <w:p>
            <w:pPr>
              <w:pStyle w:val="Compact"/>
              <w:jc w:val="left"/>
            </w:pPr>
            <w:r>
              <w:t xml:space="preserve">Data transfer not limited to jurisdiction</w:t>
            </w:r>
          </w:p>
        </w:tc>
        <w:tc>
          <w:p>
            <w:pPr>
              <w:pStyle w:val="Compact"/>
              <w:jc w:val="left"/>
            </w:pPr>
            <w:r>
              <w:t xml:space="preserve">cloud-based web application</w:t>
            </w:r>
          </w:p>
        </w:tc>
      </w:tr>
      <w:tr>
        <w:tc>
          <w:p>
            <w:pPr>
              <w:pStyle w:val="Compact"/>
              <w:jc w:val="left"/>
            </w:pPr>
            <w:r>
              <w:t xml:space="preserve">3</w:t>
            </w:r>
          </w:p>
        </w:tc>
        <w:tc>
          <w:p>
            <w:pPr>
              <w:pStyle w:val="Compact"/>
              <w:jc w:val="left"/>
            </w:pPr>
            <w:r>
              <w:t xml:space="preserve">Able to record stakeholders voice</w:t>
            </w:r>
          </w:p>
        </w:tc>
        <w:tc>
          <w:p>
            <w:pPr>
              <w:pStyle w:val="Compact"/>
              <w:jc w:val="left"/>
            </w:pPr>
            <w:r>
              <w:rPr>
                <w:rStyle w:val="VerbatimChar"/>
              </w:rPr>
              <w:t xml:space="preserve">schema: issues</w:t>
            </w:r>
          </w:p>
        </w:tc>
      </w:tr>
      <w:tr>
        <w:tc>
          <w:p>
            <w:pPr>
              <w:pStyle w:val="Compact"/>
              <w:jc w:val="left"/>
            </w:pPr>
            <w:r>
              <w:t xml:space="preserve">3</w:t>
            </w:r>
          </w:p>
        </w:tc>
        <w:tc>
          <w:p>
            <w:pPr>
              <w:pStyle w:val="Compact"/>
              <w:jc w:val="left"/>
            </w:pPr>
            <w:r>
              <w:t xml:space="preserve">Able to record decision outcomes for stakeholders</w:t>
            </w:r>
          </w:p>
        </w:tc>
        <w:tc>
          <w:p>
            <w:pPr>
              <w:pStyle w:val="Compact"/>
              <w:jc w:val="left"/>
            </w:pPr>
            <w:r>
              <w:rPr>
                <w:rStyle w:val="VerbatimChar"/>
              </w:rPr>
              <w:t xml:space="preserve">schema: issues</w:t>
            </w:r>
          </w:p>
        </w:tc>
      </w:tr>
      <w:tr>
        <w:tc>
          <w:p>
            <w:pPr>
              <w:pStyle w:val="Compact"/>
              <w:jc w:val="left"/>
            </w:pPr>
            <w:r>
              <w:t xml:space="preserve">3</w:t>
            </w:r>
          </w:p>
        </w:tc>
        <w:tc>
          <w:p>
            <w:pPr>
              <w:pStyle w:val="Compact"/>
              <w:jc w:val="left"/>
            </w:pPr>
            <w:r>
              <w:t xml:space="preserve">Track bonds and sureties per company and per asset/site</w:t>
            </w:r>
          </w:p>
        </w:tc>
        <w:tc>
          <w:p>
            <w:pPr>
              <w:pStyle w:val="Compact"/>
              <w:jc w:val="left"/>
            </w:pPr>
            <w:r>
              <w:rPr>
                <w:rStyle w:val="VerbatimChar"/>
              </w:rPr>
              <w:t xml:space="preserve">schema: company&amp;&amp;site</w:t>
            </w:r>
          </w:p>
        </w:tc>
      </w:tr>
      <w:tr>
        <w:tc>
          <w:p>
            <w:pPr>
              <w:pStyle w:val="Compact"/>
              <w:jc w:val="left"/>
            </w:pPr>
            <w:r>
              <w:t xml:space="preserve">3</w:t>
            </w:r>
          </w:p>
        </w:tc>
        <w:tc>
          <w:p>
            <w:pPr>
              <w:pStyle w:val="Compact"/>
              <w:jc w:val="left"/>
            </w:pPr>
            <w:r>
              <w:t xml:space="preserve">Track impacts not protected by current</w:t>
            </w:r>
            <w:r>
              <w:t xml:space="preserve"> </w:t>
            </w:r>
            <w:r>
              <w:t xml:space="preserve">‘</w:t>
            </w:r>
            <w:r>
              <w:t xml:space="preserve">make good</w:t>
            </w:r>
            <w:r>
              <w:t xml:space="preserve">’</w:t>
            </w:r>
            <w:r>
              <w:t xml:space="preserve"> </w:t>
            </w:r>
            <w:r>
              <w:t xml:space="preserve">mechanisms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track stop operations orders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env. impact detection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re-mediation actions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make-good action/compensation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links to scientific references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produced and consumed water</w:t>
            </w:r>
          </w:p>
        </w:tc>
        <w:tc>
          <w:p>
            <w:pPr>
              <w:pStyle w:val="Compact"/>
              <w:jc w:val="left"/>
            </w:pPr>
            <w:r>
              <w:rPr>
                <w:rStyle w:val="VerbatimChar"/>
              </w:rPr>
              <w:t xml:space="preserve">schema: timeseries</w:t>
            </w:r>
          </w:p>
        </w:tc>
      </w:tr>
      <w:tr>
        <w:tc>
          <w:p>
            <w:pPr>
              <w:pStyle w:val="Compact"/>
              <w:jc w:val="left"/>
            </w:pPr>
            <w:r>
              <w:t xml:space="preserve">3</w:t>
            </w:r>
          </w:p>
        </w:tc>
        <w:tc>
          <w:p>
            <w:pPr>
              <w:pStyle w:val="Compact"/>
              <w:jc w:val="left"/>
            </w:pPr>
            <w:r>
              <w:t xml:space="preserve">Able to store defined trigger thresholds used to initiate a make-good</w:t>
            </w:r>
          </w:p>
        </w:tc>
        <w:tc>
          <w:p>
            <w:pPr>
              <w:pStyle w:val="Compact"/>
              <w:jc w:val="left"/>
            </w:pPr>
            <w:r>
              <w:rPr>
                <w:rStyle w:val="VerbatimChar"/>
              </w:rPr>
              <w:t xml:space="preserve">schema: site</w:t>
            </w:r>
          </w:p>
        </w:tc>
      </w:tr>
    </w:tbl>
    <w:p>
      <w:pPr>
        <w:pStyle w:val="Heading2"/>
      </w:pPr>
      <w:bookmarkStart w:id="38" w:name="compliance"/>
      <w:bookmarkEnd w:id="38"/>
      <w:r>
        <w:t xml:space="preserve">Compliance</w:t>
      </w:r>
    </w:p>
    <w:p>
      <w:r>
        <w:t xml:space="preserve">Campin provides a gap analysis of the Queensland legal framework and regulatory rules applied to the control of hydraulic fracturing across multiple jurisdictions</w:t>
      </w:r>
      <w:r>
        <w:t xml:space="preserve"> </w:t>
      </w:r>
      <w:r>
        <w:t xml:space="preserve">(Campin 2015, table 11)</w:t>
      </w:r>
      <w:r>
        <w:t xml:space="preserve">. Campin notes that the acceptability of risk control measures are defined by the populace, with the weighting of risks and control measures informed by data analysis and an endorsed product protocol.</w:t>
      </w:r>
    </w:p>
    <w:p>
      <w:r>
        <w:t xml:space="preserve">In the Healthy Headwaters report Act 5, several topics were not included in the assessment of risk, specifically Baseline Groundwater Quality</w:t>
      </w:r>
      <w:r>
        <w:t xml:space="preserve"> </w:t>
      </w:r>
      <w:r>
        <w:t xml:space="preserve">(Beckers, Cook, and Butcher 2013, 6.1.3.1)</w:t>
      </w:r>
      <w:r>
        <w:t xml:space="preserve">. Baseline Assessments and Bore Assessments are an on-going compliance requirement for the CSG companies which have provided significant technical and cost challenges</w:t>
      </w:r>
      <w:r>
        <w:t xml:space="preserve"> </w:t>
      </w:r>
      <w:r>
        <w:t xml:space="preserve">(D. of E. H.</w:t>
      </w:r>
      <w:r>
        <w:t xml:space="preserve"> </w:t>
      </w:r>
      <w:r>
        <w:t xml:space="preserve">and</w:t>
      </w:r>
      <w:r>
        <w:t xml:space="preserve"> </w:t>
      </w:r>
      <w:r>
        <w:t xml:space="preserve">P. EHP 2010b)</w:t>
      </w:r>
      <w:r>
        <w:t xml:space="preserve">. Campin calls these the</w:t>
      </w:r>
      <w:r>
        <w:t xml:space="preserve"> </w:t>
      </w:r>
      <w:r>
        <w:t xml:space="preserve">“</w:t>
      </w:r>
      <w:r>
        <w:t xml:space="preserve">post-event sampling protocol</w:t>
      </w:r>
      <w:r>
        <w:t xml:space="preserve">”</w:t>
      </w:r>
      <w:r>
        <w:t xml:space="preserve"> </w:t>
      </w:r>
      <w:r>
        <w:t xml:space="preserve">(Campin 2015, 25)</w:t>
      </w:r>
      <w:r>
        <w:t xml:space="preserve">. The requirements for the Baseline Assessments are defined in</w:t>
      </w:r>
      <w:r>
        <w:t xml:space="preserve"> </w:t>
      </w:r>
      <w:r>
        <w:t xml:space="preserve">(D. of E. H.</w:t>
      </w:r>
      <w:r>
        <w:t xml:space="preserve"> </w:t>
      </w:r>
      <w:r>
        <w:t xml:space="preserve">and</w:t>
      </w:r>
      <w:r>
        <w:t xml:space="preserve"> </w:t>
      </w:r>
      <w:r>
        <w:t xml:space="preserve">P. EHP 2010a)</w:t>
      </w:r>
      <w:r>
        <w:t xml:space="preserve"> </w:t>
      </w:r>
      <w:r>
        <w:t xml:space="preserve">and typically include data such as water quality or water level, or might involve pump testing, on-going bore assessments relevant to drinking-water criteria and aquatic ecosystem triggers or SLO for example</w:t>
      </w:r>
      <w:r>
        <w:t xml:space="preserve"> </w:t>
      </w:r>
      <w:r>
        <w:t xml:space="preserve">(Campin 2015, 28)</w:t>
      </w:r>
      <w:r>
        <w:t xml:space="preserve">.</w:t>
      </w:r>
    </w:p>
    <w:p>
      <w:pPr>
        <w:pStyle w:val="Heading3"/>
      </w:pPr>
      <w:bookmarkStart w:id="39" w:name="requirements---compliance"/>
      <w:bookmarkEnd w:id="39"/>
      <w:r>
        <w:t xml:space="preserve">Requirements - Compliance</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post-event sampling protocol data</w:t>
            </w:r>
          </w:p>
        </w:tc>
        <w:tc>
          <w:p>
            <w:pPr>
              <w:pStyle w:val="Compact"/>
              <w:jc w:val="left"/>
            </w:pPr>
            <w:r>
              <w:rPr>
                <w:rStyle w:val="VerbatimChar"/>
              </w:rPr>
              <w:t xml:space="preserve">schema: site &amp;&amp; results</w:t>
            </w:r>
          </w:p>
        </w:tc>
      </w:tr>
      <w:tr>
        <w:tc>
          <w:p>
            <w:pPr>
              <w:pStyle w:val="Compact"/>
              <w:jc w:val="left"/>
            </w:pPr>
            <w:r>
              <w:t xml:space="preserve">3</w:t>
            </w:r>
          </w:p>
        </w:tc>
        <w:tc>
          <w:p>
            <w:pPr>
              <w:pStyle w:val="Compact"/>
              <w:jc w:val="left"/>
            </w:pPr>
            <w:r>
              <w:t xml:space="preserve">Able to store trigger thresholds used to initiate a make-good</w:t>
            </w:r>
          </w:p>
        </w:tc>
        <w:tc>
          <w:p>
            <w:pPr>
              <w:pStyle w:val="Compact"/>
              <w:jc w:val="left"/>
            </w:pPr>
            <w:r>
              <w:rPr>
                <w:rStyle w:val="VerbatimChar"/>
              </w:rPr>
              <w:t xml:space="preserve">schema: site &amp;&amp; samples</w:t>
            </w:r>
          </w:p>
        </w:tc>
      </w:tr>
      <w:tr>
        <w:tc>
          <w:p>
            <w:pPr>
              <w:pStyle w:val="Compact"/>
              <w:jc w:val="left"/>
            </w:pPr>
            <w:r>
              <w:t xml:space="preserve">3</w:t>
            </w:r>
          </w:p>
        </w:tc>
        <w:tc>
          <w:p>
            <w:pPr>
              <w:pStyle w:val="Compact"/>
              <w:jc w:val="left"/>
            </w:pPr>
            <w:r>
              <w:t xml:space="preserve">Able to store make-good agreements</w:t>
            </w:r>
          </w:p>
        </w:tc>
        <w:tc>
          <w:p>
            <w:pPr>
              <w:pStyle w:val="Compact"/>
              <w:jc w:val="left"/>
            </w:pPr>
            <w:r>
              <w:rPr>
                <w:rStyle w:val="VerbatimChar"/>
              </w:rPr>
              <w:t xml:space="preserve">schema: site &amp;&amp; impacts</w:t>
            </w:r>
          </w:p>
        </w:tc>
      </w:tr>
      <w:tr>
        <w:tc>
          <w:p>
            <w:pPr>
              <w:pStyle w:val="Compact"/>
              <w:jc w:val="left"/>
            </w:pPr>
            <w:r>
              <w:t xml:space="preserve">3</w:t>
            </w:r>
          </w:p>
        </w:tc>
        <w:tc>
          <w:p>
            <w:pPr>
              <w:pStyle w:val="Compact"/>
              <w:jc w:val="left"/>
            </w:pPr>
            <w:r>
              <w:t xml:space="preserve">Able to store and track approvals</w:t>
            </w:r>
          </w:p>
        </w:tc>
        <w:tc>
          <w:p>
            <w:pPr>
              <w:pStyle w:val="Compact"/>
              <w:jc w:val="left"/>
            </w:pPr>
            <w:r>
              <w:rPr>
                <w:rStyle w:val="VerbatimChar"/>
              </w:rPr>
              <w:t xml:space="preserve">schema: site &amp;&amp; approvals</w:t>
            </w:r>
          </w:p>
        </w:tc>
      </w:tr>
      <w:tr>
        <w:tc>
          <w:p>
            <w:pPr>
              <w:pStyle w:val="Compact"/>
              <w:jc w:val="left"/>
            </w:pPr>
            <w:r>
              <w:t xml:space="preserve">3</w:t>
            </w:r>
          </w:p>
        </w:tc>
        <w:tc>
          <w:p>
            <w:pPr>
              <w:pStyle w:val="Compact"/>
              <w:jc w:val="left"/>
            </w:pPr>
            <w:r>
              <w:t xml:space="preserve">Able to store and track chemical samples</w:t>
            </w:r>
          </w:p>
        </w:tc>
        <w:tc>
          <w:p>
            <w:pPr>
              <w:pStyle w:val="Compact"/>
              <w:jc w:val="left"/>
            </w:pPr>
            <w:r>
              <w:rPr>
                <w:rStyle w:val="VerbatimChar"/>
              </w:rPr>
              <w:t xml:space="preserve">schema: samples</w:t>
            </w:r>
          </w:p>
        </w:tc>
      </w:tr>
      <w:tr>
        <w:tc>
          <w:p>
            <w:pPr>
              <w:pStyle w:val="Compact"/>
              <w:jc w:val="left"/>
            </w:pPr>
            <w:r>
              <w:t xml:space="preserve">3</w:t>
            </w:r>
          </w:p>
        </w:tc>
        <w:tc>
          <w:p>
            <w:pPr>
              <w:pStyle w:val="Compact"/>
              <w:jc w:val="left"/>
            </w:pPr>
            <w:r>
              <w:t xml:space="preserve">Able to store and track risk control measures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weight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endorsed product protocol and tests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analyse risk history</w:t>
            </w:r>
          </w:p>
        </w:tc>
        <w:tc>
          <w:p>
            <w:pPr>
              <w:pStyle w:val="Compact"/>
              <w:jc w:val="left"/>
            </w:pPr>
            <w:r>
              <w:rPr>
                <w:rStyle w:val="VerbatimChar"/>
              </w:rPr>
              <w:t xml:space="preserve">schema: risk</w:t>
            </w:r>
            <w:r>
              <w:t xml:space="preserve"> </w:t>
            </w:r>
            <w:r>
              <w:t xml:space="preserve">&amp;&amp; BigData analytics</w:t>
            </w:r>
          </w:p>
        </w:tc>
      </w:tr>
      <w:tr>
        <w:tc>
          <w:p>
            <w:pPr>
              <w:pStyle w:val="Compact"/>
              <w:jc w:val="left"/>
            </w:pPr>
            <w:r>
              <w:t xml:space="preserve">3</w:t>
            </w:r>
          </w:p>
        </w:tc>
        <w:tc>
          <w:p>
            <w:pPr>
              <w:pStyle w:val="Compact"/>
              <w:jc w:val="left"/>
            </w:pPr>
            <w:r>
              <w:t xml:space="preserve">Stakeholders able to rank acceptability of risk control measures</w:t>
            </w:r>
          </w:p>
        </w:tc>
        <w:tc>
          <w:p>
            <w:pPr>
              <w:pStyle w:val="Compact"/>
              <w:jc w:val="left"/>
            </w:pPr>
            <w:r>
              <w:rPr>
                <w:rStyle w:val="VerbatimChar"/>
              </w:rPr>
              <w:t xml:space="preserve">schema: risk</w:t>
            </w:r>
          </w:p>
        </w:tc>
      </w:tr>
    </w:tbl>
    <w:p>
      <w:pPr>
        <w:pStyle w:val="Heading1"/>
      </w:pPr>
      <w:bookmarkStart w:id="40" w:name="generating-requirements-for-global-risk-governance"/>
      <w:bookmarkEnd w:id="40"/>
      <w:r>
        <w:t xml:space="preserve">Generating Requirements for Global Risk Governance</w:t>
      </w:r>
    </w:p>
    <w:p>
      <w:r>
        <w:t xml:space="preserve">As eluded to in the introduction above, there are many potential entry points into the discussion of risk. Since this review is concerned with risk governance, but is conducted within Australia, a launching point will The Australian Government Risk Assessment and Management (AGRAM) handbook</w:t>
      </w:r>
      <w:r>
        <w:t xml:space="preserve"> </w:t>
      </w:r>
      <w:r>
        <w:t xml:space="preserve">(Government 2008a)</w:t>
      </w:r>
      <w:r>
        <w:t xml:space="preserve">. However the global aspect of risk governance will also be addressed.</w:t>
      </w:r>
    </w:p>
    <w:p>
      <w:r>
        <w:t xml:space="preserve">The handbook was created with the aim to apply the AS/NZS 4360:2004 Risk Management Standard</w:t>
      </w:r>
      <w:r>
        <w:rPr>
          <w:rStyle w:val="FootnoteRef"/>
        </w:rPr>
        <w:footnoteReference w:id="41"/>
      </w:r>
      <w:r>
        <w:t xml:space="preserve"> </w:t>
      </w:r>
      <w:r>
        <w:t xml:space="preserve">to the context of mining. Whilst Leitch’s subsequent critique</w:t>
      </w:r>
      <w:r>
        <w:t xml:space="preserve"> </w:t>
      </w:r>
      <w:r>
        <w:t xml:space="preserve">(Leitch 2010)</w:t>
      </w:r>
      <w:r>
        <w:t xml:space="preserve"> </w:t>
      </w:r>
      <w:r>
        <w:t xml:space="preserve">of this standard questioned the effectiveness of following the standard itself</w:t>
      </w:r>
      <w:r>
        <w:rPr>
          <w:rStyle w:val="FootnoteRef"/>
        </w:rPr>
        <w:footnoteReference w:id="42"/>
      </w:r>
      <w:r>
        <w:t xml:space="preserve">, the AGRAM handbook follows the generally accepted definition of risk (</w:t>
      </w:r>
      <m:oMath>
        <m:bar>
          <m:barPr>
            <m:pos m:val="top"/>
          </m:barPr>
          <m:e>
            <m:r>
              <m:rPr>
                <m:sty m:val="i"/>
              </m:rPr>
              <m:t>R</m:t>
            </m:r>
          </m:e>
        </m:bar>
      </m:oMath>
      <w:r>
        <w:t xml:space="preserve">), as a combination of Consequence (</w:t>
      </w:r>
      <m:oMath>
        <m:r>
          <m:rPr>
            <m:sty m:val="i"/>
          </m:rPr>
          <m:t>C</m:t>
        </m:r>
      </m:oMath>
      <w:r>
        <w:t xml:space="preserve">) and the Probability of some event X (</w:t>
      </w:r>
      <m:oMath>
        <m:r>
          <m:rPr>
            <m:sty m:val="i"/>
          </m:rPr>
          <m:t>P</m:t>
        </m:r>
        <m:r>
          <m:rPr>
            <m:sty m:val="p"/>
          </m:rPr>
          <m:t>(</m:t>
        </m:r>
        <m:r>
          <m:rPr>
            <m:sty m:val="i"/>
          </m:rPr>
          <m:t>X</m:t>
        </m:r>
        <m:r>
          <m:rPr>
            <m:sty m:val="p"/>
          </m:rPr>
          <m:t>)</m:t>
        </m:r>
      </m:oMath>
      <w:r>
        <w:t xml:space="preserve">)</w:t>
      </w:r>
      <w:r>
        <w:t xml:space="preserve"> </w:t>
      </w:r>
      <w:r>
        <w:t xml:space="preserve">(Government 2008a, 4; Ferguson et al. 1998; QWC 2012, p.Apx-92)</w:t>
      </w:r>
      <w:r>
        <w:t xml:space="preserve">, expressed through the formula:</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P</m:t>
                </m:r>
                <m:r>
                  <m:rPr>
                    <m:sty m:val="p"/>
                  </m:rPr>
                  <m:t>(</m:t>
                </m:r>
                <m:r>
                  <m:rPr>
                    <m:sty m:val="i"/>
                  </m:rPr>
                  <m:t>X</m:t>
                </m:r>
                <m:r>
                  <m:rPr>
                    <m:sty m:val="p"/>
                  </m:rPr>
                  <m:t>)</m:t>
                </m:r>
                <m:r>
                  <m:rPr>
                    <m:sty m:val="p"/>
                  </m:rPr>
                  <m:t>•</m:t>
                </m:r>
                <m:r>
                  <m:rPr>
                    <m:sty m:val="i"/>
                  </m:rPr>
                  <m:t>C</m:t>
                </m:r>
              </m:e>
            </m:mr>
          </m:m>
          <m:r>
            <m:rPr>
              <m:sty m:val="p"/>
            </m:rPr>
            <m:t>  </m:t>
          </m:r>
          <m:r>
            <m:rPr>
              <m:sty m:val="p"/>
            </m:rPr>
            <m:t>(</m:t>
          </m:r>
          <m:r>
            <m:rPr>
              <m:sty m:val="p"/>
            </m:rPr>
            <m:t>1</m:t>
          </m:r>
          <m:r>
            <m:rPr>
              <m:sty m:val="p"/>
            </m:rPr>
            <m:t>)</m:t>
          </m:r>
        </m:oMath>
      </m:oMathPara>
    </w:p>
    <w:p>
      <w:r>
        <w:t xml:space="preserve">Hazard, is delineated from risk, such that hazards refer to the inherent properties of a risk agent. Risks, in contrast, describe the potential effects of a hazard and an associated probability of impact occurring</w:t>
      </w:r>
      <w:r>
        <w:t xml:space="preserve"> </w:t>
      </w:r>
      <w:r>
        <w:t xml:space="preserve">(Government 2008a)</w:t>
      </w:r>
      <w:r>
        <w:t xml:space="preserve">. The AGRAM handbook also notes that risk management is a complex mix of multiple views, values, perceptions and qualitative or quantitative approaches, and in this way begins to anticipates concepts used by the IRGC which include cumulative risk and global risk governance</w:t>
      </w:r>
      <w:r>
        <w:t xml:space="preserve"> </w:t>
      </w:r>
      <w:r>
        <w:t xml:space="preserve">(Government 2008a; Aven and Renn 2010; IRGC 2012)</w:t>
      </w:r>
      <w:r>
        <w:t xml:space="preserve">.</w:t>
      </w:r>
    </w:p>
    <w:p>
      <w:pPr>
        <w:pStyle w:val="Heading2"/>
      </w:pPr>
      <w:bookmarkStart w:id="43" w:name="natural-risk-zones---nrz"/>
      <w:bookmarkEnd w:id="43"/>
      <w:r>
        <w:t xml:space="preserve">Natural Risk Zones - NRZ</w:t>
      </w:r>
    </w:p>
    <w:p>
      <w:r>
        <w:t xml:space="preserve">In looking at natural phenomena,</w:t>
      </w:r>
      <w:r>
        <w:t xml:space="preserve"> </w:t>
      </w:r>
      <w:r>
        <w:t xml:space="preserve">(Harrison et al. 2013)</w:t>
      </w:r>
      <w:r>
        <w:t xml:space="preserve"> </w:t>
      </w:r>
      <w:r>
        <w:t xml:space="preserve">introduce the concept of Natural Risk Zones (NRZ). That is, areas, or zones, where natural hazards coincide with areas of value. This might be because they are populated, or have environmental/cultural or economic value.</w:t>
      </w:r>
    </w:p>
    <w:p>
      <w:r>
        <w:t xml:space="preserve">A NRZ is potentially very large and includes many types of hazards. It is depicted in the image below.</w:t>
      </w:r>
    </w:p>
    <w:p>
      <w:r>
        <w:t xml:space="preserve">Natural Risk Zones</w:t>
      </w:r>
      <w:r>
        <w:t xml:space="preserve"> </w:t>
      </w:r>
      <w:r>
        <w:t xml:space="preserve">(Harrison et al. 2013)</w:t>
      </w:r>
    </w:p>
    <w:p>
      <w:pPr>
        <w:pStyle w:val="ImageCaption"/>
      </w:pPr>
      <w:r>
        <w:t xml:space="preserve">Natural Risk Zones</w:t>
      </w:r>
      <w:r>
        <w:t xml:space="preserve"> </w:t>
      </w:r>
      <w:r>
        <w:t xml:space="preserve">(Harrison et al. 2013)</w:t>
      </w:r>
    </w:p>
    <w:p>
      <w:r>
        <w:t xml:space="preserve">Risk in this context is expanded to include Hazard (</w:t>
      </w:r>
      <m:oMath>
        <m:r>
          <m:rPr>
            <m:sty m:val="i"/>
          </m:rPr>
          <m:t>H</m:t>
        </m:r>
      </m:oMath>
      <w:r>
        <w:t xml:space="preserve"> </w:t>
      </w:r>
      <w:r>
        <w:t xml:space="preserve">- a dangerous phenomenon), Exposure (</w:t>
      </w:r>
      <m:oMath>
        <m:r>
          <m:rPr>
            <m:sty m:val="i"/>
          </m:rPr>
          <m:t>E</m:t>
        </m:r>
      </m:oMath>
      <w:r>
        <w:t xml:space="preserve"> </w:t>
      </w:r>
      <w:r>
        <w:t xml:space="preserve">- elements present in hazard zones) and Vulnerability (</w:t>
      </w:r>
      <m:oMath>
        <m:r>
          <m:rPr>
            <m:sty m:val="i"/>
          </m:rPr>
          <m:t>V</m:t>
        </m:r>
      </m:oMath>
      <w:r>
        <w:t xml:space="preserve"> </w:t>
      </w:r>
      <w:r>
        <w:t xml:space="preserve">- characteristics of asset that make it susceptible)</w:t>
      </w:r>
      <w:r>
        <w:t xml:space="preserve"> </w:t>
      </w:r>
      <w:r>
        <w:t xml:space="preserve">(Harrison et al. 2013)</w:t>
      </w:r>
      <w:r>
        <w:rPr>
          <w:rStyle w:val="FootnoteRef"/>
        </w:rPr>
        <w:footnoteReference w:id="44"/>
      </w:r>
      <w:r>
        <w:t xml:space="preserve">. Risk is then defined as:</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H</m:t>
                </m:r>
                <m:r>
                  <m:rPr>
                    <m:sty m:val="p"/>
                  </m:rPr>
                  <m:t>•</m:t>
                </m:r>
                <m:r>
                  <m:rPr>
                    <m:sty m:val="i"/>
                  </m:rPr>
                  <m:t>E</m:t>
                </m:r>
                <m:r>
                  <m:rPr>
                    <m:sty m:val="p"/>
                  </m:rPr>
                  <m:t>•</m:t>
                </m:r>
                <m:r>
                  <m:rPr>
                    <m:sty m:val="i"/>
                  </m:rPr>
                  <m:t>V</m:t>
                </m:r>
              </m:e>
            </m:mr>
          </m:m>
          <m:r>
            <m:rPr>
              <m:sty m:val="p"/>
            </m:rPr>
            <m:t>  </m:t>
          </m:r>
          <m:r>
            <m:rPr>
              <m:sty m:val="p"/>
            </m:rPr>
            <m:t>(</m:t>
          </m:r>
          <m:r>
            <m:rPr>
              <m:sty m:val="p"/>
            </m:rPr>
            <m:t>2</m:t>
          </m:r>
          <m:r>
            <m:rPr>
              <m:sty m:val="p"/>
            </m:rPr>
            <m:t>)</m:t>
          </m:r>
        </m:oMath>
      </m:oMathPara>
    </w:p>
    <w:p>
      <w:r>
        <w:t xml:space="preserve">This is a slightly different use of terms compared to</w:t>
      </w:r>
      <w:r>
        <w:t xml:space="preserve"> </w:t>
      </w:r>
      <w:r>
        <w:t xml:space="preserve">(Howe et al. 2010)</w:t>
      </w:r>
      <w:r>
        <w:t xml:space="preserve">, which uses Effect and Likelihood instead of Hazard and Vulnerability.</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E</m:t>
                </m:r>
                <m:r>
                  <m:rPr>
                    <m:sty m:val="i"/>
                  </m:rPr>
                  <m:t>f</m:t>
                </m:r>
                <m:r>
                  <m:rPr>
                    <m:sty m:val="p"/>
                  </m:rPr>
                  <m:t>•</m:t>
                </m:r>
                <m:r>
                  <m:rPr>
                    <m:sty m:val="i"/>
                  </m:rPr>
                  <m:t>E</m:t>
                </m:r>
                <m:r>
                  <m:rPr>
                    <m:sty m:val="p"/>
                  </m:rPr>
                  <m:t>•</m:t>
                </m:r>
                <m:r>
                  <m:rPr>
                    <m:sty m:val="i"/>
                  </m:rPr>
                  <m:t>L</m:t>
                </m:r>
              </m:e>
            </m:mr>
          </m:m>
          <m:r>
            <m:rPr>
              <m:sty m:val="p"/>
            </m:rPr>
            <m:t>  </m:t>
          </m:r>
          <m:r>
            <m:rPr>
              <m:sty m:val="p"/>
            </m:rPr>
            <m:t>(</m:t>
          </m:r>
          <m:r>
            <m:rPr>
              <m:sty m:val="p"/>
            </m:rPr>
            <m:t>3</m:t>
          </m:r>
          <m:r>
            <m:rPr>
              <m:sty m:val="p"/>
            </m:rPr>
            <m:t>)</m:t>
          </m:r>
        </m:oMath>
      </m:oMathPara>
    </w:p>
    <w:p>
      <w:pPr>
        <w:pStyle w:val="Heading2"/>
      </w:pPr>
      <w:bookmarkStart w:id="45" w:name="risk-in-unconventional-energy"/>
      <w:bookmarkEnd w:id="45"/>
      <w:r>
        <w:t xml:space="preserve">Risk in Unconventional Energy</w:t>
      </w:r>
    </w:p>
    <w:p>
      <w:r>
        <w:t xml:space="preserve">The need for UE to operate in an unconventional resource context has brought focus on the newer concepts of risk governance mentioned above. Control of hydraulic fracturing is an example. It can occur across multiple jurisdictions, where tenements don’t necessarily align with natural hyrdo-environmental boundaries</w:t>
      </w:r>
      <w:r>
        <w:t xml:space="preserve"> </w:t>
      </w:r>
      <w:r>
        <w:t xml:space="preserve">(Campin 2015, table 11)</w:t>
      </w:r>
      <w:r>
        <w:t xml:space="preserve">, and from the socio-cultural perspective, given the contested nation of Unconventional Energy there is a requirement to provide public access to risk information to reduce uncertainties</w:t>
      </w:r>
      <w:r>
        <w:t xml:space="preserve"> </w:t>
      </w:r>
      <w:r>
        <w:t xml:space="preserve">(Goldstein et al. 2013)</w:t>
      </w:r>
      <w:r>
        <w:t xml:space="preserve">.</w:t>
      </w:r>
    </w:p>
    <w:p>
      <w:pPr>
        <w:pStyle w:val="Heading2"/>
      </w:pPr>
      <w:bookmarkStart w:id="46" w:name="key-risks-for-groundwater"/>
      <w:bookmarkEnd w:id="46"/>
      <w:r>
        <w:t xml:space="preserve">Key Risks for Groundwater</w:t>
      </w:r>
    </w:p>
    <w:p>
      <w:r>
        <w:t xml:space="preserve">Key risks identified for CSG that may contribute to the direct or cumulative risk to groundwater resources are: water extraction and de-pressurisation of coal; the potential for fracture propagation; the introduction of fracturing chemicals; poor well construction and issues arising from decommissioning; land subsidence (compaction); gas migration; produced water management; contamination from surface activities; or land use changes due to coal seam gas operations</w:t>
      </w:r>
      <w:r>
        <w:t xml:space="preserve"> </w:t>
      </w:r>
      <w:r>
        <w:t xml:space="preserve">(DNRM 2013)</w:t>
      </w:r>
      <w:r>
        <w:t xml:space="preserve">. As noted in the Australian Government Water Management handbook, production that involves water is not only contained to groundwater, but may have surfacewater and production facility consequences, with water quality variation, oversupply, and effect on source environment of concern</w:t>
      </w:r>
      <w:r>
        <w:t xml:space="preserve"> </w:t>
      </w:r>
      <w:r>
        <w:t xml:space="preserve">(Government 2008b)</w:t>
      </w:r>
    </w:p>
    <w:p>
      <w:pPr>
        <w:pStyle w:val="Heading1"/>
      </w:pPr>
      <w:bookmarkStart w:id="47" w:name="approaches-to-risk-assessment"/>
      <w:bookmarkEnd w:id="47"/>
      <w:r>
        <w:t xml:space="preserve">Approaches to Risk Assessment</w:t>
      </w:r>
    </w:p>
    <w:p>
      <w:r>
        <w:t xml:space="preserve">In the context of Oil and Gas production, Barker et al</w:t>
      </w:r>
      <w:r>
        <w:t xml:space="preserve"> </w:t>
      </w:r>
      <w:r>
        <w:t xml:space="preserve">(Barker, Steele, and Heaton 1998)</w:t>
      </w:r>
      <w:r>
        <w:t xml:space="preserve">, distinguish between two high level risk types: technical and non-technical risks, which can effect ecological systems, surface and groundwater systems, air quality. Technical approaches may employ some type of quantitative Probabilistic Risk Assessment (PRA). In traditional PRA, the selection of the likelihood function may be done by different methods such as Poisson (counts of failures during operation), Bernoulli (counts of failures on system demands), or expert estimate - a best estimate (based on MIL-STD-217) where the lognormal distribution is a common likelihood function</w:t>
      </w:r>
      <w:r>
        <w:t xml:space="preserve"> </w:t>
      </w:r>
      <w:r>
        <w:t xml:space="preserve">(Stamatelatos et al. 2011, 5–11)</w:t>
      </w:r>
      <w:r>
        <w:t xml:space="preserve">.</w:t>
      </w:r>
    </w:p>
    <w:p>
      <w:r>
        <w:t xml:space="preserve">For the purpose of this review, the technical/non-technical distinction is made loosely. It is not the intent to provide a systematic treatment or mapping of how each method may overlap or dovetail into another. The approaches to risk reviewed below are selected with the aim of generating requirements, with no regard to producing a unique consistent, perfect set of requirements. Novel approaches arising out of groundwater studies have therefore been documented below without accounting for their place in the risk analysis landscape.</w:t>
      </w:r>
    </w:p>
    <w:p>
      <w:pPr>
        <w:pStyle w:val="Heading2"/>
      </w:pPr>
      <w:bookmarkStart w:id="48" w:name="technical-risks-probabilistic-risk-assessment---pra"/>
      <w:bookmarkEnd w:id="48"/>
      <w:r>
        <w:t xml:space="preserve">Technical Risks &amp; Probabilistic Risk Assessment - (PRA)</w:t>
      </w:r>
    </w:p>
    <w:p>
      <w:r>
        <w:t xml:space="preserve">Quantitative, PRA methods are the traditional types, and can be very sophisticated and expensive. They are often based on numerical models with physically-based equations and probability distribution of adverse effects</w:t>
      </w:r>
      <w:r>
        <w:t xml:space="preserve"> </w:t>
      </w:r>
      <w:r>
        <w:t xml:space="preserve">(DNRM 2013)</w:t>
      </w:r>
      <w:r>
        <w:t xml:space="preserve">.</w:t>
      </w:r>
    </w:p>
    <w:p>
      <w:r>
        <w:t xml:space="preserve">Returning to the AGRAM handbook, several different types of traditional risk assessment are documented. Technical risk assessment (TRA), such reservoir porosity and permeability which directly impact production. Informal risk assessment (IRA) which is a general identification and communication of hazards and risks in a task by applying a way of thinking, often with no documentation. Job safety and hazard analysis (JSA) is a task-focused identification of hazards and controls culminating in a standard work practice or procedure.</w:t>
      </w:r>
    </w:p>
    <w:p>
      <w:r>
        <w:t xml:space="preserve">Energy barrier analysis (EBA) which determines phases of events and control mechanisms for such. Preliminary hazard analysis/hazard analysis/workplace risk assessment and control (PHA/HAZAN/WRAC) which aims to identify a priority risk issues/events, using qualitative or semi-qualitative risk analysis methods, often to help determine the need for further detailed study. Hazard and operability study (HAZOP/HACCP) are defined as a systematic identification of hazards in process design.</w:t>
      </w:r>
    </w:p>
    <w:p>
      <w:r>
        <w:t xml:space="preserve">Failure modes, effects and criticality analysis (FMECA) which aims to determine component reliability, and the risk of failure. FMEA can include variants known as as Failure Modes Effects and Criticality Analysis (FMECA) and Hazard and Operability (HAZOP). These approaches de-aggregate fundamental elements of a system to identify failure modes, and then study the effects of the failure mode on other components and the system as a whole.</w:t>
      </w:r>
    </w:p>
    <w:p>
      <w:r>
        <w:t xml:space="preserve">Fault tree analysis (FTA), in which a detailed analysis of contributors to a major unwanted event are identified, potentially using quantitative risk analysis methods. In Fault Tree Analysis boolean AND/OR logic is used to map out a fault tree and the interrelation of faults throughout the system. This involves a large scale effort for analysing all faults, and potential faults throughout the different elements of the system as a whole</w:t>
      </w:r>
      <w:r>
        <w:t xml:space="preserve"> </w:t>
      </w:r>
      <w:r>
        <w:t xml:space="preserve">(Government 2008a)</w:t>
      </w:r>
      <w:r>
        <w:t xml:space="preserve">.</w:t>
      </w:r>
      <w:r>
        <w:rPr>
          <w:rStyle w:val="FootnoteRef"/>
        </w:rPr>
        <w:footnoteReference w:id="49"/>
      </w:r>
      <w:r>
        <w:t xml:space="preserve">.]</w:t>
      </w:r>
    </w:p>
    <w:p>
      <w:r>
        <w:t xml:space="preserve">Tartakovsky (2007)</w:t>
      </w:r>
      <w:r>
        <w:t xml:space="preserve"> </w:t>
      </w:r>
      <w:r>
        <w:t xml:space="preserve">also suggested that FTA could be applied to groundwater by relating the occurrence of the system failure to the failures of its constitutive parts (see figure below). Examples being, aquifer contamination, the occurrence of a spill, or the failure of a remediation effort.</w:t>
      </w:r>
    </w:p>
    <w:p>
      <w:r>
        <w:t xml:space="preserve">Fault tree for a possible aquifer contamination.</w:t>
      </w:r>
      <w:r>
        <w:t xml:space="preserve"> </w:t>
      </w:r>
      <w:r>
        <w:t xml:space="preserve">Tartakovsky (2007)</w:t>
      </w:r>
      <w:r>
        <w:t xml:space="preserve">, Fig.1</w:t>
      </w:r>
    </w:p>
    <w:p>
      <w:pPr>
        <w:pStyle w:val="ImageCaption"/>
      </w:pPr>
      <w:r>
        <w:t xml:space="preserve">Fault tree for a possible aquifer contamination.</w:t>
      </w:r>
      <w:r>
        <w:t xml:space="preserve"> </w:t>
      </w:r>
      <w:r>
        <w:t xml:space="preserve">Tartakovsky (2007)</w:t>
      </w:r>
      <w:r>
        <w:t xml:space="preserve">, Fig.1</w:t>
      </w:r>
    </w:p>
    <w:p>
      <w:pPr>
        <w:pStyle w:val="Heading3"/>
      </w:pPr>
      <w:bookmarkStart w:id="50" w:name="requirements---pra"/>
      <w:bookmarkEnd w:id="50"/>
      <w:r>
        <w:t xml:space="preserve">Requirements - PRA</w:t>
      </w:r>
    </w:p>
    <w:p>
      <w:r>
        <w:t xml:space="preserve">There are already software systems that accommodate PRA types of analysis. The problem from a risk governance point of view is how to interface and integrate with such systems. Level 3 requirements might be reduced to the following:</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likelihoods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failure modes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effects &amp; effect between system components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failures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boolean relations of potential faults</w:t>
            </w:r>
          </w:p>
        </w:tc>
        <w:tc>
          <w:p>
            <w:pPr>
              <w:pStyle w:val="Compact"/>
              <w:jc w:val="left"/>
            </w:pPr>
            <w:r>
              <w:rPr>
                <w:rStyle w:val="VerbatimChar"/>
              </w:rPr>
              <w:t xml:space="preserve">schema: risk</w:t>
            </w:r>
          </w:p>
        </w:tc>
      </w:tr>
    </w:tbl>
    <w:p>
      <w:pPr>
        <w:pStyle w:val="Heading1"/>
      </w:pPr>
      <w:bookmarkStart w:id="51" w:name="non-technical-risk---she"/>
      <w:bookmarkEnd w:id="51"/>
      <w:r>
        <w:t xml:space="preserve">Non-technical Risk - SH&amp;E</w:t>
      </w:r>
    </w:p>
    <w:p>
      <w:r>
        <w:t xml:space="preserve">Non-technical risks are broadly defined as safety, health and environmental (SH&amp;E) risks which indirectly impact production, or the ability to produce</w:t>
      </w:r>
      <w:r>
        <w:t xml:space="preserve"> </w:t>
      </w:r>
      <w:r>
        <w:t xml:space="preserve">(Barker, Steele, and Heaton 1998)</w:t>
      </w:r>
      <w:r>
        <w:t xml:space="preserve">. The precautionary principle also falls under this general method with consideration given to the potential impact or consequence, likelihood, and the costs of regulatory action, and the opportunity cost of not proceeding</w:t>
      </w:r>
      <w:r>
        <w:t xml:space="preserve"> </w:t>
      </w:r>
      <w:r>
        <w:t xml:space="preserve">(SCER 2013, 14)</w:t>
      </w:r>
      <w:r>
        <w:t xml:space="preserve">.</w:t>
      </w:r>
    </w:p>
    <w:p>
      <w:pPr>
        <w:pStyle w:val="Heading2"/>
      </w:pPr>
      <w:bookmarkStart w:id="52" w:name="perceived-risk---pr"/>
      <w:bookmarkEnd w:id="52"/>
      <w:r>
        <w:t xml:space="preserve">Perceived Risk - PR</w:t>
      </w:r>
    </w:p>
    <w:p>
      <w:r>
        <w:t xml:space="preserve">For all stakeholders, the notion of risk is not limited to quantitative methods. As</w:t>
      </w:r>
      <w:r>
        <w:t xml:space="preserve"> </w:t>
      </w:r>
      <w:r>
        <w:t xml:space="preserve">Slovic (1987)</w:t>
      </w:r>
      <w:r>
        <w:t xml:space="preserve"> </w:t>
      </w:r>
      <w:r>
        <w:t xml:space="preserve">noted, recently there has also been recognition of the concepts of social risk, and perceived</w:t>
      </w:r>
      <w:r>
        <w:t xml:space="preserve"> </w:t>
      </w:r>
      <w:r>
        <w:t xml:space="preserve">“</w:t>
      </w:r>
      <w:r>
        <w:t xml:space="preserve">riskiness</w:t>
      </w:r>
      <w:r>
        <w:t xml:space="preserve">”</w:t>
      </w:r>
      <w:r>
        <w:t xml:space="preserve"> </w:t>
      </w:r>
      <w:r>
        <w:t xml:space="preserve">which can mean more to a stakeholder than a unidimensional measure of expected fatalities or failures.</w:t>
      </w:r>
    </w:p>
    <w:p>
      <w:r>
        <w:t xml:space="preserve">Perceived riskiness might be more related to a mismatch between expectations and perceptions than the likelihood, or severity of an impact</w:t>
      </w:r>
      <w:r>
        <w:t xml:space="preserve"> </w:t>
      </w:r>
      <w:r>
        <w:t xml:space="preserve">(Ferguson et al. 1998; Williams and Walton 2013; Moffat and Zhang 2014)</w:t>
      </w:r>
      <w:r>
        <w:t xml:space="preserve">. It may operate as a surrogate for concerns that may not have a connection to a quantitative risk assessment, but are related to prior political or personal misgivings</w:t>
      </w:r>
      <w:r>
        <w:t xml:space="preserve"> </w:t>
      </w:r>
      <w:r>
        <w:t xml:space="preserve">(Slovic 1987; Kahan et al. 2013; Renn, Walker, and Bunting 2008)</w:t>
      </w:r>
      <w:r>
        <w:t xml:space="preserve">. Hence, whilst risk might be calculable, risk perception can play a critical factor in influencing any decisions made and the success or failure of an operation or project.</w:t>
      </w:r>
    </w:p>
    <w:p>
      <w:pPr>
        <w:pStyle w:val="Heading3"/>
      </w:pPr>
      <w:bookmarkStart w:id="53" w:name="perceived-riskiness-and-social-license-to-operate---slo"/>
      <w:bookmarkEnd w:id="53"/>
      <w:r>
        <w:t xml:space="preserve">Perceived Riskiness and Social License to Operate - SLO</w:t>
      </w:r>
    </w:p>
    <w:p>
      <w:r>
        <w:t xml:space="preserve">The notion of perceived riskiness has synergies with the concept of Social License to Operate (SLO)</w:t>
      </w:r>
      <w:r>
        <w:t xml:space="preserve"> </w:t>
      </w:r>
      <w:r>
        <w:t xml:space="preserve">(Williams and Walton 2013; Gunningham, Kagan, and Thornton 2004; Moffat and Zhang 2014)</w:t>
      </w:r>
      <w:r>
        <w:t xml:space="preserve">. SLO is the proposition that a society of stakeholders is able to grant or withdraw support for a company and its operations, and this in turn can present a significant risk to both companies, governments and community stakeholders.</w:t>
      </w:r>
    </w:p>
    <w:p>
      <w:r>
        <w:t xml:space="preserve">Research conducted by</w:t>
      </w:r>
      <w:r>
        <w:t xml:space="preserve"> </w:t>
      </w:r>
      <w:r>
        <w:t xml:space="preserve">Siegrist, Connor, and Keller (2012)</w:t>
      </w:r>
      <w:r>
        <w:t xml:space="preserve"> </w:t>
      </w:r>
      <w:r>
        <w:t xml:space="preserve">found a positive relationship between procedural fairness and public acceptance, and this has also been identified as critical to enabling trust</w:t>
      </w:r>
      <w:r>
        <w:t xml:space="preserve"> </w:t>
      </w:r>
      <w:r>
        <w:t xml:space="preserve">(Turner 1991)</w:t>
      </w:r>
      <w:r>
        <w:t xml:space="preserve">. To quantify trust,</w:t>
      </w:r>
      <w:r>
        <w:t xml:space="preserve"> </w:t>
      </w:r>
      <w:r>
        <w:t xml:space="preserve">Moffat and Zhang (2014)</w:t>
      </w:r>
      <w:r>
        <w:t xml:space="preserve"> </w:t>
      </w:r>
      <w:r>
        <w:t xml:space="preserve">identify six key variables: Contact quantity, Contact quality, Procedural fairness, Social infrastructure impact, Trust and Acceptance.</w:t>
      </w:r>
      <w:r>
        <w:rPr>
          <w:rStyle w:val="FootnoteRef"/>
        </w:rPr>
        <w:footnoteReference w:id="54"/>
      </w:r>
      <w:r>
        <w:t xml:space="preserve">.</w:t>
      </w:r>
    </w:p>
    <w:p>
      <w:r>
        <w:t xml:space="preserve">Whilst polls at a local council level can be an effective way of evaluating community sentiment or perceptions towards a development such as CSG</w:t>
      </w:r>
      <w:r>
        <w:t xml:space="preserve"> </w:t>
      </w:r>
      <w:r>
        <w:t xml:space="preserve">(Luke et al. 2013)</w:t>
      </w:r>
      <w:r>
        <w:t xml:space="preserve">, these are typically one-shot mechanisms. Social media today, like facebook and twitter, provide a risk mechanism for assessing social risk</w:t>
      </w:r>
      <w:r>
        <w:t xml:space="preserve"> </w:t>
      </w:r>
      <w:r>
        <w:t xml:space="preserve">(Williamson and Ruming 2015)</w:t>
      </w:r>
      <w:r>
        <w:t xml:space="preserve">, which some consider has become a primary corporate risk</w:t>
      </w:r>
      <w:r>
        <w:t xml:space="preserve"> </w:t>
      </w:r>
      <w:r>
        <w:t xml:space="preserve">(Pekka Aula 2010)</w:t>
      </w:r>
      <w:r>
        <w:t xml:space="preserve">. The dynamic nature of sentiment risk in turn makes it able to be tracked as a time series</w:t>
      </w:r>
      <w:r>
        <w:t xml:space="preserve"> </w:t>
      </w:r>
      <w:r>
        <w:t xml:space="preserve">(O’Connor et al. 2010; Thelwall 2014)</w:t>
      </w:r>
      <w:r>
        <w:t xml:space="preserve">.</w:t>
      </w:r>
    </w:p>
    <w:p>
      <w:pPr>
        <w:pStyle w:val="Heading3"/>
      </w:pPr>
      <w:bookmarkStart w:id="55" w:name="outrage-risk-or-risk-to-reputation---rtr"/>
      <w:bookmarkEnd w:id="55"/>
      <w:r>
        <w:t xml:space="preserve">Outrage Risk, or Risk to Reputation - RtR</w:t>
      </w:r>
    </w:p>
    <w:p>
      <w:r>
        <w:t xml:space="preserve">Related to PR is risk to reputation. In can be related to most of the other risk categories. The AGRAM handbook, suggests that effective risk management can have a positive impact on an operation’s reputation and subsequent sustainability</w:t>
      </w:r>
      <w:r>
        <w:t xml:space="preserve"> </w:t>
      </w:r>
      <w:r>
        <w:t xml:space="preserve">(Government 2008a)</w:t>
      </w:r>
      <w:r>
        <w:t xml:space="preserve">. In this sense is has similarities to SLO.</w:t>
      </w:r>
    </w:p>
    <w:p>
      <w:r>
        <w:t xml:space="preserve">To provide a somewhat quantitative analysis of RtR,</w:t>
      </w:r>
      <w:r>
        <w:t xml:space="preserve"> </w:t>
      </w:r>
      <w:r>
        <w:t xml:space="preserve">Sandman (1987)</w:t>
      </w:r>
      <w:r>
        <w:t xml:space="preserve">, identified a number of</w:t>
      </w:r>
      <w:r>
        <w:t xml:space="preserve"> </w:t>
      </w:r>
      <w:r>
        <w:t xml:space="preserve">‘</w:t>
      </w:r>
      <w:r>
        <w:t xml:space="preserve">outrage factors</w:t>
      </w:r>
      <w:r>
        <w:t xml:space="preserve">’</w:t>
      </w:r>
      <w:r>
        <w:t xml:space="preserve"> </w:t>
      </w:r>
      <w:r>
        <w:t xml:space="preserve">(</w:t>
      </w:r>
      <m:oMath>
        <m:r>
          <m:rPr>
            <m:sty m:val="i"/>
          </m:rPr>
          <m:t>O</m:t>
        </m:r>
      </m:oMath>
      <w:r>
        <w:t xml:space="preserve">) as intrinsic to the notion of risk. In this context risk is then defined as:</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H</m:t>
                </m:r>
                <m:r>
                  <m:rPr>
                    <m:sty m:val="p"/>
                  </m:rPr>
                  <m:t>+</m:t>
                </m:r>
                <m:r>
                  <m:rPr>
                    <m:sty m:val="i"/>
                  </m:rPr>
                  <m:t>O</m:t>
                </m:r>
              </m:e>
            </m:mr>
          </m:m>
          <m:r>
            <m:rPr>
              <m:sty m:val="p"/>
            </m:rPr>
            <m:t>  </m:t>
          </m:r>
          <m:r>
            <m:rPr>
              <m:sty m:val="p"/>
            </m:rPr>
            <m:t>(</m:t>
          </m:r>
          <m:r>
            <m:rPr>
              <m:sty m:val="p"/>
            </m:rPr>
            <m:t>4</m:t>
          </m:r>
          <m:r>
            <m:rPr>
              <m:sty m:val="p"/>
            </m:rPr>
            <m:t>)</m:t>
          </m:r>
        </m:oMath>
      </m:oMathPara>
    </w:p>
    <w:p>
      <w:pPr>
        <w:pStyle w:val="Heading3"/>
      </w:pPr>
      <w:bookmarkStart w:id="56" w:name="requirements---slo-pr"/>
      <w:bookmarkEnd w:id="56"/>
      <w:r>
        <w:t xml:space="preserve">Requirements - SLO &amp; PR</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Able to store and track social risk as time series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perception vs expectation ranking on key variables</w:t>
            </w:r>
            <w:r>
              <w:t xml:space="preserve"> </w:t>
            </w:r>
            <w:r>
              <w:t xml:space="preserve">(Moffat and Zhang 2014, Tbl 1)</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level of trust</w:t>
            </w:r>
            <w:r>
              <w:t xml:space="preserve"> </w:t>
            </w:r>
            <w:r>
              <w:t xml:space="preserve">(Williams and Walton 2013, Tbl 2.1)</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procedural fairness ranking</w:t>
            </w:r>
          </w:p>
        </w:tc>
        <w:tc>
          <w:p>
            <w:pPr>
              <w:pStyle w:val="Compact"/>
              <w:jc w:val="left"/>
            </w:pPr>
            <w:r>
              <w:rPr>
                <w:rStyle w:val="VerbatimChar"/>
              </w:rPr>
              <w:t xml:space="preserve">schema: risk</w:t>
            </w:r>
          </w:p>
        </w:tc>
      </w:tr>
    </w:tbl>
    <w:p>
      <w:pPr>
        <w:pStyle w:val="Heading2"/>
      </w:pPr>
      <w:bookmarkStart w:id="57" w:name="qualitative-risk-assessment---qualra"/>
      <w:bookmarkEnd w:id="57"/>
      <w:r>
        <w:t xml:space="preserve">Qualitative Risk Assessment - QUALRA</w:t>
      </w:r>
    </w:p>
    <w:p>
      <w:r>
        <w:t xml:space="preserve">Qualitative assessments are the most basic types of risk assessment, and are typically based on expert opinion where risk is assigned in relative terms based on the expert’s estimation</w:t>
      </w:r>
      <w:r>
        <w:t xml:space="preserve"> </w:t>
      </w:r>
      <w:r>
        <w:t xml:space="preserve">(Beckers, Cook, and Butcher 2013)</w:t>
      </w:r>
      <w:r>
        <w:t xml:space="preserve">.</w:t>
      </w:r>
      <w:r>
        <w:t xml:space="preserve"> </w:t>
      </w:r>
      <w:r>
        <w:t xml:space="preserve">Baker, Ponniah, and Smith (1998)</w:t>
      </w:r>
      <w:r>
        <w:t xml:space="preserve"> </w:t>
      </w:r>
      <w:r>
        <w:t xml:space="preserve">note that this method of assessment is inclined to be subjective and so suggest that they may lead to inconsistencies and non-repeatable outcomes. Independent validation may therefore be needed to guard against bias</w:t>
      </w:r>
      <w:r>
        <w:t xml:space="preserve"> </w:t>
      </w:r>
      <w:r>
        <w:t xml:space="preserve">(PWC 2008)</w:t>
      </w:r>
      <w:r>
        <w:t xml:space="preserve">.</w:t>
      </w:r>
    </w:p>
    <w:p>
      <w:r>
        <w:t xml:space="preserve">To qualitatively assess a risk, organizations can use a combination of ordinal, interval, and ratio scales, with a resulting risk matrix. Price Waterhouse Coopers</w:t>
      </w:r>
      <w:r>
        <w:t xml:space="preserve"> </w:t>
      </w:r>
      <w:r>
        <w:t xml:space="preserve">(PWC 2008)</w:t>
      </w:r>
      <w:r>
        <w:t xml:space="preserve"> </w:t>
      </w:r>
      <w:r>
        <w:t xml:space="preserve">define these as follows,</w:t>
      </w:r>
    </w:p>
    <w:p>
      <w:pPr>
        <w:pStyle w:val="Compact"/>
        <w:numPr>
          <w:numId w:val="1002"/>
          <w:ilvl w:val="0"/>
        </w:numPr>
      </w:pPr>
      <w:r>
        <w:t xml:space="preserve">Ordinal scales are a rank order of importance between low to high</w:t>
      </w:r>
    </w:p>
    <w:p>
      <w:pPr>
        <w:pStyle w:val="Compact"/>
        <w:numPr>
          <w:numId w:val="1002"/>
          <w:ilvl w:val="0"/>
        </w:numPr>
      </w:pPr>
      <w:r>
        <w:t xml:space="preserve">Interval scales are numerically equal distant, where 1 is the lowest risk and 3 the highest, however 3 is not a 3 times greater risk than 1</w:t>
      </w:r>
    </w:p>
    <w:p>
      <w:pPr>
        <w:pStyle w:val="Compact"/>
        <w:numPr>
          <w:numId w:val="1002"/>
          <w:ilvl w:val="0"/>
        </w:numPr>
      </w:pPr>
      <w:r>
        <w:t xml:space="preserve">Ratio scales are numerically equal distant however they have a</w:t>
      </w:r>
      <w:r>
        <w:t xml:space="preserve"> </w:t>
      </w:r>
      <w:r>
        <w:t xml:space="preserve">“</w:t>
      </w:r>
      <w:r>
        <w:t xml:space="preserve">true zero</w:t>
      </w:r>
      <w:r>
        <w:t xml:space="preserve">”</w:t>
      </w:r>
      <w:r>
        <w:t xml:space="preserve"> </w:t>
      </w:r>
      <w:r>
        <w:t xml:space="preserve">where 3</w:t>
      </w:r>
      <w:r>
        <w:t xml:space="preserve"> </w:t>
      </w:r>
      <w:r>
        <w:rPr>
          <w:i/>
        </w:rPr>
        <w:t xml:space="preserve">IS</w:t>
      </w:r>
      <w:r>
        <w:t xml:space="preserve"> </w:t>
      </w:r>
      <w:r>
        <w:t xml:space="preserve">3 times 1</w:t>
      </w:r>
    </w:p>
    <w:p>
      <w:pPr>
        <w:pStyle w:val="Heading3"/>
      </w:pPr>
      <w:bookmarkStart w:id="58" w:name="requirements---qualra"/>
      <w:bookmarkEnd w:id="58"/>
      <w:r>
        <w:t xml:space="preserve">Requirements - QUALRA</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ordinal, interval and ratio scales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metadata associated with an assessment</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generate risk matrix</w:t>
            </w:r>
          </w:p>
        </w:tc>
        <w:tc>
          <w:p>
            <w:pPr>
              <w:pStyle w:val="Compact"/>
              <w:jc w:val="left"/>
            </w:pPr>
            <w:r>
              <w:t xml:space="preserve">algorithm &amp; UI</w:t>
            </w:r>
          </w:p>
        </w:tc>
      </w:tr>
    </w:tbl>
    <w:p>
      <w:pPr>
        <w:pStyle w:val="Heading2"/>
      </w:pPr>
      <w:bookmarkStart w:id="59" w:name="springs"/>
      <w:bookmarkEnd w:id="59"/>
      <w:r>
        <w:t xml:space="preserve">Springs</w:t>
      </w:r>
    </w:p>
    <w:p>
      <w:r>
        <w:t xml:space="preserve">An example of ordinal-interval qualitative risk analysis is the underground water, spring impact report. It uses a risk level between 1 (low) and 5 (high) for the assessment of springs. These level assignments were based on the estimated likelihood of a reduction in water flow, and the consequence of such.Likelihood was decomposed into magnitude of the predicted impact of groundwater levels, distance between spring and CSG development and the vertical proximity of the spring’s aquifer to coal seam formation. Consequence was decomposed into the conservation ranking, and the distance between the spring and recharge area for the spring</w:t>
      </w:r>
      <w:r>
        <w:rPr>
          <w:rStyle w:val="FootnoteRef"/>
        </w:rPr>
        <w:footnoteReference w:id="60"/>
      </w:r>
      <w:r>
        <w:t xml:space="preserve"> </w:t>
      </w:r>
      <w:r>
        <w:t xml:space="preserve">(QWC 2012)</w:t>
      </w:r>
      <w:r>
        <w:t xml:space="preserve">. The scores for each spring were then plotted in the matrix below to assign the overall risk score.</w:t>
      </w:r>
    </w:p>
    <w:p>
      <w:r>
        <w:t xml:space="preserve">Risk Matrix for Springs</w:t>
      </w:r>
      <w:r>
        <w:t xml:space="preserve"> </w:t>
      </w:r>
      <w:r>
        <w:t xml:space="preserve">(QWC 2012, Apx-93)</w:t>
      </w:r>
    </w:p>
    <w:p>
      <w:pPr>
        <w:pStyle w:val="ImageCaption"/>
      </w:pPr>
      <w:r>
        <w:t xml:space="preserve">Risk Matrix for Springs</w:t>
      </w:r>
      <w:r>
        <w:t xml:space="preserve"> </w:t>
      </w:r>
      <w:r>
        <w:t xml:space="preserve">(QWC 2012, Apx-93)</w:t>
      </w:r>
    </w:p>
    <w:p>
      <w:r>
        <w:t xml:space="preserve">In addition to documenting risks associated with springs, the underground water impact report identified a number of areas that need to be accommodated. Specifically, knowledge gaps around, cultural heritage and fauna assessments, the understanding of connectivity between springs and aquifers, and the ecosystems and species at springs</w:t>
      </w:r>
      <w:r>
        <w:t xml:space="preserve"> </w:t>
      </w:r>
      <w:r>
        <w:t xml:space="preserve">(QWC 2012)</w:t>
      </w:r>
    </w:p>
    <w:p>
      <w:pPr>
        <w:pStyle w:val="Heading3"/>
      </w:pPr>
      <w:bookmarkStart w:id="61" w:name="requirements---springs"/>
      <w:bookmarkEnd w:id="61"/>
      <w:r>
        <w:t xml:space="preserve">Requirements - Springs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acquire &amp; store spring likelihood &amp; consequence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acquire &amp; store cultural heritage at springs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acquire &amp; store flora &amp; fauna (e.g. weeds)</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acquire &amp; store data on spring-aquifer connectivity</w:t>
            </w:r>
          </w:p>
        </w:tc>
        <w:tc>
          <w:p>
            <w:pPr>
              <w:pStyle w:val="Compact"/>
              <w:jc w:val="left"/>
            </w:pPr>
            <w:r>
              <w:rPr>
                <w:rStyle w:val="VerbatimChar"/>
              </w:rPr>
              <w:t xml:space="preserve">schema: site &amp;&amp; aquifer</w:t>
            </w:r>
          </w:p>
        </w:tc>
      </w:tr>
      <w:tr>
        <w:tc>
          <w:p>
            <w:pPr>
              <w:pStyle w:val="Compact"/>
              <w:jc w:val="left"/>
            </w:pPr>
            <w:r>
              <w:t xml:space="preserve">3</w:t>
            </w:r>
          </w:p>
        </w:tc>
        <w:tc>
          <w:p>
            <w:pPr>
              <w:pStyle w:val="Compact"/>
              <w:jc w:val="left"/>
            </w:pPr>
            <w:r>
              <w:t xml:space="preserve">Able to acquire &amp; store data on ecosystems</w:t>
            </w:r>
          </w:p>
        </w:tc>
        <w:tc>
          <w:p>
            <w:pPr>
              <w:pStyle w:val="Compact"/>
              <w:jc w:val="left"/>
            </w:pPr>
            <w:r>
              <w:rPr>
                <w:rStyle w:val="VerbatimChar"/>
              </w:rPr>
              <w:t xml:space="preserve">schema: ecology</w:t>
            </w:r>
          </w:p>
        </w:tc>
      </w:tr>
    </w:tbl>
    <w:p>
      <w:pPr>
        <w:pStyle w:val="Heading2"/>
      </w:pPr>
      <w:bookmarkStart w:id="62" w:name="soils---multi-criteria-analysis-shell-for-spatial-decision-support-mcas-s"/>
      <w:bookmarkEnd w:id="62"/>
      <w:r>
        <w:t xml:space="preserve">Soils - Multi-Criteria Analysis Shell for Spatial Decision Support (MCAS-S)</w:t>
      </w:r>
    </w:p>
    <w:p>
      <w:r>
        <w:t xml:space="preserve">The potential impact of UE production on soil has been recently publicised with estimations of financial consequence, and therefore total risk, up to $6.5 million AUD</w:t>
      </w:r>
      <w:r>
        <w:t xml:space="preserve"> </w:t>
      </w:r>
      <w:r>
        <w:t xml:space="preserve">(McOwan 2015; Solomons and Willacy 2015; ABC 2015; Willacy, Mark 2015)</w:t>
      </w:r>
      <w:r>
        <w:t xml:space="preserve">.</w:t>
      </w:r>
    </w:p>
    <w:p>
      <w:r>
        <w:t xml:space="preserve">In 2013 the Multi-Criteria Analysis Shell for Spatial Decision Support (MCAS-S Development Partnership was formed to develop and support MCAS-S software. In 2014 the Australian Bureau of Agricultural and Resource Economics and Sciences (ABARES) published version 3.1 of the MCAS-S software</w:t>
      </w:r>
      <w:r>
        <w:t xml:space="preserve"> </w:t>
      </w:r>
      <w:r>
        <w:t xml:space="preserve">(ABARES 2014)</w:t>
      </w:r>
      <w:r>
        <w:t xml:space="preserve">. MCAS-S uses ordinal risk scales to help stakeholders make decision around risk trade-offs through both spatial Multi-Criteria Analysis</w:t>
      </w:r>
      <w:r>
        <w:t xml:space="preserve"> </w:t>
      </w:r>
      <w:r>
        <w:t xml:space="preserve">(ABARES 2014, 12)</w:t>
      </w:r>
      <w:r>
        <w:t xml:space="preserve"> </w:t>
      </w:r>
      <w:r>
        <w:t xml:space="preserve">and the Analytical Heirarchy Process (AHP). Combined, these techniques aim to enable users to establish soils at risk by ranking the importance of input layers through pair-wise weightings [p.52].</w:t>
      </w:r>
    </w:p>
    <w:p>
      <w:r>
        <w:t xml:space="preserve">In addition to the above consideration, whilst the MCAS-S includes rainfall in analyses, something not covered in the documentation is the relationships between data-models for soil, UE impacts, and soils laboratory samples. Soil sampling of pits can typically be 3-dimensional, with samples taken at the corners of a rectangular pit</w:t>
      </w:r>
      <w:r>
        <w:t xml:space="preserve"> </w:t>
      </w:r>
      <w:r>
        <w:t xml:space="preserve">(Pattison, Moody, and Bagshaw 2010)</w:t>
      </w:r>
      <w:r>
        <w:t xml:space="preserve">. Traditional surfacewater and groundwater sampling systems can assume that there is a depth, and one-lat-long point per sample at site. However soils will typically have several lat-longs and elevations per sample at a site. This requirement would see the legacy water samples data model enhance with 3D location components per sample.</w:t>
      </w:r>
    </w:p>
    <w:p>
      <w:pPr>
        <w:pStyle w:val="Heading3"/>
      </w:pPr>
      <w:bookmarkStart w:id="63" w:name="requirements---soils"/>
      <w:bookmarkEnd w:id="63"/>
      <w:r>
        <w:t xml:space="preserve">Requirements - Soils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acquire &amp; store 3D soils data</w:t>
            </w:r>
          </w:p>
        </w:tc>
        <w:tc>
          <w:p>
            <w:pPr>
              <w:pStyle w:val="Compact"/>
              <w:jc w:val="left"/>
            </w:pPr>
            <w:r>
              <w:rPr>
                <w:rStyle w:val="VerbatimChar"/>
              </w:rPr>
              <w:t xml:space="preserve">schema: site &amp;&amp; soils &amp;&amp; samples</w:t>
            </w:r>
          </w:p>
        </w:tc>
      </w:tr>
      <w:tr>
        <w:tc>
          <w:p>
            <w:pPr>
              <w:pStyle w:val="Compact"/>
              <w:jc w:val="left"/>
            </w:pPr>
            <w:r>
              <w:t xml:space="preserve">3</w:t>
            </w:r>
          </w:p>
        </w:tc>
        <w:tc>
          <w:p>
            <w:pPr>
              <w:pStyle w:val="Compact"/>
              <w:jc w:val="left"/>
            </w:pPr>
            <w:r>
              <w:t xml:space="preserve">Able to acquire &amp; store MCAS-S &amp; AHP data</w:t>
            </w:r>
          </w:p>
        </w:tc>
        <w:tc>
          <w:p>
            <w:pPr>
              <w:pStyle w:val="Compact"/>
              <w:jc w:val="left"/>
            </w:pPr>
            <w:r>
              <w:rPr>
                <w:rStyle w:val="VerbatimChar"/>
              </w:rPr>
              <w:t xml:space="preserve">schema: soils</w:t>
            </w:r>
          </w:p>
        </w:tc>
      </w:tr>
      <w:tr>
        <w:tc>
          <w:p>
            <w:pPr>
              <w:pStyle w:val="Compact"/>
              <w:jc w:val="left"/>
            </w:pPr>
            <w:r>
              <w:t xml:space="preserve">3</w:t>
            </w:r>
          </w:p>
        </w:tc>
        <w:tc>
          <w:p>
            <w:pPr>
              <w:pStyle w:val="Compact"/>
              <w:jc w:val="left"/>
            </w:pPr>
            <w:r>
              <w:t xml:space="preserve">Able to acquire &amp; store impact consequence data</w:t>
            </w:r>
          </w:p>
        </w:tc>
        <w:tc>
          <w:p>
            <w:pPr>
              <w:pStyle w:val="Compact"/>
              <w:jc w:val="left"/>
            </w:pPr>
            <w:r>
              <w:rPr>
                <w:rStyle w:val="VerbatimChar"/>
              </w:rPr>
              <w:t xml:space="preserve">schema: risk</w:t>
            </w:r>
          </w:p>
        </w:tc>
      </w:tr>
    </w:tbl>
    <w:p>
      <w:pPr>
        <w:pStyle w:val="Heading2"/>
      </w:pPr>
      <w:bookmarkStart w:id="64" w:name="groundwater-model-and-multi-criteria-analysis-of-risk"/>
      <w:bookmarkEnd w:id="64"/>
      <w:r>
        <w:t xml:space="preserve">Groundwater Model and Multi-Criteria Analysis of Risk</w:t>
      </w:r>
    </w:p>
    <w:p>
      <w:r>
        <w:t xml:space="preserve">Notwithstanding Maathuis’s</w:t>
      </w:r>
      <w:r>
        <w:t xml:space="preserve"> </w:t>
      </w:r>
      <w:r>
        <w:t xml:space="preserve">(Maathuis and Simpson 2006, 17)</w:t>
      </w:r>
      <w:r>
        <w:t xml:space="preserve"> </w:t>
      </w:r>
      <w:r>
        <w:t xml:space="preserve">suggestion that there is no universally accepted vulnerability mapping method, Activity-5 of the Healthy Headwaters report notes several methods which attempts to provide an approach to quantitative inputs into the vulnerability component of risk assessments for the purposes of evaluating impacts from CSG</w:t>
      </w:r>
      <w:r>
        <w:t xml:space="preserve"> </w:t>
      </w:r>
      <w:r>
        <w:t xml:space="preserve">(DNRM 2013, 154–9)</w:t>
      </w:r>
      <w:r>
        <w:t xml:space="preserve">.</w:t>
      </w:r>
    </w:p>
    <w:p>
      <w:r>
        <w:t xml:space="preserve">The report settled on a hybrid method which combined expert assessment along with numeric groundwater modelling and quantitative methods known as MCA. This method used Weights (</w:t>
      </w:r>
      <m:oMath>
        <m:r>
          <m:rPr>
            <m:sty m:val="i"/>
          </m:rPr>
          <m:t>W</m:t>
        </m:r>
        <m:r>
          <m:rPr>
            <m:sty m:val="i"/>
          </m:rPr>
          <m:t>t</m:t>
        </m:r>
      </m:oMath>
      <w:r>
        <w:t xml:space="preserve">) to value perceived relative importance, with the weighting done by a panel of experts. Vulnerability and consequence Ranks (</w:t>
      </w:r>
      <m:oMath>
        <m:r>
          <m:rPr>
            <m:sty m:val="i"/>
          </m:rPr>
          <m:t>R</m:t>
        </m:r>
        <m:r>
          <m:rPr>
            <m:sty m:val="i"/>
          </m:rPr>
          <m:t>n</m:t>
        </m:r>
        <m:r>
          <m:rPr>
            <m:sty m:val="i"/>
          </m:rPr>
          <m:t>k</m:t>
        </m:r>
      </m:oMath>
      <w:r>
        <w:t xml:space="preserve">) are based on properties of the attributes (</w:t>
      </w:r>
      <m:oMath>
        <m:r>
          <m:rPr>
            <m:sty m:val="i"/>
          </m:rPr>
          <m:t>a</m:t>
        </m:r>
      </m:oMath>
      <w:r>
        <w:t xml:space="preserve">) for example the magnitude of draw-down, and can vary spatially (</w:t>
      </w:r>
      <m:oMath>
        <m:r>
          <m:rPr>
            <m:sty m:val="i"/>
          </m:rPr>
          <m:t>x</m:t>
        </m:r>
        <m:r>
          <m:rPr>
            <m:sty m:val="i"/>
          </m:rPr>
          <m:t>,</m:t>
        </m:r>
        <m:r>
          <m:rPr>
            <m:sty m:val="i"/>
          </m:rPr>
          <m:t>y</m:t>
        </m:r>
        <m:r>
          <m:rPr>
            <m:sty m:val="i"/>
          </m:rPr>
          <m:t>,</m:t>
        </m:r>
        <m:r>
          <m:rPr>
            <m:sty m:val="i"/>
          </m:rPr>
          <m:t>z</m:t>
        </m:r>
      </m:oMath>
      <w:r>
        <w:t xml:space="preserve">) where:</w:t>
      </w:r>
    </w:p>
    <w:p>
      <m:oMathPara>
        <m:oMathParaPr>
          <m:jc m:val="center"/>
        </m:oMathParaPr>
        <m:oMath>
          <m:m>
            <m:mPr>
              <m:baseJc m:val="center"/>
              <m:plcHide m:val="on"/>
              <m:mcs>
                <m:mc>
                  <m:mcPr>
                    <m:mcJc m:val="right"/>
                  </m:mcPr>
                </m:mc>
              </m:mcs>
            </m:mPr>
            <m:mr>
              <m:e>
                <m:r>
                  <m:rPr>
                    <m:sty m:val="i"/>
                  </m:rPr>
                  <m:t>V</m:t>
                </m:r>
                <m:r>
                  <m:rPr>
                    <m:sty m:val="i"/>
                  </m:rPr>
                  <m:t>u</m:t>
                </m:r>
                <m:r>
                  <m:rPr>
                    <m:sty m:val="i"/>
                  </m:rPr>
                  <m:t>l</m:t>
                </m:r>
                <m:r>
                  <m:rPr>
                    <m:sty m:val="i"/>
                  </m:rPr>
                  <m:t>n</m:t>
                </m:r>
                <m:r>
                  <m:rPr>
                    <m:sty m:val="i"/>
                  </m:rPr>
                  <m:t>e</m:t>
                </m:r>
                <m:r>
                  <m:rPr>
                    <m:sty m:val="i"/>
                  </m:rPr>
                  <m:t>r</m:t>
                </m:r>
                <m:r>
                  <m:rPr>
                    <m:sty m:val="i"/>
                  </m:rPr>
                  <m:t>a</m:t>
                </m:r>
                <m:r>
                  <m:rPr>
                    <m:sty m:val="i"/>
                  </m:rPr>
                  <m:t>b</m:t>
                </m:r>
                <m:r>
                  <m:rPr>
                    <m:sty m:val="i"/>
                  </m:rPr>
                  <m:t>i</m:t>
                </m:r>
                <m:r>
                  <m:rPr>
                    <m:sty m:val="i"/>
                  </m:rPr>
                  <m:t>l</m:t>
                </m:r>
                <m:r>
                  <m:rPr>
                    <m:sty m:val="i"/>
                  </m:rPr>
                  <m:t>i</m:t>
                </m:r>
                <m:r>
                  <m:rPr>
                    <m:sty m:val="i"/>
                  </m:rPr>
                  <m:t>t</m:t>
                </m:r>
                <m:r>
                  <m:rPr>
                    <m:sty m:val="i"/>
                  </m:rPr>
                  <m:t>y</m:t>
                </m:r>
                <m:r>
                  <m:rPr>
                    <m:sty m:val="p"/>
                  </m:rPr>
                  <m:t>=</m:t>
                </m:r>
                <m:nary>
                  <m:naryPr>
                    <m:chr m:val="∑"/>
                    <m:limLoc m:val="undOvr"/>
                    <m:supHide m:val="on"/>
                    <m:supHide m:val="on"/>
                  </m:naryPr>
                  <m:e>
                    <m:r>
                      <m:rPr>
                        <m:sty m:val="i"/>
                      </m:rPr>
                      <m:t>V</m:t>
                    </m:r>
                  </m:e>
                  <m:sub/>
                  <m:sup>
                    <m:r>
                      <m:rPr>
                        <m:sty m:val="p"/>
                      </m:rPr>
                      <m:t>a</m:t>
                    </m:r>
                  </m:sup>
                </m:nary>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r>
                  <m:rPr>
                    <m:sty m:val="p"/>
                  </m:rPr>
                  <m:t>=</m:t>
                </m:r>
                <m:nary>
                  <m:naryPr>
                    <m:chr m:val="∑"/>
                    <m:limLoc m:val="undOvr"/>
                    <m:supHide m:val="on"/>
                    <m:supHide m:val="on"/>
                  </m:naryPr>
                  <m:e>
                    <m:r>
                      <m:rPr>
                        <m:sty m:val="i"/>
                      </m:rPr>
                      <m:t>W</m:t>
                    </m:r>
                  </m:e>
                  <m:sub/>
                  <m:sup>
                    <m:r>
                      <m:rPr>
                        <m:sty m:val="p"/>
                      </m:rPr>
                      <m:t>a</m:t>
                    </m:r>
                  </m:sup>
                </m:nary>
                <m:sSub>
                  <m:e>
                    <m:r>
                      <m:rPr>
                        <m:sty m:val="i"/>
                      </m:rPr>
                      <m:t>t</m:t>
                    </m:r>
                  </m:e>
                  <m:sub>
                    <m:r>
                      <m:rPr>
                        <m:sty m:val="p"/>
                      </m:rPr>
                      <m:t>a</m:t>
                    </m:r>
                  </m:sub>
                </m:sSub>
                <m:r>
                  <m:rPr>
                    <m:sty m:val="p"/>
                  </m:rPr>
                  <m:t>•</m:t>
                </m:r>
                <m:r>
                  <m:rPr>
                    <m:sty m:val="i"/>
                  </m:rPr>
                  <m:t>R</m:t>
                </m:r>
                <m:r>
                  <m:rPr>
                    <m:sty m:val="i"/>
                  </m:rPr>
                  <m:t>n</m:t>
                </m:r>
                <m:r>
                  <m:rPr>
                    <m:sty m:val="i"/>
                  </m:rPr>
                  <m:t>k</m:t>
                </m:r>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e>
            </m:mr>
          </m:m>
          <m:r>
            <m:rPr>
              <m:sty m:val="p"/>
            </m:rPr>
            <m:t>  </m:t>
          </m:r>
          <m:r>
            <m:rPr>
              <m:sty m:val="p"/>
            </m:rPr>
            <m:t>(</m:t>
          </m:r>
          <m:r>
            <m:rPr>
              <m:sty m:val="p"/>
            </m:rPr>
            <m:t>5</m:t>
          </m:r>
          <m:r>
            <m:rPr>
              <m:sty m:val="p"/>
            </m:rPr>
            <m:t>)</m:t>
          </m:r>
        </m:oMath>
      </m:oMathPara>
    </w:p>
    <w:p>
      <m:oMathPara>
        <m:oMathParaPr>
          <m:jc m:val="center"/>
        </m:oMathParaPr>
        <m:oMath>
          <m:m>
            <m:mPr>
              <m:baseJc m:val="center"/>
              <m:plcHide m:val="on"/>
              <m:mcs>
                <m:mc>
                  <m:mcPr>
                    <m:mcJc m:val="right"/>
                  </m:mcPr>
                </m:mc>
              </m:mcs>
            </m:mPr>
            <m:mr>
              <m:e>
                <m:r>
                  <m:rPr>
                    <m:sty m:val="i"/>
                  </m:rPr>
                  <m:t>C</m:t>
                </m:r>
                <m:r>
                  <m:rPr>
                    <m:sty m:val="i"/>
                  </m:rPr>
                  <m:t>o</m:t>
                </m:r>
                <m:r>
                  <m:rPr>
                    <m:sty m:val="i"/>
                  </m:rPr>
                  <m:t>n</m:t>
                </m:r>
                <m:r>
                  <m:rPr>
                    <m:sty m:val="i"/>
                  </m:rPr>
                  <m:t>s</m:t>
                </m:r>
                <m:r>
                  <m:rPr>
                    <m:sty m:val="i"/>
                  </m:rPr>
                  <m:t>e</m:t>
                </m:r>
                <m:r>
                  <m:rPr>
                    <m:sty m:val="i"/>
                  </m:rPr>
                  <m:t>q</m:t>
                </m:r>
                <m:r>
                  <m:rPr>
                    <m:sty m:val="i"/>
                  </m:rPr>
                  <m:t>u</m:t>
                </m:r>
                <m:r>
                  <m:rPr>
                    <m:sty m:val="i"/>
                  </m:rPr>
                  <m:t>e</m:t>
                </m:r>
                <m:r>
                  <m:rPr>
                    <m:sty m:val="i"/>
                  </m:rPr>
                  <m:t>n</m:t>
                </m:r>
                <m:r>
                  <m:rPr>
                    <m:sty m:val="i"/>
                  </m:rPr>
                  <m:t>c</m:t>
                </m:r>
                <m:r>
                  <m:rPr>
                    <m:sty m:val="i"/>
                  </m:rPr>
                  <m:t>e</m:t>
                </m:r>
                <m:r>
                  <m:rPr>
                    <m:sty m:val="p"/>
                  </m:rPr>
                  <m:t>=</m:t>
                </m:r>
                <m:nary>
                  <m:naryPr>
                    <m:chr m:val="∑"/>
                    <m:limLoc m:val="undOvr"/>
                    <m:supHide m:val="on"/>
                    <m:supHide m:val="on"/>
                  </m:naryPr>
                  <m:e>
                    <m:r>
                      <m:rPr>
                        <m:sty m:val="i"/>
                      </m:rPr>
                      <m:t>C</m:t>
                    </m:r>
                  </m:e>
                  <m:sub/>
                  <m:sup>
                    <m:r>
                      <m:rPr>
                        <m:sty m:val="p"/>
                      </m:rPr>
                      <m:t>a</m:t>
                    </m:r>
                  </m:sup>
                </m:nary>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r>
                  <m:rPr>
                    <m:sty m:val="p"/>
                  </m:rPr>
                  <m:t>=</m:t>
                </m:r>
                <m:nary>
                  <m:naryPr>
                    <m:chr m:val="∑"/>
                    <m:limLoc m:val="undOvr"/>
                    <m:supHide m:val="on"/>
                    <m:supHide m:val="on"/>
                  </m:naryPr>
                  <m:e>
                    <m:r>
                      <m:rPr>
                        <m:sty m:val="i"/>
                      </m:rPr>
                      <m:t>W</m:t>
                    </m:r>
                  </m:e>
                  <m:sub/>
                  <m:sup>
                    <m:r>
                      <m:rPr>
                        <m:sty m:val="p"/>
                      </m:rPr>
                      <m:t>a</m:t>
                    </m:r>
                  </m:sup>
                </m:nary>
                <m:sSub>
                  <m:e>
                    <m:r>
                      <m:rPr>
                        <m:sty m:val="i"/>
                      </m:rPr>
                      <m:t>t</m:t>
                    </m:r>
                  </m:e>
                  <m:sub>
                    <m:r>
                      <m:rPr>
                        <m:sty m:val="p"/>
                      </m:rPr>
                      <m:t>a</m:t>
                    </m:r>
                  </m:sub>
                </m:sSub>
                <m:r>
                  <m:rPr>
                    <m:sty m:val="p"/>
                  </m:rPr>
                  <m:t>•</m:t>
                </m:r>
                <m:r>
                  <m:rPr>
                    <m:sty m:val="i"/>
                  </m:rPr>
                  <m:t>R</m:t>
                </m:r>
                <m:r>
                  <m:rPr>
                    <m:sty m:val="i"/>
                  </m:rPr>
                  <m:t>n</m:t>
                </m:r>
                <m:r>
                  <m:rPr>
                    <m:sty m:val="i"/>
                  </m:rPr>
                  <m:t>k</m:t>
                </m:r>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e>
            </m:mr>
          </m:m>
          <m:r>
            <m:rPr>
              <m:sty m:val="p"/>
            </m:rPr>
            <m:t>  </m:t>
          </m:r>
          <m:r>
            <m:rPr>
              <m:sty m:val="p"/>
            </m:rPr>
            <m:t>(</m:t>
          </m:r>
          <m:r>
            <m:rPr>
              <m:sty m:val="p"/>
            </m:rPr>
            <m:t>6</m:t>
          </m:r>
          <m:r>
            <m:rPr>
              <m:sty m:val="p"/>
            </m:rPr>
            <m:t>)</m:t>
          </m:r>
        </m:oMath>
      </m:oMathPara>
    </w:p>
    <w:p>
      <w:r>
        <w:t xml:space="preserve">The Headwaters report also identified two different nomenclatures for addressing pollution entering the environment - these are the Hazard model, and the</w:t>
      </w:r>
      <w:r>
        <w:t xml:space="preserve"> </w:t>
      </w:r>
      <w:r>
        <w:t xml:space="preserve">“</w:t>
      </w:r>
      <w:r>
        <w:t xml:space="preserve">source–pathway–receptor</w:t>
      </w:r>
      <w:r>
        <w:t xml:space="preserve">”</w:t>
      </w:r>
      <w:r>
        <w:t xml:space="preserve"> </w:t>
      </w:r>
      <w:r>
        <w:t xml:space="preserve">(SPR) model</w:t>
      </w:r>
      <w:r>
        <w:t xml:space="preserve"> </w:t>
      </w:r>
      <w:r>
        <w:t xml:space="preserve">(Beckers, Cook, and Butcher 2013; Holdgate 1979)</w:t>
      </w:r>
      <w:r>
        <w:t xml:space="preserve">.</w:t>
      </w:r>
      <w:r>
        <w:rPr>
          <w:rStyle w:val="FootnoteRef"/>
        </w:rPr>
        <w:footnoteReference w:id="65"/>
      </w:r>
      <w:r>
        <w:t xml:space="preserve"/>
      </w:r>
    </w:p>
    <w:p>
      <w:r>
        <w:t xml:space="preserve">In terms of the Hazard model, Risk is defined in terms of hazards (</w:t>
      </w:r>
      <m:oMath>
        <m:r>
          <m:rPr>
            <m:sty m:val="i"/>
          </m:rPr>
          <m:t>H</m:t>
        </m:r>
      </m:oMath>
      <w:r>
        <w:t xml:space="preserve">), vulnerability (</w:t>
      </w:r>
      <m:oMath>
        <m:r>
          <m:rPr>
            <m:sty m:val="i"/>
          </m:rPr>
          <m:t>V</m:t>
        </m:r>
      </m:oMath>
      <w:r>
        <w:t xml:space="preserve">), and consequence, (</w:t>
      </w:r>
      <m:oMath>
        <m:r>
          <m:rPr>
            <m:sty m:val="i"/>
          </m:rPr>
          <m:t>C</m:t>
        </m:r>
      </m:oMath>
      <w:r>
        <w:t xml:space="preserve">).</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H</m:t>
                </m:r>
                <m:r>
                  <m:rPr>
                    <m:sty m:val="p"/>
                  </m:rPr>
                  <m:t>•</m:t>
                </m:r>
                <m:r>
                  <m:rPr>
                    <m:sty m:val="i"/>
                  </m:rPr>
                  <m:t>V</m:t>
                </m:r>
                <m:r>
                  <m:rPr>
                    <m:sty m:val="p"/>
                  </m:rPr>
                  <m:t>•</m:t>
                </m:r>
                <m:r>
                  <m:rPr>
                    <m:sty m:val="i"/>
                  </m:rPr>
                  <m:t>C</m:t>
                </m:r>
              </m:e>
            </m:mr>
          </m:m>
          <m:r>
            <m:rPr>
              <m:sty m:val="p"/>
            </m:rPr>
            <m:t>  </m:t>
          </m:r>
          <m:r>
            <m:rPr>
              <m:sty m:val="p"/>
            </m:rPr>
            <m:t>(</m:t>
          </m:r>
          <m:r>
            <m:rPr>
              <m:sty m:val="p"/>
            </m:rPr>
            <m:t>7</m:t>
          </m:r>
          <m:r>
            <m:rPr>
              <m:sty m:val="p"/>
            </m:rPr>
            <m:t>)</m:t>
          </m:r>
        </m:oMath>
      </m:oMathPara>
    </w:p>
    <w:p>
      <w:r>
        <w:t xml:space="preserve">For the SPR model, Risk factors for groundwater systems are calculated by combining source, pathway and receptor attributes With Receptor (</w:t>
      </w:r>
      <m:oMath>
        <m:r>
          <m:rPr>
            <m:sty m:val="i"/>
          </m:rPr>
          <m:t>r</m:t>
        </m:r>
      </m:oMath>
      <w:r>
        <w:t xml:space="preserve">), pathway (</w:t>
      </w:r>
      <m:oMath>
        <m:r>
          <m:rPr>
            <m:sty m:val="i"/>
          </m:rPr>
          <m:t>p</m:t>
        </m:r>
      </m:oMath>
      <w:r>
        <w:t xml:space="preserve">), and source (</w:t>
      </w:r>
      <m:oMath>
        <m:r>
          <m:rPr>
            <m:sty m:val="i"/>
          </m:rPr>
          <m:t>S</m:t>
        </m:r>
      </m:oMath>
      <w:r>
        <w:t xml:space="preserve">)</w:t>
      </w:r>
      <w:r>
        <w:t xml:space="preserve"> </w:t>
      </w:r>
      <w:r>
        <w:t xml:space="preserve">(DNRM 2013, 32)</w:t>
      </w:r>
      <w:r>
        <w:t xml:space="preserve">.</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S</m:t>
                </m:r>
                <m:r>
                  <m:rPr>
                    <m:sty m:val="p"/>
                  </m:rPr>
                  <m:t>•</m:t>
                </m:r>
                <m:r>
                  <m:rPr>
                    <m:sty m:val="i"/>
                  </m:rPr>
                  <m:t>r</m:t>
                </m:r>
                <m:r>
                  <m:rPr>
                    <m:sty m:val="p"/>
                  </m:rPr>
                  <m:t>•</m:t>
                </m:r>
                <m:r>
                  <m:rPr>
                    <m:sty m:val="i"/>
                  </m:rPr>
                  <m:t>p</m:t>
                </m:r>
              </m:e>
            </m:mr>
          </m:m>
          <m:r>
            <m:rPr>
              <m:sty m:val="p"/>
            </m:rPr>
            <m:t>  </m:t>
          </m:r>
          <m:r>
            <m:rPr>
              <m:sty m:val="p"/>
            </m:rPr>
            <m:t>(</m:t>
          </m:r>
          <m:r>
            <m:rPr>
              <m:sty m:val="p"/>
            </m:rPr>
            <m:t>8</m:t>
          </m:r>
          <m:r>
            <m:rPr>
              <m:sty m:val="p"/>
            </m:rPr>
            <m:t>)</m:t>
          </m:r>
        </m:oMath>
      </m:oMathPara>
    </w:p>
    <w:p>
      <w:r>
        <w:t xml:space="preserve">Key recommendations for future work were to enable sensitivity analysis (SA) of expert decisions on ranking and weighting, SA for aquifer storage attribute layer based on head data, SA for ranking simulated drawdown in spring risk mapping, include an attribute layer to express uncertainty, accommodate temporal ascpet of risk</w:t>
      </w:r>
      <w:r>
        <w:t xml:space="preserve"> </w:t>
      </w:r>
      <w:r>
        <w:t xml:space="preserve">(DNRM 2013, 128–9)</w:t>
      </w:r>
      <w:r>
        <w:t xml:space="preserve">.</w:t>
      </w:r>
    </w:p>
    <w:p>
      <w:pPr>
        <w:pStyle w:val="Heading3"/>
      </w:pPr>
      <w:bookmarkStart w:id="66" w:name="requirements---gmmca"/>
      <w:bookmarkEnd w:id="66"/>
      <w:r>
        <w:t xml:space="preserve">Requirements - GMMCA</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SA of various parameters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attributes as GeoJSON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attributes for source, pathway and receptor</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calculate MCA equations</w:t>
            </w:r>
          </w:p>
        </w:tc>
        <w:tc>
          <w:p>
            <w:pPr>
              <w:pStyle w:val="Compact"/>
              <w:jc w:val="left"/>
            </w:pPr>
            <w:r>
              <w:rPr>
                <w:rStyle w:val="VerbatimChar"/>
              </w:rPr>
              <w:t xml:space="preserve">schema: risk</w:t>
            </w:r>
            <w:r>
              <w:t xml:space="preserve"> </w:t>
            </w:r>
            <w:r>
              <w:t xml:space="preserve">&amp;&amp; algorithms</w:t>
            </w:r>
          </w:p>
        </w:tc>
      </w:tr>
      <w:tr>
        <w:tc>
          <w:p>
            <w:pPr>
              <w:pStyle w:val="Compact"/>
              <w:jc w:val="left"/>
            </w:pPr>
            <w:r>
              <w:t xml:space="preserve">3</w:t>
            </w:r>
          </w:p>
        </w:tc>
        <w:tc>
          <w:p>
            <w:pPr>
              <w:pStyle w:val="Compact"/>
              <w:jc w:val="left"/>
            </w:pPr>
            <w:r>
              <w:t xml:space="preserve">Able to store variety of vulnerability and risk assessment methods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attribute weights for perceived relative importance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properties of risk attributes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attributes as timeseries</w:t>
            </w:r>
          </w:p>
        </w:tc>
        <w:tc>
          <w:p>
            <w:pPr>
              <w:pStyle w:val="Compact"/>
              <w:jc w:val="left"/>
            </w:pPr>
            <w:r>
              <w:rPr>
                <w:rStyle w:val="VerbatimChar"/>
              </w:rPr>
              <w:t xml:space="preserve">schema: risk</w:t>
            </w:r>
          </w:p>
        </w:tc>
      </w:tr>
    </w:tbl>
    <w:p>
      <w:pPr>
        <w:pStyle w:val="Heading2"/>
      </w:pPr>
      <w:bookmarkStart w:id="67" w:name="markov-chain-monte-carlo-and-bayesian-risk-mcmc"/>
      <w:bookmarkEnd w:id="67"/>
      <w:r>
        <w:t xml:space="preserve">Markov Chain Monte Carlo and Bayesian Risk (MCMC)</w:t>
      </w:r>
    </w:p>
    <w:p>
      <w:r>
        <w:t xml:space="preserve">In financial engineering Markov Chain Monte Carlo and Bayesian Statistics are applied to risk estimations, where MCMC methods are sampling strategies based on the simulation of a Markov process</w:t>
      </w:r>
      <w:r>
        <w:t xml:space="preserve"> </w:t>
      </w:r>
      <w:r>
        <w:t xml:space="preserve">(Brandimarte 2014, 631)</w:t>
      </w:r>
      <w:r>
        <w:t xml:space="preserve">. Brandimarte summarised MCMC with following generic equation:</w:t>
      </w:r>
    </w:p>
    <w:p>
      <m:oMathPara>
        <m:oMathParaPr>
          <m:jc m:val="center"/>
        </m:oMathParaPr>
        <m:oMath>
          <m:m>
            <m:mPr>
              <m:baseJc m:val="center"/>
              <m:plcHide m:val="on"/>
              <m:mcs>
                <m:mc>
                  <m:mcPr>
                    <m:mcJc m:val="right"/>
                  </m:mcPr>
                </m:mc>
              </m:mcs>
            </m:mPr>
            <m:mr>
              <m:e>
                <m:r>
                  <m:rPr>
                    <m:sty m:val="i"/>
                  </m:rPr>
                  <m:t>p</m:t>
                </m:r>
                <m:r>
                  <m:rPr>
                    <m:sty m:val="i"/>
                  </m:rPr>
                  <m:t>o</m:t>
                </m:r>
                <m:r>
                  <m:rPr>
                    <m:sty m:val="i"/>
                  </m:rPr>
                  <m:t>s</m:t>
                </m:r>
                <m:r>
                  <m:rPr>
                    <m:sty m:val="i"/>
                  </m:rPr>
                  <m:t>t</m:t>
                </m:r>
                <m:r>
                  <m:rPr>
                    <m:sty m:val="i"/>
                  </m:rPr>
                  <m:t>e</m:t>
                </m:r>
                <m:r>
                  <m:rPr>
                    <m:sty m:val="i"/>
                  </m:rPr>
                  <m:t>r</m:t>
                </m:r>
                <m:r>
                  <m:rPr>
                    <m:sty m:val="i"/>
                  </m:rPr>
                  <m:t>i</m:t>
                </m:r>
                <m:r>
                  <m:rPr>
                    <m:sty m:val="i"/>
                  </m:rPr>
                  <m:t>o</m:t>
                </m:r>
                <m:r>
                  <m:rPr>
                    <m:sty m:val="i"/>
                  </m:rPr>
                  <m:t>r</m:t>
                </m:r>
                <m:r>
                  <m:rPr>
                    <m:sty m:val="p"/>
                  </m:rPr>
                  <m:t>∝</m:t>
                </m:r>
                <m:r>
                  <m:rPr>
                    <m:sty m:val="i"/>
                  </m:rPr>
                  <m:t>p</m:t>
                </m:r>
                <m:r>
                  <m:rPr>
                    <m:sty m:val="i"/>
                  </m:rPr>
                  <m:t>r</m:t>
                </m:r>
                <m:r>
                  <m:rPr>
                    <m:sty m:val="i"/>
                  </m:rPr>
                  <m:t>i</m:t>
                </m:r>
                <m:r>
                  <m:rPr>
                    <m:sty m:val="i"/>
                  </m:rPr>
                  <m:t>o</m:t>
                </m:r>
                <m:r>
                  <m:rPr>
                    <m:sty m:val="i"/>
                  </m:rPr>
                  <m:t>r</m:t>
                </m:r>
                <m:r>
                  <m:rPr>
                    <m:sty m:val="p"/>
                  </m:rPr>
                  <m:t>×</m:t>
                </m:r>
                <m:r>
                  <m:rPr>
                    <m:sty m:val="i"/>
                  </m:rPr>
                  <m:t>l</m:t>
                </m:r>
                <m:r>
                  <m:rPr>
                    <m:sty m:val="i"/>
                  </m:rPr>
                  <m:t>i</m:t>
                </m:r>
                <m:r>
                  <m:rPr>
                    <m:sty m:val="i"/>
                  </m:rPr>
                  <m:t>k</m:t>
                </m:r>
                <m:r>
                  <m:rPr>
                    <m:sty m:val="i"/>
                  </m:rPr>
                  <m:t>e</m:t>
                </m:r>
                <m:r>
                  <m:rPr>
                    <m:sty m:val="i"/>
                  </m:rPr>
                  <m:t>l</m:t>
                </m:r>
                <m:r>
                  <m:rPr>
                    <m:sty m:val="i"/>
                  </m:rPr>
                  <m:t>i</m:t>
                </m:r>
                <m:r>
                  <m:rPr>
                    <m:sty m:val="i"/>
                  </m:rPr>
                  <m:t>h</m:t>
                </m:r>
                <m:r>
                  <m:rPr>
                    <m:sty m:val="i"/>
                  </m:rPr>
                  <m:t>o</m:t>
                </m:r>
                <m:r>
                  <m:rPr>
                    <m:sty m:val="i"/>
                  </m:rPr>
                  <m:t>o</m:t>
                </m:r>
                <m:r>
                  <m:rPr>
                    <m:sty m:val="i"/>
                  </m:rPr>
                  <m:t>d</m:t>
                </m:r>
              </m:e>
            </m:mr>
          </m:m>
          <m:r>
            <m:rPr>
              <m:sty m:val="p"/>
            </m:rPr>
            <m:t>  </m:t>
          </m:r>
          <m:r>
            <m:rPr>
              <m:sty m:val="p"/>
            </m:rPr>
            <m:t>(</m:t>
          </m:r>
          <m:r>
            <m:rPr>
              <m:sty m:val="p"/>
            </m:rPr>
            <m:t>9</m:t>
          </m:r>
          <m:r>
            <m:rPr>
              <m:sty m:val="p"/>
            </m:rPr>
            <m:t>)</m:t>
          </m:r>
        </m:oMath>
      </m:oMathPara>
    </w:p>
    <w:p>
      <w:r>
        <w:t xml:space="preserve">Brandimarte further developed the methods and algorithms involved in conducting Bayesian Risk analysis, using the R statistics language, raising the question of how to best integrate with legacy statistics languages and models.</w:t>
      </w:r>
    </w:p>
    <w:p>
      <w:pPr>
        <w:pStyle w:val="Heading3"/>
      </w:pPr>
      <w:bookmarkStart w:id="68" w:name="requirements---mcmc"/>
      <w:bookmarkEnd w:id="68"/>
      <w:r>
        <w:t xml:space="preserve">Requirements - MCMC</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Ability to store and track MCMC linear Bayesian equations</w:t>
            </w:r>
          </w:p>
        </w:tc>
        <w:tc>
          <w:p>
            <w:pPr>
              <w:pStyle w:val="Compact"/>
              <w:jc w:val="left"/>
            </w:pPr>
            <w:r>
              <w:rPr>
                <w:rStyle w:val="VerbatimChar"/>
              </w:rPr>
              <w:t xml:space="preserve">schema: risk</w:t>
            </w:r>
            <w:r>
              <w:t xml:space="preserve"> </w:t>
            </w:r>
            <w:r>
              <w:t xml:space="preserve">&amp;&amp; algorithm webservices</w:t>
            </w:r>
          </w:p>
        </w:tc>
      </w:tr>
      <w:tr>
        <w:tc>
          <w:p>
            <w:pPr>
              <w:pStyle w:val="Compact"/>
              <w:jc w:val="left"/>
            </w:pPr>
            <w:r>
              <w:t xml:space="preserve">3</w:t>
            </w:r>
          </w:p>
        </w:tc>
        <w:tc>
          <w:p>
            <w:pPr>
              <w:pStyle w:val="Compact"/>
              <w:jc w:val="left"/>
            </w:pPr>
            <w:r>
              <w:t xml:space="preserve">Ability to integrate with existing statistical software (python, R)</w:t>
            </w:r>
          </w:p>
        </w:tc>
        <w:tc>
          <w:p>
            <w:pPr>
              <w:pStyle w:val="Compact"/>
              <w:jc w:val="left"/>
            </w:pPr>
            <w:r>
              <w:t xml:space="preserve">integration with modelling services</w:t>
            </w:r>
          </w:p>
        </w:tc>
      </w:tr>
    </w:tbl>
    <w:p>
      <w:pPr>
        <w:pStyle w:val="Heading2"/>
      </w:pPr>
      <w:bookmarkStart w:id="69" w:name="australian-land-use-trade-off-model-luto"/>
      <w:bookmarkEnd w:id="69"/>
      <w:r>
        <w:t xml:space="preserve">Australian Land Use Trade-off model (LUTO)</w:t>
      </w:r>
    </w:p>
    <w:p>
      <w:r>
        <w:t xml:space="preserve">CSG is in competition with other land uses and agriculture for a fixed land supply, and so there is a risk of trading off value for other land uses. Connor et al conclude that resistance from such disaffected local areas may prevent considerable large-scale policy benefits, and therefore that localised assessment of mitigation and adaptation options along with opportunity to expand agricultural area need to be captured</w:t>
      </w:r>
      <w:r>
        <w:t xml:space="preserve"> </w:t>
      </w:r>
      <w:r>
        <w:t xml:space="preserve">(Connor et al. 2015)</w:t>
      </w:r>
      <w:r>
        <w:t xml:space="preserve">.</w:t>
      </w:r>
    </w:p>
    <w:p>
      <w:r>
        <w:t xml:space="preserve">As noted above with soils, the existece of systesms in this domain raises the</w:t>
      </w:r>
      <w:r>
        <w:t xml:space="preserve"> </w:t>
      </w:r>
      <w:r>
        <w:t xml:space="preserve">‘</w:t>
      </w:r>
      <w:r>
        <w:t xml:space="preserve">migrate or integrate</w:t>
      </w:r>
      <w:r>
        <w:t xml:space="preserve">’</w:t>
      </w:r>
      <w:r>
        <w:t xml:space="preserve"> </w:t>
      </w:r>
      <w:r>
        <w:t xml:space="preserve">quesion whether LUTO systems and methods can or should be integrated with a big data system or migrated accross is a question for further consideration. Nevertheless The following minimal set of requirements have been captures in the case that LUTO parameters would need to be captured within the system.</w:t>
      </w:r>
    </w:p>
    <w:p>
      <w:pPr>
        <w:pStyle w:val="Heading3"/>
      </w:pPr>
      <w:bookmarkStart w:id="70" w:name="requirements---luto"/>
      <w:bookmarkEnd w:id="70"/>
      <w:r>
        <w:t xml:space="preserve">Requirements - LUTO</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land use</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store and track SLO</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store and track risk mitigation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risk adaption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land expansion options</w:t>
            </w:r>
          </w:p>
        </w:tc>
        <w:tc>
          <w:p>
            <w:pPr>
              <w:pStyle w:val="Compact"/>
              <w:jc w:val="left"/>
            </w:pPr>
            <w:r>
              <w:rPr>
                <w:rStyle w:val="VerbatimChar"/>
              </w:rPr>
              <w:t xml:space="preserve">schema: ecology</w:t>
            </w:r>
          </w:p>
        </w:tc>
      </w:tr>
    </w:tbl>
    <w:p>
      <w:pPr>
        <w:pStyle w:val="Heading2"/>
      </w:pPr>
      <w:bookmarkStart w:id="71" w:name="ecosystem-services-risk---esr"/>
      <w:bookmarkEnd w:id="71"/>
      <w:r>
        <w:t xml:space="preserve">Ecosystem Services Risk - (ESR)</w:t>
      </w:r>
    </w:p>
    <w:p>
      <w:r>
        <w:t xml:space="preserve">In 1973 Gosselink et al</w:t>
      </w:r>
      <w:r>
        <w:t xml:space="preserve"> </w:t>
      </w:r>
      <w:r>
        <w:t xml:space="preserve">(Gosselink, Odum, and Pope 1973)</w:t>
      </w:r>
      <w:r>
        <w:t xml:space="preserve"> </w:t>
      </w:r>
      <w:r>
        <w:t xml:space="preserve">argued that conventional real estate evaluation did not account for the full value of ecosystem services</w:t>
      </w:r>
      <w:r>
        <w:rPr>
          <w:rStyle w:val="FootnoteRef"/>
        </w:rPr>
        <w:footnoteReference w:id="72"/>
      </w:r>
      <w:r>
        <w:t xml:space="preserve"> </w:t>
      </w:r>
      <w:r>
        <w:t xml:space="preserve">because production related to that property may not accrue directly to the owner but to some other commercial entity. CSG is a case in point. Gosselink et al go further and use a procedure which aims to permit estimates of economic values of ecosystem services before they have been incorporated into the economy</w:t>
      </w:r>
      <w:r>
        <w:t xml:space="preserve"> </w:t>
      </w:r>
      <w:r>
        <w:t xml:space="preserve">(Odum 1979; Deacon et al. 2015)</w:t>
      </w:r>
      <w:r>
        <w:t xml:space="preserve">.</w:t>
      </w:r>
      <w:r>
        <w:rPr>
          <w:rStyle w:val="FootnoteRef"/>
        </w:rPr>
        <w:footnoteReference w:id="73"/>
      </w:r>
      <w:r>
        <w:t xml:space="preserve"/>
      </w:r>
    </w:p>
    <w:p>
      <w:pPr>
        <w:pStyle w:val="Heading3"/>
      </w:pPr>
      <w:bookmarkStart w:id="74" w:name="requirements---esr"/>
      <w:bookmarkEnd w:id="74"/>
      <w:r>
        <w:t xml:space="preserve">Requirements - ESR</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real estate dollar value</w:t>
            </w:r>
          </w:p>
        </w:tc>
        <w:tc>
          <w:p>
            <w:pPr>
              <w:pStyle w:val="Compact"/>
              <w:jc w:val="left"/>
            </w:pPr>
            <w:r>
              <w:rPr>
                <w:rStyle w:val="VerbatimChar"/>
              </w:rPr>
              <w:t xml:space="preserve">schema: land</w:t>
            </w:r>
          </w:p>
        </w:tc>
      </w:tr>
      <w:tr>
        <w:tc>
          <w:p>
            <w:pPr>
              <w:pStyle w:val="Compact"/>
              <w:jc w:val="left"/>
            </w:pPr>
            <w:r>
              <w:t xml:space="preserve">3</w:t>
            </w:r>
          </w:p>
        </w:tc>
        <w:tc>
          <w:p>
            <w:pPr>
              <w:pStyle w:val="Compact"/>
              <w:jc w:val="left"/>
            </w:pPr>
            <w:r>
              <w:t xml:space="preserve">Able to store and track pre-market ecosystem dollar value</w:t>
            </w:r>
          </w:p>
        </w:tc>
        <w:tc>
          <w:p>
            <w:pPr>
              <w:pStyle w:val="Compact"/>
              <w:jc w:val="left"/>
            </w:pPr>
            <w:r>
              <w:rPr>
                <w:rStyle w:val="VerbatimChar"/>
              </w:rPr>
              <w:t xml:space="preserve">schema: ecology</w:t>
            </w:r>
          </w:p>
        </w:tc>
      </w:tr>
    </w:tbl>
    <w:p>
      <w:pPr>
        <w:pStyle w:val="Heading2"/>
      </w:pPr>
      <w:bookmarkStart w:id="75" w:name="aquifer-risk"/>
      <w:bookmarkEnd w:id="75"/>
      <w:r>
        <w:t xml:space="preserve">Aquifer Risk</w:t>
      </w:r>
    </w:p>
    <w:p>
      <w:r>
        <w:t xml:space="preserve">The Centre for Water in the Minerals Industry (CWiMI) assessed risk to regional aquifers. The attributes tracked by CWiMI were, the vertical distance</w:t>
      </w:r>
      <w:r>
        <w:t xml:space="preserve"> </w:t>
      </w:r>
      <m:oMath>
        <m:r>
          <m:rPr>
            <m:sty m:val="i"/>
          </m:rPr>
          <m:t>d</m:t>
        </m:r>
      </m:oMath>
      <w:r>
        <w:t xml:space="preserve"> </w:t>
      </w:r>
      <w:r>
        <w:t xml:space="preserve">between aquifer and coal, the amount of water in the aquifer and the ability of hydraulic conductivity</w:t>
      </w:r>
      <w:r>
        <w:t xml:space="preserve"> </w:t>
      </w:r>
      <m:oMath>
        <m:r>
          <m:rPr>
            <m:sty m:val="i"/>
          </m:rPr>
          <m:t>K</m:t>
        </m:r>
      </m:oMath>
      <w:r>
        <w:t xml:space="preserve">.</w:t>
      </w:r>
    </w:p>
    <w:p>
      <w:r>
        <w:t xml:space="preserve">Normalisation of hydrological risk to an aquifer</w:t>
      </w:r>
      <w:r>
        <w:t xml:space="preserve"> </w:t>
      </w:r>
      <m:oMath>
        <m:sSub>
          <m:e>
            <m:r>
              <m:rPr>
                <m:sty m:val="i"/>
              </m:rPr>
              <m:t>R</m:t>
            </m:r>
          </m:e>
          <m:sub>
            <m:r>
              <m:rPr>
                <m:sty m:val="i"/>
              </m:rPr>
              <m:t>a</m:t>
            </m:r>
          </m:sub>
        </m:sSub>
      </m:oMath>
      <w:r>
        <w:t xml:space="preserve"> </w:t>
      </w:r>
      <w:r>
        <w:t xml:space="preserve">was done by relating the coal seam</w:t>
      </w:r>
      <w:r>
        <w:t xml:space="preserve"> </w:t>
      </w:r>
      <m:oMath>
        <m:r>
          <m:rPr>
            <m:sty m:val="i"/>
          </m:rPr>
          <m:t>c</m:t>
        </m:r>
      </m:oMath>
      <w:r>
        <w:t xml:space="preserve"> </w:t>
      </w:r>
      <w:r>
        <w:t xml:space="preserve">and aquifer</w:t>
      </w:r>
      <w:r>
        <w:t xml:space="preserve"> </w:t>
      </w:r>
      <m:oMath>
        <m:r>
          <m:rPr>
            <m:sty m:val="i"/>
          </m:rPr>
          <m:t>a</m:t>
        </m:r>
      </m:oMath>
      <w:r>
        <w:t xml:space="preserve">, with the following formula:</w:t>
      </w:r>
    </w:p>
    <w:p>
      <m:oMathPara>
        <m:oMathParaPr>
          <m:jc m:val="center"/>
        </m:oMathParaPr>
        <m:oMath>
          <m:m>
            <m:mPr>
              <m:baseJc m:val="center"/>
              <m:plcHide m:val="on"/>
              <m:mcs>
                <m:mc>
                  <m:mcPr>
                    <m:mcJc m:val="right"/>
                  </m:mcPr>
                </m:mc>
              </m:mcs>
            </m:mPr>
            <m:mr>
              <m:e>
                <m:sSub>
                  <m:e>
                    <m:r>
                      <m:rPr>
                        <m:sty m:val="i"/>
                      </m:rPr>
                      <m:t>R</m:t>
                    </m:r>
                  </m:e>
                  <m:sub>
                    <m:r>
                      <m:rPr>
                        <m:sty m:val="i"/>
                      </m:rPr>
                      <m:t>a</m:t>
                    </m:r>
                  </m:sub>
                </m:sSub>
                <m:r>
                  <m:rPr>
                    <m:sty m:val="p"/>
                  </m:rPr>
                  <m:t>=</m:t>
                </m:r>
                <m:r>
                  <m:rPr>
                    <m:sty m:val="p"/>
                  </m:rPr>
                  <m:t>[</m:t>
                </m:r>
                <m:r>
                  <m:rPr>
                    <m:sty m:val="p"/>
                  </m:rPr>
                  <m:t>(</m:t>
                </m:r>
                <m:r>
                  <m:rPr>
                    <m:sty m:val="p"/>
                  </m:rPr>
                  <m:t>ϕ</m:t>
                </m:r>
                <m:r>
                  <m:rPr>
                    <m:sty m:val="p"/>
                  </m:rPr>
                  <m:t>×</m:t>
                </m:r>
                <m:r>
                  <m:rPr>
                    <m:sty m:val="i"/>
                  </m:rPr>
                  <m:t>T</m:t>
                </m:r>
                <m:sSub>
                  <m:e>
                    <m:r>
                      <m:rPr>
                        <m:sty m:val="p"/>
                      </m:rPr>
                      <m:t>)</m:t>
                    </m:r>
                  </m:e>
                  <m:sub>
                    <m:r>
                      <m:rPr>
                        <m:sty m:val="i"/>
                      </m:rPr>
                      <m:t>c</m:t>
                    </m:r>
                  </m:sub>
                </m:sSub>
                <m:r>
                  <m:rPr>
                    <m:sty m:val="p"/>
                  </m:rPr>
                  <m:t>×</m:t>
                </m:r>
                <m:sSub>
                  <m:e>
                    <m:r>
                      <m:rPr>
                        <m:sty m:val="i"/>
                      </m:rPr>
                      <m:t>K</m:t>
                    </m:r>
                  </m:e>
                  <m:sub>
                    <m:r>
                      <m:rPr>
                        <m:sty m:val="i"/>
                      </m:rPr>
                      <m:t>c</m:t>
                    </m:r>
                  </m:sub>
                </m:sSub>
                <m:r>
                  <m:rPr>
                    <m:sty m:val="p"/>
                  </m:rPr>
                  <m:t>×</m:t>
                </m:r>
                <m:r>
                  <m:rPr>
                    <m:sty m:val="i"/>
                  </m:rPr>
                  <m:t>C</m:t>
                </m:r>
                <m:r>
                  <m:rPr>
                    <m:sty m:val="p"/>
                  </m:rPr>
                  <m:t>]</m:t>
                </m:r>
                <m:r>
                  <m:rPr>
                    <m:sty m:val="p"/>
                  </m:rPr>
                  <m:t>×</m:t>
                </m:r>
                <m:r>
                  <m:rPr>
                    <m:sty m:val="p"/>
                  </m:rPr>
                  <m:t>[</m:t>
                </m:r>
                <m:r>
                  <m:rPr>
                    <m:sty m:val="p"/>
                  </m:rPr>
                  <m:t>(</m:t>
                </m:r>
                <m:r>
                  <m:rPr>
                    <m:sty m:val="p"/>
                  </m:rPr>
                  <m:t>ϕ</m:t>
                </m:r>
                <m:r>
                  <m:rPr>
                    <m:sty m:val="p"/>
                  </m:rPr>
                  <m:t>×</m:t>
                </m:r>
                <m:r>
                  <m:rPr>
                    <m:sty m:val="i"/>
                  </m:rPr>
                  <m:t>T</m:t>
                </m:r>
                <m:sSub>
                  <m:e>
                    <m:r>
                      <m:rPr>
                        <m:sty m:val="p"/>
                      </m:rPr>
                      <m:t>)</m:t>
                    </m:r>
                  </m:e>
                  <m:sub>
                    <m:r>
                      <m:rPr>
                        <m:sty m:val="i"/>
                      </m:rPr>
                      <m:t>a</m:t>
                    </m:r>
                  </m:sub>
                </m:sSub>
                <m:r>
                  <m:rPr>
                    <m:sty m:val="p"/>
                  </m:rPr>
                  <m:t>×</m:t>
                </m:r>
                <m:sSub>
                  <m:e>
                    <m:r>
                      <m:rPr>
                        <m:sty m:val="i"/>
                      </m:rPr>
                      <m:t>K</m:t>
                    </m:r>
                  </m:e>
                  <m:sub>
                    <m:r>
                      <m:rPr>
                        <m:sty m:val="i"/>
                      </m:rPr>
                      <m:t>a</m:t>
                    </m:r>
                  </m:sub>
                </m:sSub>
                <m:r>
                  <m:rPr>
                    <m:sty m:val="p"/>
                  </m:rPr>
                  <m:t>×</m:t>
                </m:r>
                <m:r>
                  <m:rPr>
                    <m:sty m:val="p"/>
                  </m:rPr>
                  <m:t>(</m:t>
                </m:r>
                <m:r>
                  <m:rPr>
                    <m:sty m:val="p"/>
                  </m:rPr>
                  <m:t>1</m:t>
                </m:r>
                <m:r>
                  <m:rPr>
                    <m:sty m:val="p"/>
                  </m:rPr>
                  <m:t>/</m:t>
                </m:r>
                <m:r>
                  <m:rPr>
                    <m:sty m:val="i"/>
                  </m:rPr>
                  <m:t>d</m:t>
                </m:r>
                <m:sSup>
                  <m:e>
                    <m:r>
                      <m:rPr>
                        <m:sty m:val="p"/>
                      </m:rPr>
                      <m:t>)</m:t>
                    </m:r>
                  </m:e>
                  <m:sup>
                    <m:r>
                      <m:rPr>
                        <m:sty m:val="p"/>
                      </m:rPr>
                      <m:t>2</m:t>
                    </m:r>
                  </m:sup>
                </m:sSup>
                <m:r>
                  <m:rPr>
                    <m:sty m:val="p"/>
                  </m:rPr>
                  <m:t>]</m:t>
                </m:r>
                <m:r>
                  <m:rPr>
                    <m:sty m:val="p"/>
                  </m:rPr>
                  <m:t>×</m:t>
                </m:r>
                <m:r>
                  <m:rPr>
                    <m:sty m:val="i"/>
                  </m:rPr>
                  <m:t>h</m:t>
                </m:r>
                <m:r>
                  <m:rPr>
                    <m:sty m:val="p"/>
                  </m:rPr>
                  <m:t>×</m:t>
                </m:r>
                <m:r>
                  <m:rPr>
                    <m:sty m:val="i"/>
                  </m:rPr>
                  <m:t>F</m:t>
                </m:r>
              </m:e>
            </m:mr>
          </m:m>
          <m:r>
            <m:rPr>
              <m:sty m:val="p"/>
            </m:rPr>
            <m:t>  </m:t>
          </m:r>
          <m:r>
            <m:rPr>
              <m:sty m:val="p"/>
            </m:rPr>
            <m:t>(</m:t>
          </m:r>
          <m:r>
            <m:rPr>
              <m:sty m:val="p"/>
            </m:rPr>
            <m:t>10</m:t>
          </m:r>
          <m:r>
            <m:rPr>
              <m:sty m:val="p"/>
            </m:rPr>
            <m:t>)</m:t>
          </m:r>
        </m:oMath>
      </m:oMathPara>
    </w:p>
    <w:p>
      <w:r>
        <w:t xml:space="preserve">In addition, DNRM Activity-5 identified 7 attributes for tracking risk factors; Drawdown, Gas migration potential, Geological pathways (formation overlap and orientation), Wellbore pathways (bore depth and age), Aquifer storage (available head), Groundwater users (bore density, allocation volumes and purpose), Spring conservation, location rankings and source aquifer.</w:t>
      </w:r>
    </w:p>
    <w:p>
      <w:pPr>
        <w:pStyle w:val="Heading3"/>
      </w:pPr>
      <w:bookmarkStart w:id="76" w:name="requirements---ar"/>
      <w:bookmarkEnd w:id="76"/>
      <w:r>
        <w:t xml:space="preserve">Requirements - AR</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risk factor attributes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sources, receptors &amp; hazard impacts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aquifer risk</w:t>
            </w:r>
          </w:p>
        </w:tc>
        <w:tc>
          <w:p>
            <w:pPr>
              <w:pStyle w:val="Compact"/>
              <w:jc w:val="left"/>
            </w:pPr>
            <w:r>
              <w:rPr>
                <w:rStyle w:val="VerbatimChar"/>
              </w:rPr>
              <w:t xml:space="preserve">schema: risk</w:t>
            </w:r>
          </w:p>
        </w:tc>
      </w:tr>
    </w:tbl>
    <w:p>
      <w:pPr>
        <w:pStyle w:val="Heading2"/>
      </w:pPr>
      <w:bookmarkStart w:id="77" w:name="enterprise-risk-management---erm"/>
      <w:bookmarkEnd w:id="77"/>
      <w:r>
        <w:t xml:space="preserve">Enterprise Risk Management - ERM</w:t>
      </w:r>
    </w:p>
    <w:p>
      <w:r>
        <w:t xml:space="preserve">Whilst Activity-5 is focused on the regulation of potential impacts from CSG operations on groundwater, for a company, as noted above risk associated with groundwater can impact on many levels of an enterprise. ERM aims to capture these different levels.</w:t>
      </w:r>
      <w:r>
        <w:rPr>
          <w:rStyle w:val="FootnoteRef"/>
        </w:rPr>
        <w:footnoteReference w:id="78"/>
      </w:r>
      <w:r>
        <w:t xml:space="preserve"> </w:t>
      </w:r>
      <w:r>
        <w:t xml:space="preserve">ERM makes distinction between inherent and residual risk. Inherent risk is the risk to an entity in the absence of any actions to reduce likelihood or impact of a risk, and residual risk is the risk that remains after management’s control activity response to the inherent risk.</w:t>
      </w:r>
    </w:p>
    <w:p>
      <w:r>
        <w:t xml:space="preserve">ERM uses quantitative probabilistic and non-probabilistic techniques with measures of value at risk, cash flow at risk, earnings at risk, Loss Distributions, back testing and sensitivity analysis</w:t>
      </w:r>
      <w:r>
        <w:t xml:space="preserve"> </w:t>
      </w:r>
      <w:r>
        <w:t xml:space="preserve">(COSO 2004, 33–41)</w:t>
      </w:r>
      <w:r>
        <w:t xml:space="preserve">. ERM also aims to track the economic capital (EC). EC is a measure of risk expressed in terms of capital, that is, the capital required to cover financial exposures to risk impacts</w:t>
      </w:r>
      <w:r>
        <w:t xml:space="preserve"> </w:t>
      </w:r>
      <w:r>
        <w:t xml:space="preserve">(McNeil, Frey, and Embrechts 2015; Investopedia 2015)</w:t>
      </w:r>
      <w:r>
        <w:t xml:space="preserve">. This is used in decision making by management to determine whether to scale back or ramp up certain business activities, or raise additional equity for example</w:t>
      </w:r>
      <w:r>
        <w:t xml:space="preserve"> </w:t>
      </w:r>
      <w:r>
        <w:t xml:space="preserve">(COSO 2004)</w:t>
      </w:r>
      <w:r>
        <w:t xml:space="preserve">. EC is used in return on risk adjusted capital performance indicator calculations. Some CSG proponents use bore license value as a proxy for capital at risk.</w:t>
      </w:r>
    </w:p>
    <w:p>
      <w:pPr>
        <w:pStyle w:val="Heading3"/>
      </w:pPr>
      <w:bookmarkStart w:id="79" w:name="requirements---erm"/>
      <w:bookmarkEnd w:id="79"/>
      <w:r>
        <w:t xml:space="preserve">Requirements - ERM</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&amp; track Inherent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Residual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Risk response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probabilistic variables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economic capital</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bore license value</w:t>
            </w:r>
          </w:p>
        </w:tc>
        <w:tc>
          <w:p>
            <w:pPr>
              <w:pStyle w:val="Compact"/>
              <w:jc w:val="left"/>
            </w:pPr>
            <w:r>
              <w:rPr>
                <w:rStyle w:val="VerbatimChar"/>
              </w:rPr>
              <w:t xml:space="preserve">schema: risk</w:t>
            </w:r>
          </w:p>
        </w:tc>
      </w:tr>
    </w:tbl>
    <w:p>
      <w:pPr>
        <w:pStyle w:val="Heading2"/>
      </w:pPr>
      <w:bookmarkStart w:id="80" w:name="risk-portfolio"/>
      <w:bookmarkEnd w:id="80"/>
      <w:r>
        <w:t xml:space="preserve">Risk Portfolio</w:t>
      </w:r>
    </w:p>
    <w:p>
      <w:r>
        <w:t xml:space="preserve">Barker et al identify total SH&amp;E risk and the total costs to mitigate these as issues of concern to a proponent</w:t>
      </w:r>
      <w:r>
        <w:t xml:space="preserve"> </w:t>
      </w:r>
      <w:r>
        <w:t xml:space="preserve">(Barker, Steele, and Heaton 1998)</w:t>
      </w:r>
      <w:r>
        <w:t xml:space="preserve">. They identify a model which allows users to enter a range of estimated dollar costs to mitigate the risks across different SH&amp;E categories</w:t>
      </w:r>
      <w:r>
        <w:t xml:space="preserve"> </w:t>
      </w:r>
      <w:r>
        <w:t xml:space="preserve">(Barker, Steele, and Heaton 1998)</w:t>
      </w:r>
      <w:r>
        <w:t xml:space="preserve">. The mitigation costs for each category are then summed to calculate the total cost value, which can be plotted as cumulative frequency plots as a SH&amp;E risk portfolio.</w:t>
      </w:r>
    </w:p>
    <w:p>
      <w:pPr>
        <w:pStyle w:val="Heading3"/>
      </w:pPr>
      <w:bookmarkStart w:id="81" w:name="requirements---risk-portfolio"/>
      <w:bookmarkEnd w:id="81"/>
      <w:r>
        <w:t xml:space="preserve">Requirements - Risk Portfolio</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track and report on risk portfolio</w:t>
            </w:r>
          </w:p>
        </w:tc>
        <w:tc>
          <w:p>
            <w:pPr>
              <w:pStyle w:val="Compact"/>
              <w:jc w:val="left"/>
            </w:pPr>
            <w:r>
              <w:rPr>
                <w:rStyle w:val="VerbatimChar"/>
              </w:rPr>
              <w:t xml:space="preserve">schema: risk</w:t>
            </w:r>
          </w:p>
        </w:tc>
      </w:tr>
    </w:tbl>
    <w:p>
      <w:pPr>
        <w:pStyle w:val="Heading1"/>
      </w:pPr>
      <w:bookmarkStart w:id="82" w:name="system-engineering"/>
      <w:bookmarkEnd w:id="82"/>
      <w:r>
        <w:t xml:space="preserve">System Engineering</w:t>
      </w:r>
    </w:p>
    <w:p>
      <w:r>
        <w:t xml:space="preserve">The types of risk and risk assessment noted above give an indication of the many types of data that might be required for a comprehensive risk assessment framework. Renn and Walker term this a</w:t>
      </w:r>
      <w:r>
        <w:t xml:space="preserve"> </w:t>
      </w:r>
      <w:r>
        <w:t xml:space="preserve">“</w:t>
      </w:r>
      <w:r>
        <w:t xml:space="preserve">comprehensive technology</w:t>
      </w:r>
      <w:r>
        <w:t xml:space="preserve">”</w:t>
      </w:r>
      <w:r>
        <w:t xml:space="preserve"> </w:t>
      </w:r>
      <w:r>
        <w:t xml:space="preserve">that aims to integrate risk assessment into decision-making</w:t>
      </w:r>
      <w:r>
        <w:t xml:space="preserve"> </w:t>
      </w:r>
      <w:r>
        <w:t xml:space="preserve">(2008, 1:17)</w:t>
      </w:r>
      <w:r>
        <w:t xml:space="preserve">.</w:t>
      </w:r>
    </w:p>
    <w:p>
      <w:r>
        <w:t xml:space="preserve">In terms of systems programming languages, there are too many to review here. The choice of language to develop in will often be driven by requirements, but also legacy considerations, and a coder’s language familiarity or specialisation. As noted by Cozzi</w:t>
      </w:r>
      <w:r>
        <w:t xml:space="preserve"> </w:t>
      </w:r>
      <w:r>
        <w:t xml:space="preserve">(Cozzi 2015)</w:t>
      </w:r>
      <w:r>
        <w:t xml:space="preserve">, the requirement of web-enabled 3D visualisation has introduced many coders to WebGL, and languages like Python and javaScript. Indeed, as Amato and Ring</w:t>
      </w:r>
      <w:r>
        <w:t xml:space="preserve"> </w:t>
      </w:r>
      <w:r>
        <w:t xml:space="preserve">(Amato and Ring 2015)</w:t>
      </w:r>
      <w:r>
        <w:t xml:space="preserve"> </w:t>
      </w:r>
      <w:r>
        <w:t xml:space="preserve">have noted, with the emergence of Asynchronous Module Definition (AMD), and technologies like Node.js and browserify, javaScript has become a language worthy of both server, and client-side production applications and it is the focus for this review.</w:t>
      </w:r>
    </w:p>
    <w:p>
      <w:pPr>
        <w:pStyle w:val="Heading2"/>
      </w:pPr>
      <w:bookmarkStart w:id="83" w:name="engineering-scope"/>
      <w:bookmarkEnd w:id="83"/>
      <w:r>
        <w:t xml:space="preserve">Engineering Scope</w:t>
      </w:r>
    </w:p>
    <w:p>
      <w:r>
        <w:t xml:space="preserve">In reviewing the level 1-3 system requirements, it appears that there are a number of different world views which tend to reflect the interests of different stakeholders. In terms of Systems Engineering, requirements are usually generated from a user with business needs. However in the case of the literature identified above, authors did not typically frame the discussion in terms of user requirements, but rather, in terms of stakeholder interests, compliance risks and Social License to Operate. If a</w:t>
      </w:r>
      <w:r>
        <w:t xml:space="preserve"> </w:t>
      </w:r>
      <w:r>
        <w:t xml:space="preserve">‘</w:t>
      </w:r>
      <w:r>
        <w:t xml:space="preserve">user</w:t>
      </w:r>
      <w:r>
        <w:t xml:space="preserve">’</w:t>
      </w:r>
      <w:r>
        <w:t xml:space="preserve"> </w:t>
      </w:r>
      <w:r>
        <w:t xml:space="preserve">is understood as a stakeholder, then the stakeholder requirements above can be defined as user requirements. However this alignment itself creates another requirement concerning the issue of how to manage users in terms of public and private permissions.</w:t>
      </w:r>
    </w:p>
    <w:p>
      <w:r>
        <w:rPr>
          <w:b/>
        </w:rPr>
        <w:t xml:space="preserve">User Roles</w:t>
      </w:r>
    </w:p>
    <w:p>
      <w:pPr>
        <w:pStyle w:val="Compact"/>
        <w:numPr>
          <w:numId w:val="1003"/>
          <w:ilvl w:val="0"/>
        </w:numPr>
      </w:pPr>
      <w:r>
        <w:t xml:space="preserve">Regulator</w:t>
      </w:r>
    </w:p>
    <w:p>
      <w:pPr>
        <w:pStyle w:val="Compact"/>
        <w:numPr>
          <w:numId w:val="1003"/>
          <w:ilvl w:val="0"/>
        </w:numPr>
      </w:pPr>
      <w:r>
        <w:t xml:space="preserve">Proponent/Lease holder</w:t>
      </w:r>
    </w:p>
    <w:p>
      <w:pPr>
        <w:pStyle w:val="Compact"/>
        <w:numPr>
          <w:numId w:val="1003"/>
          <w:ilvl w:val="0"/>
        </w:numPr>
      </w:pPr>
      <w:r>
        <w:t xml:space="preserve">Service providers</w:t>
      </w:r>
    </w:p>
    <w:p>
      <w:pPr>
        <w:pStyle w:val="Compact"/>
        <w:numPr>
          <w:numId w:val="1003"/>
          <w:ilvl w:val="0"/>
        </w:numPr>
      </w:pPr>
      <w:r>
        <w:t xml:space="preserve">Landholder</w:t>
      </w:r>
    </w:p>
    <w:p>
      <w:pPr>
        <w:pStyle w:val="Compact"/>
        <w:numPr>
          <w:numId w:val="1003"/>
          <w:ilvl w:val="0"/>
        </w:numPr>
      </w:pPr>
      <w:r>
        <w:t xml:space="preserve">Public</w:t>
      </w:r>
    </w:p>
    <w:p>
      <w:r>
        <w:t xml:space="preserve">Service providers can be understood as companies or individuals that provide field or laboratory data to a stakeholder (proponent, regulator, landholder, etc). Regulators can be at any level of governance, local, State, federal. These different user classes are defined within the system by permissions to see, enter and edit data. These permissions have not been identified in any of the requirements generated above. The process of identifying appropriate permissions may be accommodated either through a consultative process with the different stakeholders, or engineered into a high-level administrative user class who is able to define permissions for all stakeholders dynamically.</w:t>
      </w:r>
    </w:p>
    <w:p>
      <w:pPr>
        <w:pStyle w:val="Heading2"/>
      </w:pPr>
      <w:bookmarkStart w:id="84" w:name="work-breakdown-structure-wbs"/>
      <w:bookmarkEnd w:id="84"/>
      <w:r>
        <w:t xml:space="preserve">Work Breakdown Structure (WBS)</w:t>
      </w:r>
    </w:p>
    <w:p>
      <w:r>
        <w:t xml:space="preserve">In identifying the requirement for a risk governance system above the next question is how to implement such. Work Breakdown Structure (WBS) is a means of organizing system development used in Systems Engineering</w:t>
      </w:r>
      <w:r>
        <w:t xml:space="preserve"> </w:t>
      </w:r>
      <w:r>
        <w:t xml:space="preserve">(Lightsey 2001, 85)</w:t>
      </w:r>
      <w:r>
        <w:t xml:space="preserve">. Typically the WBS is used to define the total system, to display it as a product-oriented family tree composed of hardware, software and data model (Ibid). Until relatively recently, the data planning part of the WBS was conducted under the assumption of an Relational Database Management System (RDMS), with a desktop-server model of deployment. This model of WBS requires careful planning of overall data model, schemas, fields and validation requirements</w:t>
      </w:r>
      <w:r>
        <w:t xml:space="preserve"> </w:t>
      </w:r>
      <w:r>
        <w:t xml:space="preserve">(Haugan 2010)</w:t>
      </w:r>
      <w:r>
        <w:t xml:space="preserve">.</w:t>
      </w:r>
    </w:p>
    <w:p>
      <w:r>
        <w:t xml:space="preserve">If such a WBS procedure was undertaken by a business consultant</w:t>
      </w:r>
      <w:r>
        <w:rPr>
          <w:rStyle w:val="FootnoteRef"/>
        </w:rPr>
        <w:footnoteReference w:id="85"/>
      </w:r>
      <w:r>
        <w:t xml:space="preserve"> </w:t>
      </w:r>
      <w:r>
        <w:t xml:space="preserve">it could typically culminate in a data dictionary and data format standards as the deliverable products. In the case of CSG in Queensland, the deliverables were a data dictionary and database file format for transferring data to the regulator, forming the backbone of the data capture element of the policy framework for risk management, mitigation and make-good.</w:t>
      </w:r>
      <w:r>
        <w:t xml:space="preserve"> </w:t>
      </w:r>
      <w:r>
        <w:t xml:space="preserve">(DNRM 2015)</w:t>
      </w:r>
      <w:r>
        <w:t xml:space="preserve">.</w:t>
      </w:r>
    </w:p>
    <w:p>
      <w:pPr>
        <w:pStyle w:val="Heading3"/>
      </w:pPr>
      <w:bookmarkStart w:id="87" w:name="industry-experience-study-1-awris"/>
      <w:bookmarkEnd w:id="87"/>
      <w:r>
        <w:t xml:space="preserve">Industry Experience Study 1: AWRIS</w:t>
      </w:r>
      <w:r>
        <w:rPr>
          <w:rStyle w:val="FootnoteRef"/>
        </w:rPr>
        <w:footnoteReference w:id="86"/>
      </w:r>
    </w:p>
    <w:p>
      <w:r>
        <w:t xml:space="preserve">Running parallel to the National Harmonized Regulatory Framework noted above, has been the National Enabling Framework (NEF) established by the Commonwealth Scientific and Industrial Research Organisation (CSIRO) and the Australian Bureau of Meteorology (BoM) in 2006</w:t>
      </w:r>
      <w:r>
        <w:t xml:space="preserve"> </w:t>
      </w:r>
      <w:r>
        <w:t xml:space="preserve">(Australia 2006)</w:t>
      </w:r>
      <w:r>
        <w:t xml:space="preserve">. The goal of NEF was to develop information technology that can enable effective management and decisions regarding Australia’s water resources and water data</w:t>
      </w:r>
      <w:r>
        <w:t xml:space="preserve"> </w:t>
      </w:r>
      <w:r>
        <w:t xml:space="preserve">(Australia 2006)</w:t>
      </w:r>
      <w:r>
        <w:t xml:space="preserve">.</w:t>
      </w:r>
      <w:r>
        <w:rPr>
          <w:rStyle w:val="FootnoteRef"/>
        </w:rPr>
        <w:footnoteReference w:id="88"/>
      </w:r>
    </w:p>
    <w:p>
      <w:r>
        <w:t xml:space="preserve">It was subsequently identified that across Australia, many different water information management systems were used, each with different data models, inconsistent feature descriptions and labelling practices, making it difficult to create informed National water policy and risk governance decisions</w:t>
      </w:r>
      <w:r>
        <w:t xml:space="preserve"> </w:t>
      </w:r>
      <w:r>
        <w:t xml:space="preserve">(Power and Walker 2011)</w:t>
      </w:r>
      <w:r>
        <w:t xml:space="preserve">. In response, the BoM began a project that aimed to produce a single, Australian Water Resource Information System (AWRIS)</w:t>
      </w:r>
      <w:r>
        <w:t xml:space="preserve"> </w:t>
      </w:r>
      <w:r>
        <w:t xml:space="preserve">(Australia 2006)</w:t>
      </w:r>
      <w:r>
        <w:t xml:space="preserve">.</w:t>
      </w:r>
    </w:p>
    <w:p>
      <w:pPr>
        <w:pStyle w:val="Heading4"/>
      </w:pPr>
      <w:bookmarkStart w:id="89" w:name="model-driven-standards-driven-wbs"/>
      <w:bookmarkEnd w:id="89"/>
      <w:r>
        <w:t xml:space="preserve">Model-driven &amp; Standards-driven WBS</w:t>
      </w:r>
    </w:p>
    <w:p>
      <w:r>
        <w:t xml:space="preserve">The Work Breakdown Structure adopted for the AWRIS project comprised of model-driven</w:t>
      </w:r>
      <w:r>
        <w:rPr>
          <w:rStyle w:val="FootnoteRef"/>
        </w:rPr>
        <w:footnoteReference w:id="90"/>
      </w:r>
      <w:r>
        <w:t xml:space="preserve"> </w:t>
      </w:r>
      <w:r>
        <w:t xml:space="preserve">and standards-driven</w:t>
      </w:r>
      <w:r>
        <w:rPr>
          <w:rStyle w:val="FootnoteRef"/>
        </w:rPr>
        <w:footnoteReference w:id="91"/>
      </w:r>
      <w:r>
        <w:t xml:space="preserve"> </w:t>
      </w:r>
      <w:r>
        <w:t xml:space="preserve">approaches. These aimed to achieve functional interoperability, and synchronization between distributed software packages from different manufacturers in different organisations, involving a series of data transformation steps</w:t>
      </w:r>
      <w:r>
        <w:t xml:space="preserve"> </w:t>
      </w:r>
      <w:r>
        <w:t xml:space="preserve">(Power and Walker 2011, 3156)</w:t>
      </w:r>
      <w:r>
        <w:t xml:space="preserve">.</w:t>
      </w:r>
      <w:r>
        <w:rPr>
          <w:rStyle w:val="FootnoteRef"/>
        </w:rPr>
        <w:footnoteReference w:id="92"/>
      </w:r>
    </w:p>
    <w:p>
      <w:r>
        <w:t xml:space="preserve">Lemon et al noted that the AWRIS development experience showed that the model-driven approach alone could not solve the interoperability problem because interoperability between multiple data models required the ability to relate one information model to another</w:t>
      </w:r>
      <w:r>
        <w:t xml:space="preserve"> </w:t>
      </w:r>
      <w:r>
        <w:t xml:space="preserve">(Lemon et al. 2012, 142)</w:t>
      </w:r>
      <w:r>
        <w:t xml:space="preserve">. Lemon et al suggested that this may be achieved through interoperability contracts between parties, however if such contracts are only between two parties, which has been the case (originator and implementer),</w:t>
      </w:r>
      <w:r>
        <w:t xml:space="preserve"> </w:t>
      </w:r>
      <w:r>
        <w:t xml:space="preserve">“</w:t>
      </w:r>
      <w:r>
        <w:t xml:space="preserve">no other party will be able to re-purpose the same information until they also enter into a similar arrangement with the originator</w:t>
      </w:r>
      <w:r>
        <w:t xml:space="preserve">”</w:t>
      </w:r>
      <w:r>
        <w:t xml:space="preserve"> </w:t>
      </w:r>
      <w:r>
        <w:t xml:space="preserve">(Lemon et al. 2012)</w:t>
      </w:r>
      <w:r>
        <w:t xml:space="preserve">. Hence significant weight has been placed on further development of interoperability contracts for the successful coherence of the system (Ibid.).</w:t>
      </w:r>
    </w:p>
    <w:p>
      <w:pPr>
        <w:pStyle w:val="Heading4"/>
      </w:pPr>
      <w:bookmarkStart w:id="93" w:name="leaner-data-driven-wbs-required"/>
      <w:bookmarkEnd w:id="93"/>
      <w:r>
        <w:t xml:space="preserve">Leaner, data-driven WBS required</w:t>
      </w:r>
    </w:p>
    <w:p>
      <w:r>
        <w:t xml:space="preserve">Assessing the effectiveness of the AWRIS project, the Australian Auditor General’s Report (AGR) found that the WBS had produced a lack of joint responsibility between senior IT and business representatives, resulting in a solution had been over‐engineered, and re-engineered as AWRIS 2, with significant cost</w:t>
      </w:r>
      <w:r>
        <w:t xml:space="preserve"> </w:t>
      </w:r>
      <w:r>
        <w:t xml:space="preserve">(Eddie and Simpson 2014, 10–104)</w:t>
      </w:r>
      <w:r>
        <w:rPr>
          <w:rStyle w:val="FootnoteRef"/>
        </w:rPr>
        <w:footnoteReference w:id="94"/>
      </w:r>
      <w:r>
        <w:t xml:space="preserve">. The AGR anticipated that a leaner development model may have resulted in a lower investment, and Maguire and Woolf noted that a change of emphasis towards data-driven approach was now being pursued</w:t>
      </w:r>
      <w:r>
        <w:t xml:space="preserve"> </w:t>
      </w:r>
      <w:r>
        <w:t xml:space="preserve">(Maguire and Woolf 2015)</w:t>
      </w:r>
      <w:r>
        <w:t xml:space="preserve">.</w:t>
      </w:r>
    </w:p>
    <w:p>
      <w:pPr>
        <w:pStyle w:val="Heading3"/>
      </w:pPr>
      <w:bookmarkStart w:id="96" w:name="industry-experience-study-2-qwc"/>
      <w:bookmarkEnd w:id="96"/>
      <w:r>
        <w:t xml:space="preserve">Industry Experience Study 2: QWC</w:t>
      </w:r>
      <w:r>
        <w:rPr>
          <w:rStyle w:val="FootnoteRef"/>
        </w:rPr>
        <w:footnoteReference w:id="95"/>
      </w:r>
    </w:p>
    <w:p>
      <w:r>
        <w:t xml:space="preserve">As noted by</w:t>
      </w:r>
      <w:r>
        <w:t xml:space="preserve"> </w:t>
      </w:r>
      <w:r>
        <w:t xml:space="preserve">QWC (2012)</w:t>
      </w:r>
      <w:r>
        <w:t xml:space="preserve">, CSG proponents were deemed responsible for implementing various components of the WMS. Specifically:</w:t>
      </w:r>
    </w:p>
    <w:p>
      <w:pPr>
        <w:pStyle w:val="Compact"/>
        <w:numPr>
          <w:numId w:val="1004"/>
          <w:ilvl w:val="0"/>
        </w:numPr>
      </w:pPr>
      <w:r>
        <w:t xml:space="preserve">Overseeing the collection of data in the field and laboratory</w:t>
      </w:r>
    </w:p>
    <w:p>
      <w:pPr>
        <w:pStyle w:val="Compact"/>
        <w:numPr>
          <w:numId w:val="1004"/>
          <w:ilvl w:val="0"/>
        </w:numPr>
      </w:pPr>
      <w:r>
        <w:t xml:space="preserve">Either by contractors or in-house</w:t>
      </w:r>
    </w:p>
    <w:p>
      <w:pPr>
        <w:pStyle w:val="Compact"/>
        <w:numPr>
          <w:numId w:val="1004"/>
          <w:ilvl w:val="0"/>
        </w:numPr>
      </w:pPr>
      <w:r>
        <w:t xml:space="preserve">Quality assuring the data</w:t>
      </w:r>
    </w:p>
    <w:p>
      <w:pPr>
        <w:pStyle w:val="Compact"/>
        <w:numPr>
          <w:numId w:val="1004"/>
          <w:ilvl w:val="0"/>
        </w:numPr>
      </w:pPr>
      <w:r>
        <w:t xml:space="preserve">Installation of a database system capable of accommodating the data for analysis and transfer to the regulator</w:t>
      </w:r>
    </w:p>
    <w:p>
      <w:r>
        <w:t xml:space="preserve">In addition to the basic regulatory requirements to transfer and collect data, companies themselves had internal requirements to create internal reporting and monitoring tools which could help in operational matters and in risk communication with stakeholders.</w:t>
      </w:r>
    </w:p>
    <w:p>
      <w:pPr>
        <w:pStyle w:val="Heading4"/>
      </w:pPr>
      <w:bookmarkStart w:id="97" w:name="vendor-based-systems"/>
      <w:bookmarkEnd w:id="97"/>
      <w:r>
        <w:t xml:space="preserve">Vendor-based systems</w:t>
      </w:r>
    </w:p>
    <w:p>
      <w:r>
        <w:t xml:space="preserve">The approach adopted to meets these requirements became similar to the situation observed by the BoM noted above, with many different water information management systems used, each with different data models, inconsistent feature descriptions and labelling practices.</w:t>
      </w:r>
    </w:p>
    <w:p>
      <w:pPr>
        <w:pStyle w:val="Heading4"/>
      </w:pPr>
      <w:bookmarkStart w:id="98" w:name="model-driven-standards-driven-wbs-1"/>
      <w:bookmarkEnd w:id="98"/>
      <w:r>
        <w:t xml:space="preserve">Model-driven &amp; Standards-driven WBS</w:t>
      </w:r>
    </w:p>
    <w:p>
      <w:r>
        <w:t xml:space="preserve">Analogous to the AWRIS experience, the Office of Groundwater Impact Assessment (OGIA) was deemed responsible for ingesting the data acquired by the CSG proponents. Model-driven approaches were used by adopting a subset of the Queensland Government’s Ground Water Database (GWDB) schema. This schema was then extended to accommodate additional fields required by the Bore Baseline Assessment Data dictionary</w:t>
      </w:r>
      <w:r>
        <w:t xml:space="preserve"> </w:t>
      </w:r>
      <w:r>
        <w:t xml:space="preserve">(Hunter et al. 2015)</w:t>
      </w:r>
      <w:r>
        <w:t xml:space="preserve">. Several CSV formatted documents were used for as the standards-driven transfer of data</w:t>
      </w:r>
      <w:r>
        <w:t xml:space="preserve"> </w:t>
      </w:r>
      <w:r>
        <w:t xml:space="preserve">(DNRM 2015)</w:t>
      </w:r>
      <w:r>
        <w:t xml:space="preserve">.</w:t>
      </w:r>
    </w:p>
    <w:p>
      <w:pPr>
        <w:pStyle w:val="Heading4"/>
      </w:pPr>
      <w:bookmarkStart w:id="99" w:name="outcomes"/>
      <w:bookmarkEnd w:id="99"/>
      <w:r>
        <w:t xml:space="preserve">Outcomes</w:t>
      </w:r>
    </w:p>
    <w:p>
      <w:r>
        <w:t xml:space="preserve">In a number of industry-based community of practice meetings organised by the Author, the various CSG database technicians met to discuss and identify difficulties that were common amongst all of the CSG proponents.</w:t>
      </w:r>
      <w:r>
        <w:rPr>
          <w:rStyle w:val="FootnoteRef"/>
        </w:rPr>
        <w:footnoteReference w:id="100"/>
      </w:r>
      <w:r>
        <w:t xml:space="preserve"> </w:t>
      </w:r>
      <w:r>
        <w:t xml:space="preserve">Without going through each company’s experience in detail, in general it can be said that, just as with the QLD GWDB, the vendor-based systems did not meet the QWC data requirements off-the-shelf, and needed enhancements typically in the range of $100-300k.</w:t>
      </w:r>
      <w:r>
        <w:rPr>
          <w:rStyle w:val="FootnoteRef"/>
        </w:rPr>
        <w:footnoteReference w:id="101"/>
      </w:r>
    </w:p>
    <w:p>
      <w:r>
        <w:t xml:space="preserve">Like the AWRIS system above, manual data QC transformation needed to be performed on the data, prior to import into the 3D visualisation Water Atlas project maintained by the University of Queensland</w:t>
      </w:r>
      <w:r>
        <w:t xml:space="preserve"> </w:t>
      </w:r>
      <w:r>
        <w:t xml:space="preserve">(Hunter et al. 2015)</w:t>
      </w:r>
      <w:r>
        <w:t xml:space="preserve">.</w:t>
      </w:r>
    </w:p>
    <w:p>
      <w:pPr>
        <w:pStyle w:val="Heading3"/>
      </w:pPr>
      <w:bookmarkStart w:id="102" w:name="alternative-approaches"/>
      <w:bookmarkEnd w:id="102"/>
      <w:r>
        <w:t xml:space="preserve">Alternative approaches</w:t>
      </w:r>
    </w:p>
    <w:p>
      <w:pPr>
        <w:pStyle w:val="Heading4"/>
      </w:pPr>
      <w:bookmarkStart w:id="103" w:name="relational-and-non-relational-data-systems"/>
      <w:bookmarkEnd w:id="103"/>
      <w:r>
        <w:t xml:space="preserve">Relational and Non-relational Data Systems</w:t>
      </w:r>
    </w:p>
    <w:p>
      <w:r>
        <w:t xml:space="preserve">The assumption of a relational system presents the challenge of system interoperability, where different end users, in different government and corporate entities, use different systems. As Shin and Kim note, NoSQL systems have been designed to meet this business needs to accommodate very large unstructured data sets</w:t>
      </w:r>
      <w:r>
        <w:t xml:space="preserve"> </w:t>
      </w:r>
      <w:r>
        <w:t xml:space="preserve">(Shin and Kim 2015)</w:t>
      </w:r>
      <w:r>
        <w:t xml:space="preserve">. Unstructured data is data that does not have a pre-defined data model. This is typically referred to emergent data requirements. It is typically text-heavy, but may contain data such as dates, numbers, and facts as well.</w:t>
      </w:r>
    </w:p>
    <w:p>
      <w:r>
        <w:t xml:space="preserve">Non-relational database technologies, also known as NoSQL, were developed to better meet the needs of key-value storage of large amounts of record</w:t>
      </w:r>
      <w:r>
        <w:t xml:space="preserve"> </w:t>
      </w:r>
      <w:r>
        <w:t xml:space="preserve">(Abramova, Bernardino, and Furtado 2014)</w:t>
      </w:r>
      <w:r>
        <w:t xml:space="preserve">. Stonebraker suggests that enterprises have been slow to deploy NoSQL technologies for various reasons, with some commentators noting that there are only a few problems that require</w:t>
      </w:r>
      <w:r>
        <w:t xml:space="preserve"> </w:t>
      </w:r>
      <w:r>
        <w:t xml:space="preserve">“</w:t>
      </w:r>
      <w:r>
        <w:t xml:space="preserve">consistency-relaxed</w:t>
      </w:r>
      <w:r>
        <w:t xml:space="preserve">”</w:t>
      </w:r>
      <w:r>
        <w:t xml:space="preserve"> </w:t>
      </w:r>
      <w:r>
        <w:t xml:space="preserve">alternatives</w:t>
      </w:r>
      <w:r>
        <w:t xml:space="preserve"> </w:t>
      </w:r>
      <w:r>
        <w:t xml:space="preserve">(Stonebraker 2010)</w:t>
      </w:r>
      <w:r>
        <w:t xml:space="preserve">.</w:t>
      </w:r>
    </w:p>
    <w:p>
      <w:r>
        <w:t xml:space="preserve">The task of meeting multiple stakeholder requirements together with accommodating multiple legacy data models is a problem that can benefit from relaxed consistency. However when considering the requirements for a risk governance system the tasks of integrating unstructured data with ARM and multiple data models of legacy vendor-systems provides for a novel engineering concept that is more reactive by design, accommodating data unstructured by any particular legacy data model.</w:t>
      </w:r>
    </w:p>
    <w:p>
      <w:pPr>
        <w:pStyle w:val="Heading4"/>
      </w:pPr>
      <w:bookmarkStart w:id="104" w:name="sql-to-nosql"/>
      <w:bookmarkEnd w:id="104"/>
      <w:r>
        <w:t xml:space="preserve">SQL to NoSQL</w:t>
      </w:r>
    </w:p>
    <w:p>
      <w:r>
        <w:t xml:space="preserve">Moving from from SQL to NoSQL, as Shin and Kim</w:t>
      </w:r>
      <w:r>
        <w:t xml:space="preserve"> </w:t>
      </w:r>
      <w:r>
        <w:t xml:space="preserve">(Shin and Kim 2015)</w:t>
      </w:r>
      <w:r>
        <w:t xml:space="preserve"> </w:t>
      </w:r>
      <w:r>
        <w:t xml:space="preserve">observe, presents a challenge of how to migrate data from the legacy SQL system to the NoSQL system. To meet this challenge, Shin and Kim produced a</w:t>
      </w:r>
      <w:r>
        <w:t xml:space="preserve"> </w:t>
      </w:r>
      <w:r>
        <w:t xml:space="preserve">“</w:t>
      </w:r>
      <w:r>
        <w:t xml:space="preserve">NoSQLayer</w:t>
      </w:r>
      <w:r>
        <w:t xml:space="preserve">”</w:t>
      </w:r>
      <w:r>
        <w:t xml:space="preserve"> </w:t>
      </w:r>
      <w:r>
        <w:t xml:space="preserve">to perform all data migration</w:t>
      </w:r>
      <w:r>
        <w:t xml:space="preserve"> </w:t>
      </w:r>
      <w:r>
        <w:t xml:space="preserve">(Shin and Kim 2015)</w:t>
      </w:r>
      <w:r>
        <w:t xml:space="preserve">. Whilst this is appropriate for a 1..1 migration (1 data model to 1 NoSQL system), the migration becomes more complex when it is an n..1 migration. That is, where there are many SQL database models to be migrated to one NoSQL system. This is the case with the regulatory environment in QLD regarding CSG data. Shin and Kim also noted an additional overhead requiring the adaptation of software application interfaces to communicate properly with the new database system (Ibid).</w:t>
      </w:r>
    </w:p>
    <w:p>
      <w:pPr>
        <w:pStyle w:val="Heading4"/>
      </w:pPr>
      <w:bookmarkStart w:id="105" w:name="data-driven-interface-technologies"/>
      <w:bookmarkEnd w:id="105"/>
      <w:r>
        <w:t xml:space="preserve">Data-driven interface technologies</w:t>
      </w:r>
    </w:p>
    <w:p>
      <w:r>
        <w:t xml:space="preserve">Data-driven interface technologies have been developed in response to the interface problem noted by Shin and Kim above. Of the presently available approaches, javaScript technologies such as D3.js and server-side javaScript, known as Node.js, have received significant attention</w:t>
      </w:r>
      <w:r>
        <w:t xml:space="preserve"> </w:t>
      </w:r>
      <w:r>
        <w:t xml:space="preserve">(Tilkov and Vinoski 2010; Bostock, Ogievetsky, and Heer 2011; Harper and Agrawala 2014)</w:t>
      </w:r>
      <w:r>
        <w:t xml:space="preserve">. Anticipated benefits of the data-driven approach are improved expressiveness through representational transparency, better integration with developer tools, and performance improvements</w:t>
      </w:r>
      <w:r>
        <w:t xml:space="preserve"> </w:t>
      </w:r>
      <w:r>
        <w:t xml:space="preserve">(Bostock, Ogievetsky, and Heer 2011; Nunn 2015b; Nunn 2015a)</w:t>
      </w:r>
      <w:r>
        <w:t xml:space="preserve">.</w:t>
      </w:r>
    </w:p>
    <w:p>
      <w:pPr>
        <w:pStyle w:val="Heading4"/>
      </w:pPr>
      <w:bookmarkStart w:id="106" w:name="reactive-engineering"/>
      <w:bookmarkEnd w:id="106"/>
      <w:r>
        <w:t xml:space="preserve">Reactive Engineering</w:t>
      </w:r>
    </w:p>
    <w:p>
      <w:r>
        <w:t xml:space="preserve">In addition to the technologies noted above, reactive engineering has also emerged as a novel development method where changes in data requirements are automatically propagate throughout the User Interface</w:t>
      </w:r>
      <w:r>
        <w:t xml:space="preserve"> </w:t>
      </w:r>
      <w:r>
        <w:t xml:space="preserve">(Czaplicki and Chong 2013; facebook 2015)</w:t>
      </w:r>
      <w:r>
        <w:t xml:space="preserve">. When the the product has emergent data and UI requirements built into the design the traditional WBS methods do not have the same priority for developers.</w:t>
      </w:r>
    </w:p>
    <w:p>
      <w:pPr>
        <w:pStyle w:val="Heading3"/>
      </w:pPr>
      <w:bookmarkStart w:id="107" w:name="requirements---wbs"/>
      <w:bookmarkEnd w:id="107"/>
      <w:r>
        <w:t xml:space="preserve">Requirements - WBS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user permissions</w:t>
            </w:r>
          </w:p>
        </w:tc>
        <w:tc>
          <w:p>
            <w:pPr>
              <w:pStyle w:val="Compact"/>
              <w:jc w:val="left"/>
            </w:pPr>
            <w:r>
              <w:rPr>
                <w:rStyle w:val="VerbatimChar"/>
              </w:rPr>
              <w:t xml:space="preserve">schema: user</w:t>
            </w:r>
          </w:p>
        </w:tc>
      </w:tr>
      <w:tr>
        <w:tc>
          <w:p>
            <w:pPr>
              <w:pStyle w:val="Compact"/>
              <w:jc w:val="left"/>
            </w:pPr>
            <w:r>
              <w:t xml:space="preserve">3</w:t>
            </w:r>
          </w:p>
        </w:tc>
        <w:tc>
          <w:p>
            <w:pPr>
              <w:pStyle w:val="Compact"/>
              <w:jc w:val="left"/>
            </w:pPr>
            <w:r>
              <w:t xml:space="preserve">Able to accommodate multiple data models and large (big-data) datasets</w:t>
            </w:r>
          </w:p>
        </w:tc>
        <w:tc>
          <w:p>
            <w:pPr>
              <w:pStyle w:val="Compact"/>
              <w:jc w:val="left"/>
            </w:pPr>
            <w:r>
              <w:t xml:space="preserve">NoSQL translation layer</w:t>
            </w:r>
          </w:p>
        </w:tc>
      </w:tr>
      <w:tr>
        <w:tc>
          <w:p>
            <w:pPr>
              <w:pStyle w:val="Compact"/>
              <w:jc w:val="left"/>
            </w:pPr>
            <w:r>
              <w:t xml:space="preserve">1</w:t>
            </w:r>
          </w:p>
        </w:tc>
        <w:tc>
          <w:p>
            <w:pPr>
              <w:pStyle w:val="Compact"/>
              <w:jc w:val="left"/>
            </w:pPr>
            <w:r>
              <w:t xml:space="preserve">Able to accommodate emergent requirements from ARM</w:t>
            </w:r>
          </w:p>
        </w:tc>
        <w:tc>
          <w:p>
            <w:pPr>
              <w:pStyle w:val="Compact"/>
              <w:jc w:val="left"/>
            </w:pPr>
            <w:r>
              <w:t xml:space="preserve">NoSQL application</w:t>
            </w:r>
          </w:p>
        </w:tc>
      </w:tr>
      <w:tr>
        <w:tc>
          <w:p>
            <w:pPr>
              <w:pStyle w:val="Compact"/>
              <w:jc w:val="left"/>
            </w:pPr>
            <w:r>
              <w:t xml:space="preserve">1</w:t>
            </w:r>
          </w:p>
        </w:tc>
        <w:tc>
          <w:p>
            <w:pPr>
              <w:pStyle w:val="Compact"/>
              <w:jc w:val="left"/>
            </w:pPr>
            <w:r>
              <w:t xml:space="preserve">Data-driven reactive user interface</w:t>
            </w:r>
          </w:p>
        </w:tc>
        <w:tc>
          <w:p>
            <w:pPr>
              <w:pStyle w:val="Compact"/>
              <w:jc w:val="left"/>
            </w:pPr>
            <w:r>
              <w:t xml:space="preserve">data-driven ui scripting library (fastn.js/Angular.js/reactive.js)</w:t>
            </w:r>
          </w:p>
        </w:tc>
      </w:tr>
      <w:tr>
        <w:tc>
          <w:p>
            <w:pPr>
              <w:pStyle w:val="Compact"/>
              <w:jc w:val="left"/>
            </w:pPr>
            <w:r>
              <w:t xml:space="preserve">1</w:t>
            </w:r>
          </w:p>
        </w:tc>
        <w:tc>
          <w:p>
            <w:pPr>
              <w:pStyle w:val="Compact"/>
              <w:jc w:val="left"/>
            </w:pPr>
            <w:r>
              <w:t xml:space="preserve">Able to add unstructured data on add-hoc basis</w:t>
            </w:r>
          </w:p>
        </w:tc>
        <w:tc>
          <w:p>
            <w:pPr>
              <w:pStyle w:val="Compact"/>
              <w:jc w:val="left"/>
            </w:pPr>
            <w:r>
              <w:t xml:space="preserve">NoSQL application</w:t>
            </w:r>
          </w:p>
        </w:tc>
      </w:tr>
      <w:tr>
        <w:tc>
          <w:p>
            <w:pPr>
              <w:pStyle w:val="Compact"/>
              <w:jc w:val="left"/>
            </w:pPr>
            <w:r>
              <w:t xml:space="preserve">1</w:t>
            </w:r>
          </w:p>
        </w:tc>
        <w:tc>
          <w:p>
            <w:pPr>
              <w:pStyle w:val="Compact"/>
              <w:jc w:val="left"/>
            </w:pPr>
            <w:r>
              <w:t xml:space="preserve">Data transfer not limited to jurisdiction</w:t>
            </w:r>
          </w:p>
        </w:tc>
        <w:tc>
          <w:p>
            <w:pPr>
              <w:pStyle w:val="Compact"/>
              <w:jc w:val="left"/>
            </w:pPr>
            <w:r>
              <w:t xml:space="preserve">cloud-based web application</w:t>
            </w:r>
          </w:p>
        </w:tc>
      </w:tr>
    </w:tbl>
    <w:p>
      <w:pPr>
        <w:pStyle w:val="Heading2"/>
      </w:pPr>
      <w:bookmarkStart w:id="108" w:name="risk-visualisation-and-communication-rvc"/>
      <w:bookmarkEnd w:id="108"/>
      <w:r>
        <w:t xml:space="preserve">Risk Visualisation and Communication (RVC)</w:t>
      </w:r>
    </w:p>
    <w:p>
      <w:r>
        <w:t xml:space="preserve">In NSW, the Chief Scientist’s report made a number of recommendations</w:t>
      </w:r>
      <w:r>
        <w:t xml:space="preserve"> </w:t>
      </w:r>
      <w:r>
        <w:t xml:space="preserve">(O’Kane 2014)</w:t>
      </w:r>
      <w:r>
        <w:t xml:space="preserve">. A primary recommendation was to establish a system enabling high levels of transparency for the maintenance of</w:t>
      </w:r>
      <w:r>
        <w:t xml:space="preserve"> </w:t>
      </w:r>
      <w:r>
        <w:t xml:space="preserve">“</w:t>
      </w:r>
      <w:r>
        <w:t xml:space="preserve">reliable, complete, current and authoritative data on all aspects of CSG and having this data held in a central, comprehensive, spatially-enabled, open, whole-of-environment data repository</w:t>
      </w:r>
      <w:r>
        <w:t xml:space="preserve">”</w:t>
      </w:r>
      <w:r>
        <w:t xml:space="preserve"> </w:t>
      </w:r>
      <w:r>
        <w:t xml:space="preserve">(Brockett 2014b, p. iv)</w:t>
      </w:r>
      <w:r>
        <w:t xml:space="preserve">. O’kane, also noted that big data technologies should be exploited for data analysis</w:t>
      </w:r>
      <w:r>
        <w:t xml:space="preserve"> </w:t>
      </w:r>
      <w:r>
        <w:t xml:space="preserve">(O’Kane 2014, 11)</w:t>
      </w:r>
      <w:r>
        <w:t xml:space="preserve">.</w:t>
      </w:r>
    </w:p>
    <w:p>
      <w:pPr>
        <w:pStyle w:val="Heading3"/>
      </w:pPr>
      <w:bookmarkStart w:id="109" w:name="requirements---rvc"/>
      <w:bookmarkEnd w:id="109"/>
      <w:r>
        <w:t xml:space="preserve">Requirements - RVC</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Provide reliable, complete &amp; current data</w:t>
            </w:r>
          </w:p>
        </w:tc>
        <w:tc>
          <w:p>
            <w:pPr>
              <w:pStyle w:val="Compact"/>
              <w:jc w:val="left"/>
            </w:pPr>
            <w:r>
              <w:t xml:space="preserve">mobile and desktop access</w:t>
            </w:r>
          </w:p>
        </w:tc>
      </w:tr>
      <w:tr>
        <w:tc>
          <w:p>
            <w:pPr>
              <w:pStyle w:val="Compact"/>
              <w:jc w:val="left"/>
            </w:pPr>
            <w:r>
              <w:t xml:space="preserve">1</w:t>
            </w:r>
          </w:p>
        </w:tc>
        <w:tc>
          <w:p>
            <w:pPr>
              <w:pStyle w:val="Compact"/>
              <w:jc w:val="left"/>
            </w:pPr>
            <w:r>
              <w:t xml:space="preserve">Data held in a central repository</w:t>
            </w:r>
          </w:p>
        </w:tc>
        <w:tc>
          <w:p>
            <w:pPr>
              <w:pStyle w:val="Compact"/>
              <w:jc w:val="left"/>
            </w:pPr>
            <w:r>
              <w:t xml:space="preserve">cloud-based database</w:t>
            </w:r>
          </w:p>
        </w:tc>
      </w:tr>
      <w:tr>
        <w:tc>
          <w:p>
            <w:pPr>
              <w:pStyle w:val="Compact"/>
              <w:jc w:val="left"/>
            </w:pPr>
            <w:r>
              <w:t xml:space="preserve">1</w:t>
            </w:r>
          </w:p>
        </w:tc>
        <w:tc>
          <w:p>
            <w:pPr>
              <w:pStyle w:val="Compact"/>
              <w:jc w:val="left"/>
            </w:pPr>
            <w:r>
              <w:t xml:space="preserve">Makes use of Big Data systems</w:t>
            </w:r>
          </w:p>
        </w:tc>
        <w:tc>
          <w:p>
            <w:pPr>
              <w:pStyle w:val="Compact"/>
              <w:jc w:val="left"/>
            </w:pPr>
            <w:r>
              <w:t xml:space="preserve">cloud-based bigdata (MongoDB-Hadoop/AWS tools)</w:t>
            </w:r>
          </w:p>
        </w:tc>
      </w:tr>
      <w:tr>
        <w:tc>
          <w:p>
            <w:pPr>
              <w:pStyle w:val="Compact"/>
              <w:jc w:val="left"/>
            </w:pPr>
            <w:r>
              <w:t xml:space="preserve">1</w:t>
            </w:r>
          </w:p>
        </w:tc>
        <w:tc>
          <w:p>
            <w:pPr>
              <w:pStyle w:val="Compact"/>
              <w:jc w:val="left"/>
            </w:pPr>
            <w:r>
              <w:t xml:space="preserve">Able to provide transparency in risk data to appropriate stakeholders</w:t>
            </w:r>
          </w:p>
        </w:tc>
        <w:tc>
          <w:p>
            <w:pPr>
              <w:pStyle w:val="Compact"/>
              <w:jc w:val="left"/>
            </w:pPr>
            <w:r>
              <w:t xml:space="preserve">database Permissions</w:t>
            </w:r>
          </w:p>
        </w:tc>
      </w:tr>
      <w:tr>
        <w:tc>
          <w:p>
            <w:pPr>
              <w:pStyle w:val="Compact"/>
              <w:jc w:val="left"/>
            </w:pPr>
            <w:r>
              <w:t xml:space="preserve">1</w:t>
            </w:r>
          </w:p>
        </w:tc>
        <w:tc>
          <w:p>
            <w:pPr>
              <w:pStyle w:val="Compact"/>
              <w:jc w:val="left"/>
            </w:pPr>
            <w:r>
              <w:t xml:space="preserve">Able to provide spatial data to appropriate stakeholders</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capture stakeholder approval of company on SLO pyramid</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capture and store assessment data to be entered in remote locations without mobile phone access by appropriately qualified staff</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transfer data to regulator in required format</w:t>
            </w:r>
          </w:p>
        </w:tc>
        <w:tc>
          <w:p>
            <w:pPr>
              <w:pStyle w:val="Compact"/>
              <w:jc w:val="left"/>
            </w:pPr>
            <w:r>
              <w:t xml:space="preserve">web-based mapping and layers</w:t>
            </w:r>
          </w:p>
        </w:tc>
      </w:tr>
    </w:tbl>
    <w:p>
      <w:pPr>
        <w:pStyle w:val="Heading1"/>
      </w:pPr>
      <w:bookmarkStart w:id="110" w:name="conclusion"/>
      <w:bookmarkEnd w:id="110"/>
      <w:r>
        <w:t xml:space="preserve">Conclusion</w:t>
      </w:r>
    </w:p>
    <w:p>
      <w:r>
        <w:t xml:space="preserve">This literature review aimed to gather requirements for a system of risk Governance by addressing current literature and methods of risk analysis and governance. At a high level it can be said that there are a large and complex number of requirements, and these requirements are varied and dynamic such that they change over time with emergent requirements generated as new information and data is collected and new questions generated.</w:t>
      </w:r>
    </w:p>
    <w:p>
      <w:r>
        <w:t xml:space="preserve">That the dynamic nature of social license to operate and perceived risk, seems to mean that risk governance is not a</w:t>
      </w:r>
      <w:r>
        <w:t xml:space="preserve"> </w:t>
      </w:r>
      <w:r>
        <w:t xml:space="preserve">“</w:t>
      </w:r>
      <w:r>
        <w:t xml:space="preserve">one-shot</w:t>
      </w:r>
      <w:r>
        <w:t xml:space="preserve">”</w:t>
      </w:r>
      <w:r>
        <w:t xml:space="preserve"> </w:t>
      </w:r>
      <w:r>
        <w:t xml:space="preserve">assessment system. This is to say that one cannot just do an expert</w:t>
      </w:r>
      <w:r>
        <w:t xml:space="preserve"> </w:t>
      </w:r>
      <w:r>
        <w:t xml:space="preserve">“</w:t>
      </w:r>
      <w:r>
        <w:t xml:space="preserve">risk assessment</w:t>
      </w:r>
      <w:r>
        <w:t xml:space="preserve">”</w:t>
      </w:r>
      <w:r>
        <w:t xml:space="preserve">, and then expect operations to have achieved an on-going social licence for an operational life-cycle, or to have achieved environmental compliance.</w:t>
      </w:r>
    </w:p>
    <w:p>
      <w:r>
        <w:t xml:space="preserve">Rather, at any point in the life-cycle of an operation, social licence can be withdrawn regardless of an initial risk impact assessment. Hence, risk needs to be an on-going monitoring mechanism. This seems to generate a requirement for conceiving risks as time-series parameters, with assessment and monitoring over time.</w:t>
      </w:r>
    </w:p>
    <w:p>
      <w:r>
        <w:t xml:space="preserve">As noted above, industry experience shows that few pre-existing vendor-based and legacy systems do not meet all data requirements for a holistic notion of risk governance which covers all areas and approaches which are applicable to UE risk. This raises an engineering question captured under the phrase</w:t>
      </w:r>
      <w:r>
        <w:t xml:space="preserve"> </w:t>
      </w:r>
      <w:r>
        <w:t xml:space="preserve">‘</w:t>
      </w:r>
      <w:r>
        <w:t xml:space="preserve">migrate or integrate</w:t>
      </w:r>
      <w:r>
        <w:t xml:space="preserve">’</w:t>
      </w:r>
      <w:r>
        <w:t xml:space="preserve">.</w:t>
      </w:r>
    </w:p>
    <w:p>
      <w:r>
        <w:t xml:space="preserve">BigData, along with NoSQL technologies appear to be well-positioned to be able to meet the requirement for accommodating unstructured data, together with data transfer requirements from the regulators in the form of pre-existing data dictionaries, pre-existing data models and the requirement for a dynamic data-model which is responsive to changing requirements.</w:t>
      </w:r>
    </w:p>
    <w:p>
      <w:r>
        <w:t xml:space="preserve">However future work will not only be to synthesis and uniquify high level requirements to eliminate duplication, and then decompose the unique requirement set into technical, level 4 and level 5 requirements, but also to determine the strategy for a whole-of-system solution.</w:t>
      </w:r>
    </w:p>
    <w:p>
      <w:pPr>
        <w:pStyle w:val="Heading1"/>
      </w:pPr>
      <w:bookmarkStart w:id="111" w:name="references"/>
      <w:bookmarkEnd w:id="111"/>
      <w:r>
        <w:t xml:space="preserve">References</w:t>
      </w:r>
    </w:p>
    <w:p/>
    <w:p>
      <w:pPr>
        <w:pStyle w:val="Bibliography"/>
      </w:pPr>
      <w:r>
        <w:t xml:space="preserve">ABARES. 2014. “Multi-Criteria Analysis Shell For Spatial Decision Support.” Australian Bureau of Agricultural; Resource Economics; Sciences (ABARES).</w:t>
      </w:r>
    </w:p>
    <w:p>
      <w:pPr>
        <w:pStyle w:val="Bibliography"/>
      </w:pPr>
      <w:r>
        <w:t xml:space="preserve">ABC. 2015. “Linc Energy: Key Findings from the Experts’ Report.” Text.</w:t>
      </w:r>
      <w:r>
        <w:t xml:space="preserve"> </w:t>
      </w:r>
      <w:r>
        <w:rPr>
          <w:i/>
        </w:rPr>
        <w:t xml:space="preserve">ABC News</w:t>
      </w:r>
      <w:r>
        <w:t xml:space="preserve">.</w:t>
      </w:r>
      <w:r>
        <w:t xml:space="preserve"> </w:t>
      </w:r>
      <w:hyperlink r:id="rId112">
        <w:r>
          <w:rPr>
            <w:rStyle w:val="Link"/>
          </w:rPr>
          <w:t xml:space="preserve">http://www.abc.net.au/news/2015-08-10/linc-energy-key-findings/6681938</w:t>
        </w:r>
      </w:hyperlink>
      <w:r>
        <w:t xml:space="preserve">.</w:t>
      </w:r>
    </w:p>
    <w:p>
      <w:pPr>
        <w:pStyle w:val="Bibliography"/>
      </w:pPr>
      <w:r>
        <w:t xml:space="preserve">Abramova, Veronika, Jorge Bernardino, and Pedro Furtado. 2014. “Experimental Evaluation of NoSQL Databases.”</w:t>
      </w:r>
      <w:r>
        <w:t xml:space="preserve"> </w:t>
      </w:r>
      <w:r>
        <w:rPr>
          <w:i/>
        </w:rPr>
        <w:t xml:space="preserve">International Journal of Database Management Systems</w:t>
      </w:r>
      <w:r>
        <w:t xml:space="preserve"> </w:t>
      </w:r>
      <w:r>
        <w:t xml:space="preserve">6 (3): 01–16.</w:t>
      </w:r>
      <w:r>
        <w:t xml:space="preserve"> </w:t>
      </w:r>
      <w:hyperlink r:id="rId113">
        <w:r>
          <w:rPr>
            <w:rStyle w:val="Link"/>
          </w:rPr>
          <w:t xml:space="preserve">http://airccse.org/journal/ijdms/papers/6314ijdms01.pdf</w:t>
        </w:r>
      </w:hyperlink>
      <w:r>
        <w:t xml:space="preserve">.</w:t>
      </w:r>
    </w:p>
    <w:p>
      <w:pPr>
        <w:pStyle w:val="Bibliography"/>
      </w:pPr>
      <w:r>
        <w:t xml:space="preserve">Amato, Matthew, and Kevin Ring. 2015. “Getting Serious with JavaScript.”</w:t>
      </w:r>
      <w:r>
        <w:t xml:space="preserve"> </w:t>
      </w:r>
      <w:r>
        <w:rPr>
          <w:i/>
        </w:rPr>
        <w:t xml:space="preserve">WebGL Insights</w:t>
      </w:r>
      <w:r>
        <w:t xml:space="preserve">, 49.</w:t>
      </w:r>
      <w:r>
        <w:t xml:space="preserve"> </w:t>
      </w:r>
      <w:hyperlink r:id="rId114">
        <w:r>
          <w:rPr>
            <w:rStyle w:val="Link"/>
          </w:rPr>
          <w:t xml:space="preserve">https://books.google.com.au/books?hl=en&amp;lr=&amp;id=6crECQAAQBAJ&amp;oi=fnd&amp;pg=PA49&amp;dq=Getting+Serious+with+JavaScript.+Matthew+Amato+and+Kevin+Ring&amp;ots=Jq8hbWMdUB&amp;sig=UM6JlanN7f_OT9DZM5zJ5ZwZCAI</w:t>
        </w:r>
      </w:hyperlink>
      <w:r>
        <w:t xml:space="preserve">.</w:t>
      </w:r>
    </w:p>
    <w:p>
      <w:pPr>
        <w:pStyle w:val="Bibliography"/>
      </w:pPr>
      <w:r>
        <w:t xml:space="preserve">ANEDO, Australian Network of Environmental Defender’s Offices. 2013. “Submission on the Draft National Harmonised Regulatory Framework for Coal Seam Gas 2012.” Australian Network of Environmental Defender’s Offices.</w:t>
      </w:r>
      <w:r>
        <w:t xml:space="preserve"> </w:t>
      </w:r>
      <w:hyperlink r:id="rId115">
        <w:r>
          <w:rPr>
            <w:rStyle w:val="Link"/>
          </w:rPr>
          <w:t xml:space="preserve">http://www.scer.gov.au/files/2013/03/ANEnviromentalDefendersOffice.pdf</w:t>
        </w:r>
      </w:hyperlink>
      <w:r>
        <w:t xml:space="preserve">.</w:t>
      </w:r>
    </w:p>
    <w:p>
      <w:pPr>
        <w:pStyle w:val="Bibliography"/>
      </w:pPr>
      <w:r>
        <w:t xml:space="preserve">Australia, Commonwealth of. 2006. “AWRIS – Implementation and Investment Plan.” FINAL REPORT. National Water Commission.</w:t>
      </w:r>
      <w:r>
        <w:t xml:space="preserve"> </w:t>
      </w:r>
      <w:hyperlink r:id="rId116">
        <w:r>
          <w:rPr>
            <w:rStyle w:val="Link"/>
          </w:rPr>
          <w:t xml:space="preserve">http://www.water.gov.au/publications/AWRIS_ImplementationPlan_Dec06.pdf</w:t>
        </w:r>
      </w:hyperlink>
      <w:r>
        <w:t xml:space="preserve">.</w:t>
      </w:r>
    </w:p>
    <w:p>
      <w:pPr>
        <w:pStyle w:val="Bibliography"/>
      </w:pPr>
      <w:r>
        <w:t xml:space="preserve">Australia, Standards. 2009. “AS/NZS ISO 31000:2009, Risk Management - Principles and Guidelines.” Standards Australia.</w:t>
      </w:r>
    </w:p>
    <w:p>
      <w:pPr>
        <w:pStyle w:val="Bibliography"/>
      </w:pPr>
      <w:r>
        <w:t xml:space="preserve">Aven, T., and Ortwin Renn. 2010.</w:t>
      </w:r>
      <w:r>
        <w:t xml:space="preserve"> </w:t>
      </w:r>
      <w:r>
        <w:rPr>
          <w:i/>
        </w:rPr>
        <w:t xml:space="preserve">Risk Management and Governance: Concepts, Guidelines and Applications</w:t>
      </w:r>
      <w:r>
        <w:t xml:space="preserve">. Vol. 16. Risk, Governance and Society. New York: Springer.</w:t>
      </w:r>
      <w:r>
        <w:t xml:space="preserve"> </w:t>
      </w:r>
      <w:hyperlink r:id="rId117">
        <w:r>
          <w:rPr>
            <w:rStyle w:val="Link"/>
          </w:rPr>
          <w:t xml:space="preserve">http://ezproxy.library.uq.edu.au/login?url=http://www.springerlink.com/openurl.asp?genre=book&amp;isbn=978-3-642-13925-3</w:t>
        </w:r>
      </w:hyperlink>
      <w:r>
        <w:t xml:space="preserve">.</w:t>
      </w:r>
    </w:p>
    <w:p>
      <w:pPr>
        <w:pStyle w:val="Bibliography"/>
      </w:pPr>
      <w:r>
        <w:t xml:space="preserve">Baker, S., D. Ponniah, and S. Smith. 1998. “Techniques for the Analysis of Risks in Major Projects.”</w:t>
      </w:r>
      <w:r>
        <w:t xml:space="preserve"> </w:t>
      </w:r>
      <w:r>
        <w:rPr>
          <w:i/>
        </w:rPr>
        <w:t xml:space="preserve">The Journal of the Operational Research Society</w:t>
      </w:r>
      <w:r>
        <w:t xml:space="preserve"> </w:t>
      </w:r>
      <w:r>
        <w:t xml:space="preserve">49 (6): 567–72. doi:</w:t>
      </w:r>
      <w:hyperlink r:id="rId118">
        <w:r>
          <w:rPr>
            <w:rStyle w:val="Link"/>
          </w:rPr>
          <w:t xml:space="preserve">10.2307/3010665</w:t>
        </w:r>
      </w:hyperlink>
      <w:r>
        <w:t xml:space="preserve">.</w:t>
      </w:r>
    </w:p>
    <w:p>
      <w:pPr>
        <w:pStyle w:val="Bibliography"/>
      </w:pPr>
      <w:r>
        <w:t xml:space="preserve">Barker, Gary W., Edward J. Steele, and Kevin P. Heaton. 1998. “Assessing Non-Technical Risks in Oil and Gas Exploration and Production.” In. Society of Petroleum Engineers. doi:</w:t>
      </w:r>
      <w:hyperlink r:id="rId119">
        <w:r>
          <w:rPr>
            <w:rStyle w:val="Link"/>
          </w:rPr>
          <w:t xml:space="preserve">10.2118/46844-MS</w:t>
        </w:r>
      </w:hyperlink>
      <w:r>
        <w:t xml:space="preserve">.</w:t>
      </w:r>
    </w:p>
    <w:p>
      <w:pPr>
        <w:pStyle w:val="Bibliography"/>
      </w:pPr>
      <w:r>
        <w:t xml:space="preserve">Beckers, Jos, Troy Cook, and Adam Butcher. 2013. “Groundwater Risks Associated with Coal Seam Gas Development in the Surat and Southern Bowen Basins - Final Report.” WorleyParsons Resource &amp; Energy.</w:t>
      </w:r>
      <w:r>
        <w:t xml:space="preserve"> </w:t>
      </w:r>
      <w:hyperlink r:id="rId120">
        <w:r>
          <w:rPr>
            <w:rStyle w:val="Link"/>
          </w:rPr>
          <w:t xml:space="preserve">https://www.dnrm.qld.gov.au/__data/assets/pdf_file/0013/106015/act-5-groundwater-risks-report-text.pdf</w:t>
        </w:r>
      </w:hyperlink>
      <w:r>
        <w:t xml:space="preserve">.</w:t>
      </w:r>
    </w:p>
    <w:p>
      <w:pPr>
        <w:pStyle w:val="Bibliography"/>
      </w:pPr>
      <w:r>
        <w:t xml:space="preserve">Bostock, M., V. Ogievetsky, and J. Heer. 2011. “D3: Data-Driven Documents.”</w:t>
      </w:r>
      <w:r>
        <w:t xml:space="preserve"> </w:t>
      </w:r>
      <w:r>
        <w:rPr>
          <w:i/>
        </w:rPr>
        <w:t xml:space="preserve">IEEE Transactions on Visualization and Computer Graphics</w:t>
      </w:r>
      <w:r>
        <w:t xml:space="preserve"> </w:t>
      </w:r>
      <w:r>
        <w:t xml:space="preserve">17 (12): 2301–9. doi:</w:t>
      </w:r>
      <w:hyperlink r:id="rId121">
        <w:r>
          <w:rPr>
            <w:rStyle w:val="Link"/>
          </w:rPr>
          <w:t xml:space="preserve">10.1109/TVCG.2011.185</w:t>
        </w:r>
      </w:hyperlink>
      <w:r>
        <w:t xml:space="preserve">.</w:t>
      </w:r>
    </w:p>
    <w:p>
      <w:pPr>
        <w:pStyle w:val="Bibliography"/>
      </w:pPr>
      <w:r>
        <w:t xml:space="preserve">Boudicca, Cerese. 2013. “Lock the Gate Alliance - Response to Draft National Harmonised Regulatory Framework.” Lock the Gate Alliance.</w:t>
      </w:r>
      <w:r>
        <w:t xml:space="preserve"> </w:t>
      </w:r>
      <w:hyperlink r:id="rId122">
        <w:r>
          <w:rPr>
            <w:rStyle w:val="Link"/>
          </w:rPr>
          <w:t xml:space="preserve">http://www.scer.gov.au/files/2013/03/LocktheGateAlliance-Lismore.pdf</w:t>
        </w:r>
      </w:hyperlink>
      <w:r>
        <w:t xml:space="preserve">.</w:t>
      </w:r>
    </w:p>
    <w:p>
      <w:pPr>
        <w:pStyle w:val="Bibliography"/>
      </w:pPr>
      <w:r>
        <w:t xml:space="preserve">Boutilier, Robert, and Ian Thomson. 2011. “Modelling And Measuring The Social License To Operate: Fruits Of A Dialogue Between Theory And Practice.” On Common Ground.</w:t>
      </w:r>
      <w:r>
        <w:t xml:space="preserve"> </w:t>
      </w:r>
      <w:hyperlink r:id="rId123">
        <w:r>
          <w:rPr>
            <w:rStyle w:val="Link"/>
          </w:rPr>
          <w:t xml:space="preserve">http://socialicense.com/publications/Modelling%20and%20Measuring%20the%20SLO.pdf</w:t>
        </w:r>
      </w:hyperlink>
      <w:r>
        <w:t xml:space="preserve">.</w:t>
      </w:r>
    </w:p>
    <w:p>
      <w:pPr>
        <w:pStyle w:val="Bibliography"/>
      </w:pPr>
      <w:r>
        <w:t xml:space="preserve">Bracken, Michael B. 2003. “The First Epidemiologic Text.”</w:t>
      </w:r>
      <w:r>
        <w:t xml:space="preserve"> </w:t>
      </w:r>
      <w:r>
        <w:rPr>
          <w:i/>
        </w:rPr>
        <w:t xml:space="preserve">American Journal of Epidemiology</w:t>
      </w:r>
      <w:r>
        <w:t xml:space="preserve"> </w:t>
      </w:r>
      <w:r>
        <w:t xml:space="preserve">157 (9): 855–56.</w:t>
      </w:r>
      <w:r>
        <w:t xml:space="preserve"> </w:t>
      </w:r>
      <w:hyperlink r:id="rId124">
        <w:r>
          <w:rPr>
            <w:rStyle w:val="Link"/>
          </w:rPr>
          <w:t xml:space="preserve">http://aje.oxfordjournals.org/content/157/9/855.2.short</w:t>
        </w:r>
      </w:hyperlink>
      <w:r>
        <w:t xml:space="preserve">.</w:t>
      </w:r>
    </w:p>
    <w:p>
      <w:pPr>
        <w:pStyle w:val="Bibliography"/>
      </w:pPr>
      <w:r>
        <w:t xml:space="preserve">Brandimarte, Paolo. 2014.</w:t>
      </w:r>
      <w:r>
        <w:t xml:space="preserve"> </w:t>
      </w:r>
      <w:r>
        <w:rPr>
          <w:i/>
        </w:rPr>
        <w:t xml:space="preserve">Handbook in Monte Carlo Simulation: Applications in Financial Engineering, Risk Management, and Economics</w:t>
      </w:r>
      <w:r>
        <w:t xml:space="preserve">. 1 edition. Hoboken, New Jersey: Wiley.</w:t>
      </w:r>
    </w:p>
    <w:p>
      <w:pPr>
        <w:pStyle w:val="Bibliography"/>
      </w:pPr>
      <w:r>
        <w:t xml:space="preserve">Brockett, R. 2014a. “Streamline, Standardize or Specialize? Frameworks for Regulation of Unconventional Gas in Australia.” In</w:t>
      </w:r>
      <w:r>
        <w:t xml:space="preserve"> </w:t>
      </w:r>
      <w:r>
        <w:rPr>
          <w:i/>
        </w:rPr>
        <w:t xml:space="preserve">APPEA</w:t>
      </w:r>
      <w:r>
        <w:t xml:space="preserve">.</w:t>
      </w:r>
    </w:p>
    <w:p>
      <w:pPr>
        <w:pStyle w:val="Bibliography"/>
      </w:pPr>
      <w:r>
        <w:t xml:space="preserve">———. 2014b. “The Regulation of Unconventional Gas in Queensland and New South Wales-Divergent Paths, Same Destination?”</w:t>
      </w:r>
      <w:r>
        <w:t xml:space="preserve"> </w:t>
      </w:r>
      <w:r>
        <w:rPr>
          <w:i/>
        </w:rPr>
        <w:t xml:space="preserve">Oil, Gas &amp; Energy Law Journal (OGEL)</w:t>
      </w:r>
      <w:r>
        <w:t xml:space="preserve"> </w:t>
      </w:r>
      <w:r>
        <w:t xml:space="preserve">12 (3).</w:t>
      </w:r>
      <w:r>
        <w:t xml:space="preserve"> </w:t>
      </w:r>
      <w:hyperlink r:id="rId125">
        <w:r>
          <w:rPr>
            <w:rStyle w:val="Link"/>
          </w:rPr>
          <w:t xml:space="preserve">https://www.transnational-dispute-management.com/article.asp?key=3480</w:t>
        </w:r>
      </w:hyperlink>
      <w:r>
        <w:t xml:space="preserve">.</w:t>
      </w:r>
    </w:p>
    <w:p>
      <w:pPr>
        <w:pStyle w:val="Bibliography"/>
      </w:pPr>
      <w:r>
        <w:t xml:space="preserve">Campbell, Elliott T., and David R. Tilley. 2014. “The Eco-Price: How Environmental Emergy Equates to Currency.”</w:t>
      </w:r>
      <w:r>
        <w:t xml:space="preserve"> </w:t>
      </w:r>
      <w:r>
        <w:rPr>
          <w:i/>
        </w:rPr>
        <w:t xml:space="preserve">Ecosystem Services</w:t>
      </w:r>
      <w:r>
        <w:t xml:space="preserve"> </w:t>
      </w:r>
      <w:r>
        <w:t xml:space="preserve">7: 128–40.</w:t>
      </w:r>
      <w:r>
        <w:t xml:space="preserve"> </w:t>
      </w:r>
      <w:hyperlink r:id="rId126">
        <w:r>
          <w:rPr>
            <w:rStyle w:val="Link"/>
          </w:rPr>
          <w:t xml:space="preserve">http://www.sciencedirect.com/science/article/pii/S2212041613000995</w:t>
        </w:r>
      </w:hyperlink>
      <w:r>
        <w:t xml:space="preserve">.</w:t>
      </w:r>
    </w:p>
    <w:p>
      <w:pPr>
        <w:pStyle w:val="Bibliography"/>
      </w:pPr>
      <w:r>
        <w:t xml:space="preserve">Campin, David. 2015. “Environmental Regulation of Hydraulic Fracturing.”</w:t>
      </w:r>
      <w:r>
        <w:t xml:space="preserve"> </w:t>
      </w:r>
      <w:r>
        <w:rPr>
          <w:i/>
        </w:rPr>
        <w:t xml:space="preserve">SPE Production &amp; Operations</w:t>
      </w:r>
      <w:r>
        <w:t xml:space="preserve">, May. doi:</w:t>
      </w:r>
      <w:hyperlink r:id="rId127">
        <w:r>
          <w:rPr>
            <w:rStyle w:val="Link"/>
          </w:rPr>
          <w:t xml:space="preserve">10.2118/166146-PA</w:t>
        </w:r>
      </w:hyperlink>
      <w:r>
        <w:t xml:space="preserve">.</w:t>
      </w:r>
    </w:p>
    <w:p>
      <w:pPr>
        <w:pStyle w:val="Bibliography"/>
      </w:pPr>
      <w:r>
        <w:t xml:space="preserve">Castaños, Heriberta, and Cinna Lomnitz. 2009. “Ortwin Renn, Risk Governance: Coping with Uncertainty in a Complex World: Earthscan, London, 2008, 455 Pp. Paperback, ₤29.95; Hardcover, ₤85.00. Figs. and Tables. Distrib. Macmillan, London.”</w:t>
      </w:r>
      <w:r>
        <w:t xml:space="preserve"> </w:t>
      </w:r>
      <w:r>
        <w:rPr>
          <w:i/>
        </w:rPr>
        <w:t xml:space="preserve">Natural Hazards</w:t>
      </w:r>
      <w:r>
        <w:t xml:space="preserve"> </w:t>
      </w:r>
      <w:r>
        <w:t xml:space="preserve">48 (2): 313–14. doi:</w:t>
      </w:r>
      <w:hyperlink r:id="rId128">
        <w:r>
          <w:rPr>
            <w:rStyle w:val="Link"/>
          </w:rPr>
          <w:t xml:space="preserve">10.1007/s11069-008-9286-7</w:t>
        </w:r>
      </w:hyperlink>
      <w:r>
        <w:t xml:space="preserve">.</w:t>
      </w:r>
    </w:p>
    <w:p>
      <w:pPr>
        <w:pStyle w:val="Bibliography"/>
      </w:pPr>
      <w:r>
        <w:t xml:space="preserve">Clark, John. 2009. “System of Systems Engineering and Family of Systems Engineering From a Standards, V-Model, and Dual-V Model Perspective.”</w:t>
      </w:r>
      <w:r>
        <w:t xml:space="preserve"> </w:t>
      </w:r>
      <w:r>
        <w:rPr>
          <w:i/>
        </w:rPr>
        <w:t xml:space="preserve">IEEE International Conference of System of Systems Engineering</w:t>
      </w:r>
      <w:r>
        <w:t xml:space="preserve">.</w:t>
      </w:r>
      <w:r>
        <w:t xml:space="preserve"> </w:t>
      </w:r>
      <w:hyperlink r:id="rId129">
        <w:r>
          <w:rPr>
            <w:rStyle w:val="Link"/>
          </w:rPr>
          <w:t xml:space="preserve">http://www.incose.org/hra/past_events/IEEE2009_SoSEandFoSE_JOC_090223.pdf</w:t>
        </w:r>
      </w:hyperlink>
      <w:r>
        <w:t xml:space="preserve">.</w:t>
      </w:r>
    </w:p>
    <w:p>
      <w:pPr>
        <w:pStyle w:val="Bibliography"/>
      </w:pPr>
      <w:r>
        <w:t xml:space="preserve">Connor, Jeffery D., Brett A. Bryan, Martin Nolan, Florian Stock, Lei Gao, Simon Dunstall, Paul Graham, et al. 2015. “Modelling Australian Land Use Competition and Ecosystem Services with Food Price Feedbacks at High Spatial Resolution.”</w:t>
      </w:r>
      <w:r>
        <w:t xml:space="preserve"> </w:t>
      </w:r>
      <w:r>
        <w:rPr>
          <w:i/>
        </w:rPr>
        <w:t xml:space="preserve">Environmental Modelling &amp; Software</w:t>
      </w:r>
      <w:r>
        <w:t xml:space="preserve"> </w:t>
      </w:r>
      <w:r>
        <w:t xml:space="preserve">69 (July): 141–54. doi:</w:t>
      </w:r>
      <w:hyperlink r:id="rId130">
        <w:r>
          <w:rPr>
            <w:rStyle w:val="Link"/>
          </w:rPr>
          <w:t xml:space="preserve">10.1016/j.envsoft.2015.03.015</w:t>
        </w:r>
      </w:hyperlink>
      <w:r>
        <w:t xml:space="preserve">.</w:t>
      </w:r>
    </w:p>
    <w:p>
      <w:pPr>
        <w:pStyle w:val="Bibliography"/>
      </w:pPr>
      <w:r>
        <w:t xml:space="preserve">COSO. 2004. “Enterprise Risk Management – Integrated Framework.” The Committee of Sponsoring Organizations of the Treadway Commission.</w:t>
      </w:r>
      <w:r>
        <w:t xml:space="preserve"> </w:t>
      </w:r>
      <w:hyperlink r:id="rId131">
        <w:r>
          <w:rPr>
            <w:rStyle w:val="Link"/>
          </w:rPr>
          <w:t xml:space="preserve">http://www.macs.hw.ac.uk/~andrewc/erm2/reading/ERM%20-%20COSO%20Application%20Techniques.pdf</w:t>
        </w:r>
      </w:hyperlink>
      <w:r>
        <w:t xml:space="preserve">.</w:t>
      </w:r>
    </w:p>
    <w:p>
      <w:pPr>
        <w:pStyle w:val="Bibliography"/>
      </w:pPr>
      <w:r>
        <w:t xml:space="preserve">Covello, Vincent T., and Jeryl Mumpower. 1985. “Risk Analysis and Risk Management: An Historical Perspective.”</w:t>
      </w:r>
      <w:r>
        <w:t xml:space="preserve"> </w:t>
      </w:r>
      <w:r>
        <w:rPr>
          <w:i/>
        </w:rPr>
        <w:t xml:space="preserve">Risk Analysis</w:t>
      </w:r>
      <w:r>
        <w:t xml:space="preserve"> </w:t>
      </w:r>
      <w:r>
        <w:t xml:space="preserve">5 (2): 103–20. doi:</w:t>
      </w:r>
      <w:hyperlink r:id="rId132">
        <w:r>
          <w:rPr>
            <w:rStyle w:val="Link"/>
          </w:rPr>
          <w:t xml:space="preserve">10.1111/j.1539-6924.1985.tb00159.x</w:t>
        </w:r>
      </w:hyperlink>
      <w:r>
        <w:t xml:space="preserve">.</w:t>
      </w:r>
    </w:p>
    <w:p>
      <w:pPr>
        <w:pStyle w:val="Bibliography"/>
      </w:pPr>
      <w:r>
        <w:t xml:space="preserve">Cozzi, Patrick. 2015.</w:t>
      </w:r>
      <w:r>
        <w:t xml:space="preserve"> </w:t>
      </w:r>
      <w:r>
        <w:rPr>
          <w:i/>
        </w:rPr>
        <w:t xml:space="preserve">WebGL Insights</w:t>
      </w:r>
      <w:r>
        <w:t xml:space="preserve">. CRC Press.</w:t>
      </w:r>
      <w:r>
        <w:t xml:space="preserve"> </w:t>
      </w:r>
      <w:hyperlink r:id="rId133">
        <w:r>
          <w:rPr>
            <w:rStyle w:val="Link"/>
          </w:rPr>
          <w:t xml:space="preserve">https://books.google.com.au/books?hl=en&amp;lr=&amp;id=6crECQAAQBAJ&amp;oi=fnd&amp;pg=PA49&amp;dq=australia+%2B+%22national+map%22+%2B+%22nicta%22&amp;ots=Jq8hbVN6PB&amp;sig=rNX8yZZIq-dii1soo15fGcBlZ1A#v=onepage&amp;q=australia%20%2B%20%22national%20map%22%20%2B%20%22nicta%22&amp;f=false</w:t>
        </w:r>
      </w:hyperlink>
      <w:r>
        <w:t xml:space="preserve">.</w:t>
      </w:r>
    </w:p>
    <w:p>
      <w:pPr>
        <w:pStyle w:val="Bibliography"/>
      </w:pPr>
      <w:r>
        <w:t xml:space="preserve">Czaplicki, Evan, and Stephen N. Chong. 2013. “Asynchronous Functional Reactive Programming for GUIs.” In</w:t>
      </w:r>
      <w:r>
        <w:t xml:space="preserve"> </w:t>
      </w:r>
      <w:r>
        <w:rPr>
          <w:i/>
        </w:rPr>
        <w:t xml:space="preserve">Proceedings of the 34th ACM SIGPLAN Conference on Programming Language Design and Implementation-PLDI’13</w:t>
      </w:r>
      <w:r>
        <w:t xml:space="preserve">. ACM Press.</w:t>
      </w:r>
      <w:r>
        <w:t xml:space="preserve"> </w:t>
      </w:r>
      <w:hyperlink r:id="rId134">
        <w:r>
          <w:rPr>
            <w:rStyle w:val="Link"/>
          </w:rPr>
          <w:t xml:space="preserve">http://dash.harvard.edu/handle/1/12872183</w:t>
        </w:r>
      </w:hyperlink>
      <w:r>
        <w:t xml:space="preserve">.</w:t>
      </w:r>
    </w:p>
    <w:p>
      <w:pPr>
        <w:pStyle w:val="Bibliography"/>
      </w:pPr>
      <w:r>
        <w:t xml:space="preserve">Deacon, Samantha, Steve Norman, Joseph Nicolette, Gregory Reub, Gretchen Greene, Rachel Osborn, and Paul Andrews. 2015. “Integrating Ecosystem Services into Risk Management Decisions: Case Study with Spanish Citrus and the Insecticide Chlorpyrifos.”</w:t>
      </w:r>
      <w:r>
        <w:t xml:space="preserve"> </w:t>
      </w:r>
      <w:r>
        <w:rPr>
          <w:i/>
        </w:rPr>
        <w:t xml:space="preserve">Science of The Total Environment</w:t>
      </w:r>
      <w:r>
        <w:t xml:space="preserve"> </w:t>
      </w:r>
      <w:r>
        <w:t xml:space="preserve">505 (February): 732–39. doi:</w:t>
      </w:r>
      <w:hyperlink r:id="rId135">
        <w:r>
          <w:rPr>
            <w:rStyle w:val="Link"/>
          </w:rPr>
          <w:t xml:space="preserve">10.1016/j.scitotenv.2014.10.034</w:t>
        </w:r>
      </w:hyperlink>
      <w:r>
        <w:t xml:space="preserve">.</w:t>
      </w:r>
    </w:p>
    <w:p>
      <w:pPr>
        <w:pStyle w:val="Bibliography"/>
      </w:pPr>
      <w:r>
        <w:t xml:space="preserve">DNRM. 2013. “Activity 5: Vulnerability of Aquifers to Coal Seam Gas Water Extraction.” Queensland Department of Natural Resources; Mines.</w:t>
      </w:r>
      <w:r>
        <w:t xml:space="preserve"> </w:t>
      </w:r>
      <w:hyperlink r:id="rId136">
        <w:r>
          <w:rPr>
            <w:rStyle w:val="Link"/>
          </w:rPr>
          <w:t xml:space="preserve">https://www.dnrm.qld.gov.au/water/catchments-planning/healthy-headwaters/coal-seam-gas-water-feasibility-study/activity-5</w:t>
        </w:r>
      </w:hyperlink>
      <w:r>
        <w:t xml:space="preserve">.</w:t>
      </w:r>
    </w:p>
    <w:p>
      <w:pPr>
        <w:pStyle w:val="Bibliography"/>
      </w:pPr>
      <w:r>
        <w:t xml:space="preserve">———. 2015. “Storing Baseline Assessment Information.” Document.</w:t>
      </w:r>
      <w:r>
        <w:t xml:space="preserve"> </w:t>
      </w:r>
      <w:r>
        <w:rPr>
          <w:i/>
        </w:rPr>
        <w:t xml:space="preserve">Department of Natural Resources and Mines</w:t>
      </w:r>
      <w:r>
        <w:t xml:space="preserve">.</w:t>
      </w:r>
      <w:r>
        <w:t xml:space="preserve"> </w:t>
      </w:r>
      <w:hyperlink r:id="rId137">
        <w:r>
          <w:rPr>
            <w:rStyle w:val="Link"/>
          </w:rPr>
          <w:t xml:space="preserve">https://www.dnrm.qld.gov.au/ogia/storing-baseline-assessment-information</w:t>
        </w:r>
      </w:hyperlink>
      <w:r>
        <w:t xml:space="preserve">.</w:t>
      </w:r>
    </w:p>
    <w:p>
      <w:pPr>
        <w:pStyle w:val="Bibliography"/>
      </w:pPr>
      <w:r>
        <w:t xml:space="preserve">Eddie, Jennifer, and Mark Simpson. 2014. “Administration of the Improving Water Information Program.” Performance Audit Audit Report No.18 2013–14. Australia: Australian National Audit Office.</w:t>
      </w:r>
      <w:r>
        <w:t xml:space="preserve"> </w:t>
      </w:r>
      <w:hyperlink r:id="rId138">
        <w:r>
          <w:rPr>
            <w:rStyle w:val="Link"/>
          </w:rPr>
          <w:t xml:space="preserve">http://www.anao.gov.au/Publications/Audit-Reports/2013-2014/Administration-of-the-Improving-Water-Information-Program</w:t>
        </w:r>
      </w:hyperlink>
      <w:r>
        <w:t xml:space="preserve">.</w:t>
      </w:r>
    </w:p>
    <w:p>
      <w:pPr>
        <w:pStyle w:val="Bibliography"/>
      </w:pPr>
      <w:r>
        <w:t xml:space="preserve">EHP. 2013. “Underground Water Impact Reports and Final Reports.” State of Queensland (Department of Environment; Heritage Protection).</w:t>
      </w:r>
      <w:r>
        <w:t xml:space="preserve"> </w:t>
      </w:r>
      <w:hyperlink r:id="rId139">
        <w:r>
          <w:rPr>
            <w:rStyle w:val="Link"/>
          </w:rPr>
          <w:t xml:space="preserve">https://www.ehp.qld.gov.au/management/non-mining/documents/uwir-guideline.pdf</w:t>
        </w:r>
      </w:hyperlink>
      <w:r>
        <w:t xml:space="preserve">.</w:t>
      </w:r>
    </w:p>
    <w:p>
      <w:pPr>
        <w:pStyle w:val="Bibliography"/>
      </w:pPr>
      <w:r>
        <w:t xml:space="preserve">EHP, Department of Environment Heritate</w:t>
      </w:r>
      <w:r>
        <w:t xml:space="preserve"> </w:t>
      </w:r>
      <w:r>
        <w:t xml:space="preserve">and</w:t>
      </w:r>
      <w:r>
        <w:t xml:space="preserve"> </w:t>
      </w:r>
      <w:r>
        <w:t xml:space="preserve">Planning. 2010a. “Baseline Assessment Guideline.”</w:t>
      </w:r>
      <w:r>
        <w:t xml:space="preserve"> </w:t>
      </w:r>
      <w:hyperlink r:id="rId140">
        <w:r>
          <w:rPr>
            <w:rStyle w:val="Link"/>
          </w:rPr>
          <w:t xml:space="preserve">https://www.ehp.qld.gov.au/management/non-mining/documents/baseline-assessment-guideline.pdf</w:t>
        </w:r>
      </w:hyperlink>
      <w:r>
        <w:t xml:space="preserve">.</w:t>
      </w:r>
    </w:p>
    <w:p>
      <w:pPr>
        <w:pStyle w:val="Bibliography"/>
      </w:pPr>
      <w:r>
        <w:t xml:space="preserve">———. 2010b. “Underground Water.”</w:t>
      </w:r>
      <w:r>
        <w:t xml:space="preserve"> </w:t>
      </w:r>
      <w:hyperlink r:id="rId141">
        <w:r>
          <w:rPr>
            <w:rStyle w:val="Link"/>
          </w:rPr>
          <w:t xml:space="preserve">https://www.ehp.qld.gov.au/management/non-mining/groundwater.html</w:t>
        </w:r>
      </w:hyperlink>
      <w:r>
        <w:t xml:space="preserve">.</w:t>
      </w:r>
    </w:p>
    <w:p>
      <w:pPr>
        <w:pStyle w:val="Bibliography"/>
      </w:pPr>
      <w:r>
        <w:t xml:space="preserve">Estefan, Jeffrey. 2007. “Survey of Model-Based Systems Engineering (MBSE) Methodologies.” In</w:t>
      </w:r>
      <w:r>
        <w:t xml:space="preserve"> </w:t>
      </w:r>
      <w:r>
        <w:rPr>
          <w:i/>
        </w:rPr>
        <w:t xml:space="preserve">INCOSE MBSE Focus Group</w:t>
      </w:r>
      <w:r>
        <w:t xml:space="preserve">. Jet Propulsion Laboratory: California Institute of Technology.</w:t>
      </w:r>
      <w:r>
        <w:t xml:space="preserve"> </w:t>
      </w:r>
      <w:hyperlink r:id="rId142">
        <w:r>
          <w:rPr>
            <w:rStyle w:val="Link"/>
          </w:rPr>
          <w:t xml:space="preserve">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w:t>
        </w:r>
      </w:hyperlink>
      <w:r>
        <w:t xml:space="preserve">.</w:t>
      </w:r>
    </w:p>
    <w:p>
      <w:pPr>
        <w:pStyle w:val="Bibliography"/>
      </w:pPr>
      <w:r>
        <w:t xml:space="preserve">facebook. 2015. “A JavaScript Library for Building User Interfaces React.”</w:t>
      </w:r>
      <w:r>
        <w:t xml:space="preserve"> </w:t>
      </w:r>
      <w:hyperlink r:id="rId143">
        <w:r>
          <w:rPr>
            <w:rStyle w:val="Link"/>
          </w:rPr>
          <w:t xml:space="preserve">https://facebook.github.io/react/index.html</w:t>
        </w:r>
      </w:hyperlink>
      <w:r>
        <w:t xml:space="preserve">.</w:t>
      </w:r>
    </w:p>
    <w:p>
      <w:pPr>
        <w:pStyle w:val="Bibliography"/>
      </w:pPr>
      <w:r>
        <w:t xml:space="preserve">Ferguson, Colin, D. Darmendrail, K. Freier, B. K. Jensen, J. Jensen, H. Kasamas, A. Urzelai, and J. Vegter. 1998. “Risk Assessment for Contaminated Sites in Europe: Vol 1: Scientific Basis.” Nottingham: LQM Press.</w:t>
      </w:r>
      <w:r>
        <w:t xml:space="preserve"> </w:t>
      </w:r>
      <w:hyperlink r:id="rId144">
        <w:r>
          <w:rPr>
            <w:rStyle w:val="Link"/>
          </w:rPr>
          <w:t xml:space="preserve">http://forskningsbasen.deff.dk/Share.external?sp=Sa3474da0-7e9c-11dd-a5a8-000ea68e967b&amp;sp=Sau</w:t>
        </w:r>
      </w:hyperlink>
      <w:r>
        <w:t xml:space="preserve">.</w:t>
      </w:r>
    </w:p>
    <w:p>
      <w:pPr>
        <w:pStyle w:val="Bibliography"/>
      </w:pPr>
      <w:r>
        <w:t xml:space="preserve">Figuié, Muriel. 2014. “Towards a Global Governance of Risks: International Health Organisations and the Surveillance of Emerging Infectious Diseases.”</w:t>
      </w:r>
      <w:r>
        <w:t xml:space="preserve"> </w:t>
      </w:r>
      <w:r>
        <w:rPr>
          <w:i/>
        </w:rPr>
        <w:t xml:space="preserve">Journal of Risk Research</w:t>
      </w:r>
      <w:r>
        <w:t xml:space="preserve"> </w:t>
      </w:r>
      <w:r>
        <w:t xml:space="preserve">17 (4): 469–83. doi:</w:t>
      </w:r>
      <w:hyperlink r:id="rId145">
        <w:r>
          <w:rPr>
            <w:rStyle w:val="Link"/>
          </w:rPr>
          <w:t xml:space="preserve">10.1080/13669877.2012.761277</w:t>
        </w:r>
      </w:hyperlink>
      <w:r>
        <w:t xml:space="preserve">.</w:t>
      </w:r>
    </w:p>
    <w:p>
      <w:pPr>
        <w:pStyle w:val="Bibliography"/>
      </w:pPr>
      <w:r>
        <w:t xml:space="preserve">Goldstein, Barry, Michael Malavazos, Alexandra Wickham, Michael Jarosz, Dominic Pepicelli, Mieka Webb, Dale Wenham, and others. 2013. “Regulatory Nirvana for Hydraulic Fracture Stimulation.” In</w:t>
      </w:r>
      <w:r>
        <w:t xml:space="preserve"> </w:t>
      </w:r>
      <w:r>
        <w:rPr>
          <w:i/>
        </w:rPr>
        <w:t xml:space="preserve">ISRM International Conference for Effective and Sustainable Hydraulic Fracturing</w:t>
      </w:r>
      <w:r>
        <w:t xml:space="preserve">. International Society for Rock Mechanics.</w:t>
      </w:r>
      <w:r>
        <w:t xml:space="preserve"> </w:t>
      </w:r>
      <w:hyperlink r:id="rId146">
        <w:r>
          <w:rPr>
            <w:rStyle w:val="Link"/>
          </w:rPr>
          <w:t xml:space="preserve">https://www.onepetro.org/conference-paper/ISRM-ICHF-2013-015</w:t>
        </w:r>
      </w:hyperlink>
      <w:r>
        <w:t xml:space="preserve">.</w:t>
      </w:r>
    </w:p>
    <w:p>
      <w:pPr>
        <w:pStyle w:val="Bibliography"/>
      </w:pPr>
      <w:r>
        <w:t xml:space="preserve">Goodarzi, Ehsan, Mina Ziaei, and Lee Teang Shui. 2013.</w:t>
      </w:r>
      <w:r>
        <w:t xml:space="preserve"> </w:t>
      </w:r>
      <w:r>
        <w:rPr>
          <w:i/>
        </w:rPr>
        <w:t xml:space="preserve">Introduction to Risk and Uncertainty in Hydrosystem Engineering</w:t>
      </w:r>
      <w:r>
        <w:t xml:space="preserve">. 1. Aufl. Vol. 22. Topics in Safety, Risk, Reliability and Quality. Dordrecht: Springer.</w:t>
      </w:r>
      <w:r>
        <w:t xml:space="preserve"> </w:t>
      </w:r>
      <w:hyperlink r:id="rId147">
        <w:r>
          <w:rPr>
            <w:rStyle w:val="Link"/>
          </w:rPr>
          <w:t xml:space="preserve">http://ezproxy.library.uq.edu.au/login?url=http://dx.doi.org/10.1007/978-94-007-5851-3</w:t>
        </w:r>
      </w:hyperlink>
      <w:r>
        <w:t xml:space="preserve">.</w:t>
      </w:r>
    </w:p>
    <w:p>
      <w:pPr>
        <w:pStyle w:val="Bibliography"/>
      </w:pPr>
      <w:r>
        <w:t xml:space="preserve">Gosselink, J. G., E. P. Odum, and R. M. Pope. 1973. “The Value of the Tidal Marsh.” No LSU-SG-74-03. Center for Wetland Resources, Louisiana State University, Baton Rouge, La.</w:t>
      </w:r>
    </w:p>
    <w:p>
      <w:pPr>
        <w:pStyle w:val="Bibliography"/>
      </w:pPr>
      <w:r>
        <w:t xml:space="preserve">Government, Australian. 2008a. “Risk Assessment and Management: Leading Practice Sustainable Development Program for the Mining Industry.” Australian Government Department of resource energy; tourism.</w:t>
      </w:r>
      <w:r>
        <w:t xml:space="preserve"> </w:t>
      </w:r>
      <w:hyperlink r:id="rId148">
        <w:r>
          <w:rPr>
            <w:rStyle w:val="Link"/>
          </w:rPr>
          <w:t xml:space="preserve">http://www.industry.gov.au/resource/Documents/LPSDP/LPSDP-RiskHandbook.pdf</w:t>
        </w:r>
      </w:hyperlink>
      <w:r>
        <w:t xml:space="preserve">.</w:t>
      </w:r>
    </w:p>
    <w:p>
      <w:pPr>
        <w:pStyle w:val="Bibliography"/>
      </w:pPr>
      <w:r>
        <w:t xml:space="preserve">———. 2008b. “Water Management.” Australian Government Department of resource energy; tourism.</w:t>
      </w:r>
      <w:r>
        <w:t xml:space="preserve"> </w:t>
      </w:r>
      <w:hyperlink r:id="rId149">
        <w:r>
          <w:rPr>
            <w:rStyle w:val="Link"/>
          </w:rPr>
          <w:t xml:space="preserve">http://www.industry.gov.au/resource/Documents/LPSDP/LPSDP-WaterHandbook.pdf</w:t>
        </w:r>
      </w:hyperlink>
      <w:r>
        <w:t xml:space="preserve">.</w:t>
      </w:r>
    </w:p>
    <w:p>
      <w:pPr>
        <w:pStyle w:val="Bibliography"/>
      </w:pPr>
      <w:r>
        <w:t xml:space="preserve">Gregory B Baecher, and Desmond N D Hartford. 2004.</w:t>
      </w:r>
      <w:r>
        <w:t xml:space="preserve"> </w:t>
      </w:r>
      <w:r>
        <w:rPr>
          <w:i/>
        </w:rPr>
        <w:t xml:space="preserve">Risk and Uncertainty in Dam Safety</w:t>
      </w:r>
      <w:r>
        <w:t xml:space="preserve">. Thomas Telford Ltd.</w:t>
      </w:r>
      <w:r>
        <w:t xml:space="preserve"> </w:t>
      </w:r>
      <w:hyperlink r:id="rId150">
        <w:r>
          <w:rPr>
            <w:rStyle w:val="Link"/>
          </w:rPr>
          <w:t xml:space="preserve">http://www.icevirtuallibrary.com/content/book/100871</w:t>
        </w:r>
      </w:hyperlink>
      <w:r>
        <w:t xml:space="preserve">.</w:t>
      </w:r>
    </w:p>
    <w:p>
      <w:pPr>
        <w:pStyle w:val="Bibliography"/>
      </w:pPr>
      <w:r>
        <w:t xml:space="preserve">Gunningham, Neil, Robert A. Kagan, and Dorothy Thornton. 2004. “Social License and Environmental Protection: Why Businesses Go Beyond Compliance.”</w:t>
      </w:r>
      <w:r>
        <w:t xml:space="preserve"> </w:t>
      </w:r>
      <w:r>
        <w:rPr>
          <w:i/>
        </w:rPr>
        <w:t xml:space="preserve">Law &amp; Social Inquiry</w:t>
      </w:r>
      <w:r>
        <w:t xml:space="preserve"> </w:t>
      </w:r>
      <w:r>
        <w:t xml:space="preserve">29 (2): 307–41.</w:t>
      </w:r>
      <w:r>
        <w:t xml:space="preserve"> </w:t>
      </w:r>
      <w:hyperlink r:id="rId151">
        <w:r>
          <w:rPr>
            <w:rStyle w:val="Link"/>
          </w:rPr>
          <w:t xml:space="preserve">http://www.jstor.org/stable/4092687</w:t>
        </w:r>
      </w:hyperlink>
      <w:r>
        <w:t xml:space="preserve">.</w:t>
      </w:r>
    </w:p>
    <w:p>
      <w:pPr>
        <w:pStyle w:val="Bibliography"/>
      </w:pPr>
      <w:r>
        <w:t xml:space="preserve">Habermas, Jürgen. 1987. “The Philosophical Discourse of Modernity. Twelve Lectures.”</w:t>
      </w:r>
      <w:r>
        <w:t xml:space="preserve"> </w:t>
      </w:r>
      <w:hyperlink r:id="rId152">
        <w:r>
          <w:rPr>
            <w:rStyle w:val="Link"/>
          </w:rPr>
          <w:t xml:space="preserve">http://www.scribd.com/doc/54822245/Habermas-The-Philosophical-Discourse-of-Modernity#scribd</w:t>
        </w:r>
      </w:hyperlink>
      <w:r>
        <w:t xml:space="preserve">.</w:t>
      </w:r>
    </w:p>
    <w:p>
      <w:pPr>
        <w:pStyle w:val="Bibliography"/>
      </w:pPr>
      <w:r>
        <w:t xml:space="preserve">Hallo, William W., Bruce William Jones, and Gerald L. Mattingly. 1990.</w:t>
      </w:r>
      <w:r>
        <w:t xml:space="preserve"> </w:t>
      </w:r>
      <w:r>
        <w:rPr>
          <w:i/>
        </w:rPr>
        <w:t xml:space="preserve">The Bible in the Light of Cuneiform Literature</w:t>
      </w:r>
      <w:r>
        <w:t xml:space="preserve">. E. Mellen Press.</w:t>
      </w:r>
    </w:p>
    <w:p>
      <w:pPr>
        <w:pStyle w:val="Bibliography"/>
      </w:pPr>
      <w:r>
        <w:t xml:space="preserve">Harper, Jonathan, and Maneesh Agrawala. 2014. “Deconstructing and Restyling D3 Visualizations.” In</w:t>
      </w:r>
      <w:r>
        <w:t xml:space="preserve"> </w:t>
      </w:r>
      <w:r>
        <w:rPr>
          <w:i/>
        </w:rPr>
        <w:t xml:space="preserve">Proceedings of the 27th Annual ACM Symposium on User Interface Software and Technology</w:t>
      </w:r>
      <w:r>
        <w:t xml:space="preserve">, 253–62. UIST ’14. New York, NY, USA: ACM. doi:</w:t>
      </w:r>
      <w:hyperlink r:id="rId153">
        <w:r>
          <w:rPr>
            <w:rStyle w:val="Link"/>
          </w:rPr>
          <w:t xml:space="preserve">10.1145/2642918.2647411</w:t>
        </w:r>
      </w:hyperlink>
      <w:r>
        <w:t xml:space="preserve">.</w:t>
      </w:r>
    </w:p>
    <w:p>
      <w:pPr>
        <w:pStyle w:val="Bibliography"/>
      </w:pPr>
      <w:r>
        <w:t xml:space="preserve">Harrison, Matthew, Florian Thomas, José Barredo, Venco Bojilov, Raquel Castella, Otakar Cerba, George Exadaktylos, et al. 2013. “Data Specification on Natural Risk Zones - Technical Guidelines.” Edited by Florian Thomas.</w:t>
      </w:r>
      <w:r>
        <w:t xml:space="preserve"> </w:t>
      </w:r>
      <w:hyperlink r:id="rId154">
        <w:r>
          <w:rPr>
            <w:rStyle w:val="Link"/>
          </w:rPr>
          <w:t xml:space="preserve">http://inspire.ec.europa.eu/documents/Data_Specifications/INSPIRE_DataSpecification_NZ_v3.0.pdf</w:t>
        </w:r>
      </w:hyperlink>
      <w:r>
        <w:t xml:space="preserve">.</w:t>
      </w:r>
    </w:p>
    <w:p>
      <w:pPr>
        <w:pStyle w:val="Bibliography"/>
      </w:pPr>
      <w:r>
        <w:t xml:space="preserve">Haugan, Gregory T. 2010.</w:t>
      </w:r>
      <w:r>
        <w:t xml:space="preserve"> </w:t>
      </w:r>
      <w:r>
        <w:rPr>
          <w:i/>
        </w:rPr>
        <w:t xml:space="preserve">The Government Manager’s Guide to the Work Breakdown Structure</w:t>
      </w:r>
      <w:r>
        <w:t xml:space="preserve">. Do Sustainability.</w:t>
      </w:r>
    </w:p>
    <w:p>
      <w:pPr>
        <w:pStyle w:val="Bibliography"/>
      </w:pPr>
      <w:r>
        <w:t xml:space="preserve">Holdgate, M. W. 1979.</w:t>
      </w:r>
      <w:r>
        <w:t xml:space="preserve"> </w:t>
      </w:r>
      <w:r>
        <w:rPr>
          <w:i/>
        </w:rPr>
        <w:t xml:space="preserve">A Perspective of Environmental Pollution</w:t>
      </w:r>
      <w:r>
        <w:t xml:space="preserve">. First edition. Cambridge ; New York: Cambridge University Press.</w:t>
      </w:r>
    </w:p>
    <w:p>
      <w:pPr>
        <w:pStyle w:val="Bibliography"/>
      </w:pPr>
      <w:r>
        <w:t xml:space="preserve">Hollander, Robyn. 2009. “Rethinking Overlap and Duplication: Federalism and Environmental Assessment in Australia.”</w:t>
      </w:r>
      <w:r>
        <w:t xml:space="preserve"> </w:t>
      </w:r>
      <w:r>
        <w:rPr>
          <w:i/>
        </w:rPr>
        <w:t xml:space="preserve">Publius: The Journal of Federalism</w:t>
      </w:r>
      <w:r>
        <w:t xml:space="preserve">, pjp028.</w:t>
      </w:r>
      <w:r>
        <w:t xml:space="preserve"> </w:t>
      </w:r>
      <w:hyperlink r:id="rId155">
        <w:r>
          <w:rPr>
            <w:rStyle w:val="Link"/>
          </w:rPr>
          <w:t xml:space="preserve">http://publius.oxfordjournals.org/content/early/2009/10/21/publius.pjp028.short</w:t>
        </w:r>
      </w:hyperlink>
      <w:r>
        <w:t xml:space="preserve">.</w:t>
      </w:r>
    </w:p>
    <w:p>
      <w:pPr>
        <w:pStyle w:val="Bibliography"/>
      </w:pPr>
      <w:r>
        <w:t xml:space="preserve">Howe, Paul, Chris Moran, Sue Vink, and Garry Straughton. 2010. “Framework for Risk-Based Assessment of Cumulative Effects to Groundwater from Mining.” 3. Australia: Sinklair Knight Mertz &amp; National Water Commission.</w:t>
      </w:r>
    </w:p>
    <w:p>
      <w:pPr>
        <w:pStyle w:val="Bibliography"/>
      </w:pPr>
      <w:r>
        <w:t xml:space="preserve">Hunter, Jane, Charles Brooking, Lucy Reading, and Sue Vink. 2015. “A Web-Based System Enabling the Integration, Analysis, and 3D Sub-Surface Visualization of Groundwater Monitoring Data and Geological Models.”</w:t>
      </w:r>
      <w:r>
        <w:t xml:space="preserve"> </w:t>
      </w:r>
      <w:r>
        <w:rPr>
          <w:i/>
        </w:rPr>
        <w:t xml:space="preserve">International Journal of Digital Earth</w:t>
      </w:r>
      <w:r>
        <w:t xml:space="preserve">, January, 1–18. doi:</w:t>
      </w:r>
      <w:hyperlink r:id="rId156">
        <w:r>
          <w:rPr>
            <w:rStyle w:val="Link"/>
          </w:rPr>
          <w:t xml:space="preserve">10.1080/17538947.2014.1002866</w:t>
        </w:r>
      </w:hyperlink>
      <w:r>
        <w:t xml:space="preserve">.</w:t>
      </w:r>
    </w:p>
    <w:p>
      <w:pPr>
        <w:pStyle w:val="Bibliography"/>
      </w:pPr>
      <w:r>
        <w:t xml:space="preserve">Hunter, Tina, and Andrew Garnett. 2013. “Draft National Coal Seam Gas Harmonised Regulatory Framework: Submission to the Standing Council of Energy and Resources (SCER) as Part of the Consultation Process to Establish a National Harmonised Framework for the Development of Coal Seam Gas in Australia.” The University of Queensland.</w:t>
      </w:r>
      <w:r>
        <w:t xml:space="preserve"> </w:t>
      </w:r>
      <w:hyperlink r:id="rId157">
        <w:r>
          <w:rPr>
            <w:rStyle w:val="Link"/>
          </w:rPr>
          <w:t xml:space="preserve">http://www.scer.gov.au/files/2012/03/University-of-Queensland.pdf</w:t>
        </w:r>
      </w:hyperlink>
      <w:r>
        <w:t xml:space="preserve">.</w:t>
      </w:r>
    </w:p>
    <w:p>
      <w:pPr>
        <w:pStyle w:val="Bibliography"/>
      </w:pPr>
      <w:r>
        <w:t xml:space="preserve">INSPIRE. 2013. “INSPIRE Generic Conceptual Model.” Drafting Team “Data Specifications”.</w:t>
      </w:r>
      <w:r>
        <w:t xml:space="preserve"> </w:t>
      </w:r>
      <w:hyperlink r:id="rId158">
        <w:r>
          <w:rPr>
            <w:rStyle w:val="Link"/>
          </w:rPr>
          <w:t xml:space="preserve">http://inspire.ec.europa.eu/documents/Data_Specifications/D2.5_v3.4rc3.pdf</w:t>
        </w:r>
      </w:hyperlink>
      <w:r>
        <w:t xml:space="preserve">.</w:t>
      </w:r>
    </w:p>
    <w:p>
      <w:pPr>
        <w:pStyle w:val="Bibliography"/>
      </w:pPr>
      <w:r>
        <w:t xml:space="preserve">Investopedia. 2015. “Using Economic Capital To Determine Risk.”</w:t>
      </w:r>
      <w:r>
        <w:t xml:space="preserve"> </w:t>
      </w:r>
      <w:r>
        <w:rPr>
          <w:i/>
        </w:rPr>
        <w:t xml:space="preserve">Investopedia</w:t>
      </w:r>
      <w:r>
        <w:t xml:space="preserve">.</w:t>
      </w:r>
      <w:r>
        <w:t xml:space="preserve"> </w:t>
      </w:r>
      <w:hyperlink r:id="rId159">
        <w:r>
          <w:rPr>
            <w:rStyle w:val="Link"/>
          </w:rPr>
          <w:t xml:space="preserve">http://www.investopedia.com/articles/economics/08/economic-capital.asp</w:t>
        </w:r>
      </w:hyperlink>
      <w:r>
        <w:t xml:space="preserve">.</w:t>
      </w:r>
    </w:p>
    <w:p>
      <w:pPr>
        <w:pStyle w:val="Bibliography"/>
      </w:pPr>
      <w:r>
        <w:t xml:space="preserve">IRGC. 2012. “Introduction of the IRGC Risk Governance Framework.” International Risk Governance Council.</w:t>
      </w:r>
      <w:r>
        <w:t xml:space="preserve"> </w:t>
      </w:r>
      <w:hyperlink r:id="rId160">
        <w:r>
          <w:rPr>
            <w:rStyle w:val="Link"/>
          </w:rPr>
          <w:t xml:space="preserve">http://www.irgc.org/wp-content/uploads/2015/04/An_introduction_to_the_IRGC_Risk_Governance_Framework_final_v2012.pdf</w:t>
        </w:r>
      </w:hyperlink>
      <w:r>
        <w:t xml:space="preserve">.</w:t>
      </w:r>
    </w:p>
    <w:p>
      <w:pPr>
        <w:pStyle w:val="Bibliography"/>
      </w:pPr>
      <w:r>
        <w:t xml:space="preserve">Kahan, Dan M., Ellen Peters, Erica Cantrell Dawson, and Paul Slovic. 2013. “Motivated Numeracy and Enlightened Self-Government.” SSRN Scholarly Paper ID 2319992. Rochester, NY: Social Science Research Network.</w:t>
      </w:r>
      <w:r>
        <w:t xml:space="preserve"> </w:t>
      </w:r>
      <w:hyperlink r:id="rId161">
        <w:r>
          <w:rPr>
            <w:rStyle w:val="Link"/>
          </w:rPr>
          <w:t xml:space="preserve">http://papers.ssrn.com/abstract=2319992</w:t>
        </w:r>
      </w:hyperlink>
      <w:r>
        <w:t xml:space="preserve">.</w:t>
      </w:r>
    </w:p>
    <w:p>
      <w:pPr>
        <w:pStyle w:val="Bibliography"/>
      </w:pPr>
      <w:r>
        <w:t xml:space="preserve">Kossiakoff, Alexander, and William N. Sweet. 2002.</w:t>
      </w:r>
      <w:r>
        <w:t xml:space="preserve"> </w:t>
      </w:r>
      <w:r>
        <w:rPr>
          <w:i/>
        </w:rPr>
        <w:t xml:space="preserve">Systems Engineering Principles and Practice</w:t>
      </w:r>
      <w:r>
        <w:t xml:space="preserve">. Wiley-Interscience.</w:t>
      </w:r>
    </w:p>
    <w:p>
      <w:pPr>
        <w:pStyle w:val="Bibliography"/>
      </w:pPr>
      <w:r>
        <w:t xml:space="preserve">Leebron, David W. 1996. “Claims for Harmonization: A Theoretical Framework.”</w:t>
      </w:r>
      <w:r>
        <w:t xml:space="preserve"> </w:t>
      </w:r>
      <w:r>
        <w:rPr>
          <w:i/>
        </w:rPr>
        <w:t xml:space="preserve">Can. Bus. LJ</w:t>
      </w:r>
      <w:r>
        <w:t xml:space="preserve"> </w:t>
      </w:r>
      <w:r>
        <w:t xml:space="preserve">27: 63.</w:t>
      </w:r>
      <w:r>
        <w:t xml:space="preserve"> </w:t>
      </w:r>
      <w:hyperlink r:id="rId162">
        <w:r>
          <w:rPr>
            <w:rStyle w:val="Link"/>
          </w:rPr>
          <w:t xml:space="preserve">http://heinonlinebackup.com/hol-cgi-bin/get_pdf.cgi?handle=hein.journals/canadbus27&amp;section=9</w:t>
        </w:r>
      </w:hyperlink>
      <w:r>
        <w:t xml:space="preserve">.</w:t>
      </w:r>
    </w:p>
    <w:p>
      <w:pPr>
        <w:pStyle w:val="Bibliography"/>
      </w:pPr>
      <w:r>
        <w:t xml:space="preserve">Leitch, Matthew. 2010. “ISO 31000:2009—The New International Standard on Risk Management.”</w:t>
      </w:r>
      <w:r>
        <w:t xml:space="preserve"> </w:t>
      </w:r>
      <w:r>
        <w:rPr>
          <w:i/>
        </w:rPr>
        <w:t xml:space="preserve">Risk Analysis</w:t>
      </w:r>
      <w:r>
        <w:t xml:space="preserve"> </w:t>
      </w:r>
      <w:r>
        <w:t xml:space="preserve">30 (6): 887–92. doi:</w:t>
      </w:r>
      <w:hyperlink r:id="rId163">
        <w:r>
          <w:rPr>
            <w:rStyle w:val="Link"/>
          </w:rPr>
          <w:t xml:space="preserve">10.1111/j.1539-6924.2010.01397.x</w:t>
        </w:r>
      </w:hyperlink>
      <w:r>
        <w:t xml:space="preserve">.</w:t>
      </w:r>
    </w:p>
    <w:p>
      <w:pPr>
        <w:pStyle w:val="Bibliography"/>
      </w:pPr>
      <w:r>
        <w:t xml:space="preserve">Lemon, D., R. Atkinson, P. Box, and A. Woolf. 2012. “The Role of Model Driven Architecture in the Development of the Australian Water Resources Information System.” In</w:t>
      </w:r>
      <w:r>
        <w:t xml:space="preserve"> </w:t>
      </w:r>
      <w:r>
        <w:rPr>
          <w:i/>
        </w:rPr>
        <w:t xml:space="preserve">Water Information Research and Development Alliance: Science Symposium Proceedings. WIRADA, Melbourne</w:t>
      </w:r>
      <w:r>
        <w:t xml:space="preserve">, 140–45.</w:t>
      </w:r>
    </w:p>
    <w:p>
      <w:pPr>
        <w:pStyle w:val="Bibliography"/>
      </w:pPr>
      <w:r>
        <w:t xml:space="preserve">Lester, Richard R., Laura C. Green, and Igor Linkov. 2007. “Site-Specific Applications of Probabilistic Health Risk Assessment: Review of the Literature Since 2000.”</w:t>
      </w:r>
      <w:r>
        <w:t xml:space="preserve"> </w:t>
      </w:r>
      <w:r>
        <w:rPr>
          <w:i/>
        </w:rPr>
        <w:t xml:space="preserve">Risk Analysis</w:t>
      </w:r>
      <w:r>
        <w:t xml:space="preserve"> </w:t>
      </w:r>
      <w:r>
        <w:t xml:space="preserve">27 (3): 635–58. doi:</w:t>
      </w:r>
      <w:hyperlink r:id="rId164">
        <w:r>
          <w:rPr>
            <w:rStyle w:val="Link"/>
          </w:rPr>
          <w:t xml:space="preserve">10.1111/j.1539-6924.2007.00890.x</w:t>
        </w:r>
      </w:hyperlink>
      <w:r>
        <w:t xml:space="preserve">.</w:t>
      </w:r>
    </w:p>
    <w:p>
      <w:pPr>
        <w:pStyle w:val="Bibliography"/>
      </w:pPr>
      <w:r>
        <w:t xml:space="preserve">Lightsey, Bob. 2001.</w:t>
      </w:r>
      <w:r>
        <w:t xml:space="preserve"> </w:t>
      </w:r>
      <w:r>
        <w:rPr>
          <w:i/>
        </w:rPr>
        <w:t xml:space="preserve">Systems Engineering Fundamentals</w:t>
      </w:r>
      <w:r>
        <w:t xml:space="preserve">. PN.</w:t>
      </w:r>
    </w:p>
    <w:p>
      <w:pPr>
        <w:pStyle w:val="Bibliography"/>
      </w:pPr>
      <w:r>
        <w:t xml:space="preserve">Luke, Hanabeth, Kristin A. den Exter, William E. Boyd, David J. Lloyd, Ben Roche, and others. 2013. “Developing the Lismore CSG Poll-A University/local Government Collaboration.”</w:t>
      </w:r>
      <w:r>
        <w:t xml:space="preserve"> </w:t>
      </w:r>
      <w:r>
        <w:rPr>
          <w:i/>
        </w:rPr>
        <w:t xml:space="preserve">Journal of Economic &amp; Social Policy</w:t>
      </w:r>
      <w:r>
        <w:t xml:space="preserve"> </w:t>
      </w:r>
      <w:r>
        <w:t xml:space="preserve">15 (3): 119.</w:t>
      </w:r>
      <w:r>
        <w:t xml:space="preserve"> </w:t>
      </w:r>
      <w:hyperlink r:id="rId165">
        <w:r>
          <w:rPr>
            <w:rStyle w:val="Link"/>
          </w:rPr>
          <w:t xml:space="preserve">http://search.informit.com.au/documentSummary;dn=794922375366543;res=IELBus</w:t>
        </w:r>
      </w:hyperlink>
      <w:r>
        <w:t xml:space="preserve">.</w:t>
      </w:r>
    </w:p>
    <w:p>
      <w:pPr>
        <w:pStyle w:val="Bibliography"/>
      </w:pPr>
      <w:r>
        <w:t xml:space="preserve">Maathuis, Harm, and Mark Simpson. 2006.</w:t>
      </w:r>
      <w:r>
        <w:t xml:space="preserve"> </w:t>
      </w:r>
      <w:r>
        <w:rPr>
          <w:i/>
        </w:rPr>
        <w:t xml:space="preserve">Groundwater Resources in the Yorkton Aquifer Management Plan Area Final Report</w:t>
      </w:r>
      <w:r>
        <w:t xml:space="preserve">. Saskatoon, SK: Environment; Minerals Division, Saskatchewan Research Council.</w:t>
      </w:r>
    </w:p>
    <w:p>
      <w:pPr>
        <w:pStyle w:val="Bibliography"/>
      </w:pPr>
      <w:r>
        <w:t xml:space="preserve">Maguire, Rob, and Andrew Woolf. 2015. “Something Old, Something New: Data Warehousing in the Digital Age.” In, 17:14909.</w:t>
      </w:r>
      <w:r>
        <w:t xml:space="preserve"> </w:t>
      </w:r>
      <w:hyperlink r:id="rId166">
        <w:r>
          <w:rPr>
            <w:rStyle w:val="Link"/>
          </w:rPr>
          <w:t xml:space="preserve">http://adsabs.harvard.edu/abs/2015EGUGA..1714909M</w:t>
        </w:r>
      </w:hyperlink>
      <w:r>
        <w:t xml:space="preserve">.</w:t>
      </w:r>
    </w:p>
    <w:p>
      <w:pPr>
        <w:pStyle w:val="Bibliography"/>
      </w:pPr>
      <w:r>
        <w:t xml:space="preserve">Mays, Larry W. 2010.</w:t>
      </w:r>
      <w:r>
        <w:t xml:space="preserve"> </w:t>
      </w:r>
      <w:r>
        <w:rPr>
          <w:i/>
        </w:rPr>
        <w:t xml:space="preserve">Water Resources Engineering</w:t>
      </w:r>
      <w:r>
        <w:t xml:space="preserve">. John Wiley &amp; Sons.</w:t>
      </w:r>
    </w:p>
    <w:p>
      <w:pPr>
        <w:pStyle w:val="Bibliography"/>
      </w:pPr>
      <w:r>
        <w:t xml:space="preserve">McNeil, Alexander J., Rüdiger Frey, and Paul Embrechts. 2015.</w:t>
      </w:r>
      <w:r>
        <w:t xml:space="preserve"> </w:t>
      </w:r>
      <w:r>
        <w:rPr>
          <w:i/>
        </w:rPr>
        <w:t xml:space="preserve">Quantitative Risk Management: Concepts, Techniques and Tools: Concepts, Techniques and Tools</w:t>
      </w:r>
      <w:r>
        <w:t xml:space="preserve">. Princeton University Press.</w:t>
      </w:r>
    </w:p>
    <w:p>
      <w:pPr>
        <w:pStyle w:val="Bibliography"/>
      </w:pPr>
      <w:r>
        <w:t xml:space="preserve">McOwan, Johannah. 2015. “Soil Samples from the Pilliga Reveal Toxicity.” Text.</w:t>
      </w:r>
      <w:r>
        <w:t xml:space="preserve"> </w:t>
      </w:r>
      <w:r>
        <w:rPr>
          <w:i/>
        </w:rPr>
        <w:t xml:space="preserve">ABC News</w:t>
      </w:r>
      <w:r>
        <w:t xml:space="preserve">.</w:t>
      </w:r>
      <w:r>
        <w:t xml:space="preserve"> </w:t>
      </w:r>
      <w:hyperlink r:id="rId167">
        <w:r>
          <w:rPr>
            <w:rStyle w:val="Link"/>
          </w:rPr>
          <w:t xml:space="preserve">http://www.abc.net.au/news/2015-03-21/soil-samples-from-the-pilliga-reveal-27toxic27-levels-of-chem/6336166</w:t>
        </w:r>
      </w:hyperlink>
      <w:r>
        <w:t xml:space="preserve">.</w:t>
      </w:r>
    </w:p>
    <w:p>
      <w:pPr>
        <w:pStyle w:val="Bibliography"/>
      </w:pPr>
      <w:r>
        <w:t xml:space="preserve">Moffat, Kieren, and Airong Zhang. 2014. “The Paths to Social Licence to Operate: An Integrative Model Explaining Community Acceptance of Mining.”</w:t>
      </w:r>
      <w:r>
        <w:t xml:space="preserve"> </w:t>
      </w:r>
      <w:r>
        <w:rPr>
          <w:i/>
        </w:rPr>
        <w:t xml:space="preserve">Resources Policy</w:t>
      </w:r>
      <w:r>
        <w:t xml:space="preserve"> </w:t>
      </w:r>
      <w:r>
        <w:t xml:space="preserve">39 (March): 61–70. doi:</w:t>
      </w:r>
      <w:hyperlink r:id="rId168">
        <w:r>
          <w:rPr>
            <w:rStyle w:val="Link"/>
          </w:rPr>
          <w:t xml:space="preserve">10.1016/j.resourpol.2013.11.003</w:t>
        </w:r>
      </w:hyperlink>
      <w:r>
        <w:t xml:space="preserve">.</w:t>
      </w:r>
    </w:p>
    <w:p>
      <w:pPr>
        <w:pStyle w:val="Bibliography"/>
      </w:pPr>
      <w:r>
        <w:t xml:space="preserve">Mooz, Hal, and Kevin Forsberg. 2001. “4.4.3 A Visual Explanation of Development Methods and Strategies Including the Waterfall, Spiral, Vee, Vee+, and Vee++ Models.”</w:t>
      </w:r>
      <w:r>
        <w:t xml:space="preserve"> </w:t>
      </w:r>
      <w:r>
        <w:rPr>
          <w:i/>
        </w:rPr>
        <w:t xml:space="preserve">INCOSE International Symposium</w:t>
      </w:r>
      <w:r>
        <w:t xml:space="preserve"> </w:t>
      </w:r>
      <w:r>
        <w:t xml:space="preserve">11 (1): 610–17. doi:</w:t>
      </w:r>
      <w:hyperlink r:id="rId169">
        <w:r>
          <w:rPr>
            <w:rStyle w:val="Link"/>
          </w:rPr>
          <w:t xml:space="preserve">10.1002/j.2334-5837.2001.tb02348.x</w:t>
        </w:r>
      </w:hyperlink>
      <w:r>
        <w:t xml:space="preserve">.</w:t>
      </w:r>
    </w:p>
    <w:p>
      <w:pPr>
        <w:pStyle w:val="Bibliography"/>
      </w:pPr>
      <w:r>
        <w:t xml:space="preserve">Mooz, Harold, and Kevin Forsberg. 1997. “Visualizing System Engineering and Project Management as an Integrated Process.”</w:t>
      </w:r>
      <w:r>
        <w:t xml:space="preserve"> </w:t>
      </w:r>
      <w:r>
        <w:rPr>
          <w:i/>
        </w:rPr>
        <w:t xml:space="preserve">INCOSE International Symposium</w:t>
      </w:r>
      <w:r>
        <w:t xml:space="preserve"> </w:t>
      </w:r>
      <w:r>
        <w:t xml:space="preserve">7 (1): 573–80. doi:</w:t>
      </w:r>
      <w:hyperlink r:id="rId170">
        <w:r>
          <w:rPr>
            <w:rStyle w:val="Link"/>
          </w:rPr>
          <w:t xml:space="preserve">10.1002/j.2334-5837.1997.tb02221.x</w:t>
        </w:r>
      </w:hyperlink>
      <w:r>
        <w:t xml:space="preserve">.</w:t>
      </w:r>
    </w:p>
    <w:p>
      <w:pPr>
        <w:pStyle w:val="Bibliography"/>
      </w:pPr>
      <w:r>
        <w:t xml:space="preserve">NASA. 2007. “NASA Systems Engineering Handbook.” National Aeronautics; Space Administration.</w:t>
      </w:r>
    </w:p>
    <w:p>
      <w:pPr>
        <w:pStyle w:val="Bibliography"/>
      </w:pPr>
      <w:r>
        <w:t xml:space="preserve">Nunn, Kory. 2015a. “A Javascript Tool for Building User Interfaces.”</w:t>
      </w:r>
      <w:r>
        <w:t xml:space="preserve"> </w:t>
      </w:r>
      <w:hyperlink r:id="rId171">
        <w:r>
          <w:rPr>
            <w:rStyle w:val="Link"/>
          </w:rPr>
          <w:t xml:space="preserve">https://korynunn.github.io/fastn/</w:t>
        </w:r>
      </w:hyperlink>
      <w:r>
        <w:t xml:space="preserve">.</w:t>
      </w:r>
    </w:p>
    <w:p>
      <w:pPr>
        <w:pStyle w:val="Bibliography"/>
      </w:pPr>
      <w:r>
        <w:t xml:space="preserve">———. 2015b. “Fastn - Create Ultra-Lightweight UI Components.”</w:t>
      </w:r>
      <w:r>
        <w:t xml:space="preserve"> </w:t>
      </w:r>
      <w:r>
        <w:rPr>
          <w:i/>
        </w:rPr>
        <w:t xml:space="preserve">GitHub</w:t>
      </w:r>
      <w:r>
        <w:t xml:space="preserve">.</w:t>
      </w:r>
      <w:r>
        <w:t xml:space="preserve"> </w:t>
      </w:r>
      <w:hyperlink r:id="rId172">
        <w:r>
          <w:rPr>
            <w:rStyle w:val="Link"/>
          </w:rPr>
          <w:t xml:space="preserve">https://github.com/KoryNunn/fastn</w:t>
        </w:r>
      </w:hyperlink>
      <w:r>
        <w:t xml:space="preserve">.</w:t>
      </w:r>
    </w:p>
    <w:p>
      <w:pPr>
        <w:pStyle w:val="Bibliography"/>
      </w:pPr>
      <w:r>
        <w:t xml:space="preserve">NWC, National Water Commission. 2010. “Coal Seam Gas and Water Position Statement.” Australian Government.</w:t>
      </w:r>
      <w:r>
        <w:t xml:space="preserve"> </w:t>
      </w:r>
      <w:hyperlink r:id="rId173">
        <w:r>
          <w:rPr>
            <w:rStyle w:val="Link"/>
          </w:rPr>
          <w:t xml:space="preserve">http://archive.nwc.gov.au/__data/assets/pdf_file/0003/9723/Coal_Seam_Gas.pdf</w:t>
        </w:r>
      </w:hyperlink>
      <w:r>
        <w:t xml:space="preserve">.</w:t>
      </w:r>
    </w:p>
    <w:p>
      <w:pPr>
        <w:pStyle w:val="Bibliography"/>
      </w:pPr>
      <w:r>
        <w:t xml:space="preserve">Odum, Howard T. 1979. “Principle of Environmental Energy Matching for Estimating Potential Economic Value, a Rebuttal.”</w:t>
      </w:r>
      <w:r>
        <w:t xml:space="preserve"> </w:t>
      </w:r>
      <w:r>
        <w:rPr>
          <w:i/>
        </w:rPr>
        <w:t xml:space="preserve">Coastal Zone Management Journal</w:t>
      </w:r>
      <w:r>
        <w:t xml:space="preserve"> </w:t>
      </w:r>
      <w:r>
        <w:t xml:space="preserve">5 (3): 239–41. doi:</w:t>
      </w:r>
      <w:hyperlink r:id="rId174">
        <w:r>
          <w:rPr>
            <w:rStyle w:val="Link"/>
          </w:rPr>
          <w:t xml:space="preserve">10.1080/08920757909361809</w:t>
        </w:r>
      </w:hyperlink>
      <w:r>
        <w:t xml:space="preserve">.</w:t>
      </w:r>
    </w:p>
    <w:p>
      <w:pPr>
        <w:pStyle w:val="Bibliography"/>
      </w:pPr>
      <w:r>
        <w:t xml:space="preserve">Odum, Howard T., and Eugene P. Odum. 2000. “The Energetic Basis for Valuation of Ecosystem Services.”</w:t>
      </w:r>
      <w:r>
        <w:t xml:space="preserve"> </w:t>
      </w:r>
      <w:r>
        <w:rPr>
          <w:i/>
        </w:rPr>
        <w:t xml:space="preserve">Ecosystems</w:t>
      </w:r>
      <w:r>
        <w:t xml:space="preserve"> </w:t>
      </w:r>
      <w:r>
        <w:t xml:space="preserve">3 (1): 21–23. doi:</w:t>
      </w:r>
      <w:hyperlink r:id="rId175">
        <w:r>
          <w:rPr>
            <w:rStyle w:val="Link"/>
          </w:rPr>
          <w:t xml:space="preserve">10.1007/s100210000005</w:t>
        </w:r>
      </w:hyperlink>
      <w:r>
        <w:t xml:space="preserve">.</w:t>
      </w:r>
    </w:p>
    <w:p>
      <w:pPr>
        <w:pStyle w:val="Bibliography"/>
      </w:pPr>
      <w:r>
        <w:t xml:space="preserve">O’Connor, Brendan, Ramnath Balasubramanyan, Bryan R. Routledge, and Noah A. Smith. 2010. “From Tweets to Polls: Linking Text Sentiment to Public Opinion Time Series.”</w:t>
      </w:r>
      <w:r>
        <w:t xml:space="preserve"> </w:t>
      </w:r>
      <w:r>
        <w:rPr>
          <w:i/>
        </w:rPr>
        <w:t xml:space="preserve">ICWSM</w:t>
      </w:r>
      <w:r>
        <w:t xml:space="preserve"> </w:t>
      </w:r>
      <w:r>
        <w:t xml:space="preserve">11 (122-129): 1–2.</w:t>
      </w:r>
      <w:r>
        <w:t xml:space="preserve"> </w:t>
      </w:r>
      <w:hyperlink r:id="rId176">
        <w:r>
          <w:rPr>
            <w:rStyle w:val="Link"/>
          </w:rPr>
          <w:t xml:space="preserve">http://www.aaai.org/ocs/index.php/ICWSM/ICWSM10/paper/viewFile/1536/1842/</w:t>
        </w:r>
      </w:hyperlink>
      <w:r>
        <w:t xml:space="preserve">.</w:t>
      </w:r>
    </w:p>
    <w:p>
      <w:pPr>
        <w:pStyle w:val="Bibliography"/>
      </w:pPr>
      <w:r>
        <w:t xml:space="preserve">O’Kane, Mary. 2014. “Independent Review of Coal Seam Gas (CSG) Activities in NSW - Final Report.” Chief Scientist NSW.</w:t>
      </w:r>
      <w:r>
        <w:t xml:space="preserve"> </w:t>
      </w:r>
      <w:hyperlink r:id="rId177">
        <w:r>
          <w:rPr>
            <w:rStyle w:val="Link"/>
          </w:rPr>
          <w:t xml:space="preserve">http://www.chiefscientist.nsw.gov.au/__data/assets/pdf_file/0005/56912/140930-CSG-Final-Report.pdf</w:t>
        </w:r>
      </w:hyperlink>
      <w:r>
        <w:t xml:space="preserve">.</w:t>
      </w:r>
    </w:p>
    <w:p>
      <w:pPr>
        <w:pStyle w:val="Bibliography"/>
      </w:pPr>
      <w:r>
        <w:t xml:space="preserve">Pattison, Tony, Phil Moody, and John Bagshaw. 2010. “Soil Health for Vegetable Production in Australia.” Department of Employment, Economic Development; Innovation.</w:t>
      </w:r>
      <w:r>
        <w:t xml:space="preserve"> </w:t>
      </w:r>
      <w:hyperlink r:id="rId178">
        <w:r>
          <w:rPr>
            <w:rStyle w:val="Link"/>
          </w:rPr>
          <w:t xml:space="preserve">https://www.daf.qld.gov.au/__data/assets/pdf_file/0006/77127/Soil-health-vegetable-production-Part_1.pdf</w:t>
        </w:r>
      </w:hyperlink>
      <w:r>
        <w:t xml:space="preserve">.</w:t>
      </w:r>
    </w:p>
    <w:p>
      <w:pPr>
        <w:pStyle w:val="Bibliography"/>
      </w:pPr>
      <w:r>
        <w:t xml:space="preserve">Pekka Aula. 2010. “Social Media, Reputation Risk and Ambient Publicity Management.”</w:t>
      </w:r>
      <w:r>
        <w:t xml:space="preserve"> </w:t>
      </w:r>
      <w:r>
        <w:rPr>
          <w:i/>
        </w:rPr>
        <w:t xml:space="preserve">Strategy &amp; Leadership</w:t>
      </w:r>
      <w:r>
        <w:t xml:space="preserve"> </w:t>
      </w:r>
      <w:r>
        <w:t xml:space="preserve">38 (6): 43–49. doi:</w:t>
      </w:r>
      <w:hyperlink r:id="rId179">
        <w:r>
          <w:rPr>
            <w:rStyle w:val="Link"/>
          </w:rPr>
          <w:t xml:space="preserve">10.1108/10878571011088069</w:t>
        </w:r>
      </w:hyperlink>
      <w:r>
        <w:t xml:space="preserve">.</w:t>
      </w:r>
    </w:p>
    <w:p>
      <w:pPr>
        <w:pStyle w:val="Bibliography"/>
      </w:pPr>
      <w:r>
        <w:t xml:space="preserve">Power, R, and G Walker. 2011. “Maintaining Synchronized Water Datasets.” In</w:t>
      </w:r>
      <w:r>
        <w:t xml:space="preserve"> </w:t>
      </w:r>
      <w:r>
        <w:rPr>
          <w:i/>
        </w:rPr>
        <w:t xml:space="preserve">19th International Congress on Modelling and Simulation</w:t>
      </w:r>
      <w:r>
        <w:t xml:space="preserve">. Perth, Australia.</w:t>
      </w:r>
      <w:r>
        <w:t xml:space="preserve"> </w:t>
      </w:r>
      <w:hyperlink r:id="rId180">
        <w:r>
          <w:rPr>
            <w:rStyle w:val="Link"/>
          </w:rPr>
          <w:t xml:space="preserve">http://www.mssanz.org.au/modsim2011/H4/power.pdf</w:t>
        </w:r>
      </w:hyperlink>
      <w:r>
        <w:t xml:space="preserve">.</w:t>
      </w:r>
    </w:p>
    <w:p>
      <w:pPr>
        <w:pStyle w:val="Bibliography"/>
      </w:pPr>
      <w:r>
        <w:t xml:space="preserve">PWC. 2008. “A Practical Guide to Risk Assessment: How Principles-Based Risk Assessment Enables Organizations to Take the Right Risks.” Price Waterhouse Coopers.</w:t>
      </w:r>
      <w:r>
        <w:t xml:space="preserve"> </w:t>
      </w:r>
      <w:hyperlink r:id="rId181">
        <w:r>
          <w:rPr>
            <w:rStyle w:val="Link"/>
          </w:rPr>
          <w:t xml:space="preserve">http://www.pwc.com/en_us/us/issues/enterprise-risk-management/assets/risk_assessment_guide.pdf</w:t>
        </w:r>
      </w:hyperlink>
      <w:r>
        <w:t xml:space="preserve">.</w:t>
      </w:r>
    </w:p>
    <w:p>
      <w:pPr>
        <w:pStyle w:val="Bibliography"/>
      </w:pPr>
      <w:r>
        <w:t xml:space="preserve">QLD State Government. 2015. “Underground Water Management Framework.”</w:t>
      </w:r>
      <w:r>
        <w:t xml:space="preserve"> </w:t>
      </w:r>
      <w:hyperlink r:id="rId182">
        <w:r>
          <w:rPr>
            <w:rStyle w:val="Link"/>
          </w:rPr>
          <w:t xml:space="preserve">http://agforceqld.org.au/file.php?id=1016&amp;open=yes</w:t>
        </w:r>
      </w:hyperlink>
      <w:r>
        <w:t xml:space="preserve">.</w:t>
      </w:r>
    </w:p>
    <w:p>
      <w:pPr>
        <w:pStyle w:val="Bibliography"/>
      </w:pPr>
      <w:r>
        <w:t xml:space="preserve">QWC, Queensland Water Commission. 2012. “Underground Water Impact Report for the Surat Cumulative Management Area.” State of Queensland Queensland Water Commission.</w:t>
      </w:r>
      <w:r>
        <w:t xml:space="preserve"> </w:t>
      </w:r>
      <w:hyperlink r:id="rId183">
        <w:r>
          <w:rPr>
            <w:rStyle w:val="Link"/>
          </w:rPr>
          <w:t xml:space="preserve">https://www.dnrm.qld.gov.au/__data/assets/pdf_file/0016/31327/underground-water-impact-report.pdf</w:t>
        </w:r>
      </w:hyperlink>
      <w:r>
        <w:t xml:space="preserve">.</w:t>
      </w:r>
    </w:p>
    <w:p>
      <w:pPr>
        <w:pStyle w:val="Bibliography"/>
      </w:pPr>
      <w:r>
        <w:t xml:space="preserve">Randall, Alan. 2012. “Coal Seam Gas–toward a Risk Management Framework for a Novel Intervention.”</w:t>
      </w:r>
      <w:r>
        <w:t xml:space="preserve"> </w:t>
      </w:r>
      <w:r>
        <w:rPr>
          <w:i/>
        </w:rPr>
        <w:t xml:space="preserve">Environmental and Planning Law Journal</w:t>
      </w:r>
      <w:r>
        <w:t xml:space="preserve"> </w:t>
      </w:r>
      <w:r>
        <w:t xml:space="preserve">29: 152.</w:t>
      </w:r>
    </w:p>
    <w:p>
      <w:pPr>
        <w:pStyle w:val="Bibliography"/>
      </w:pPr>
      <w:r>
        <w:t xml:space="preserve">Renn, Ortwin. 2008.</w:t>
      </w:r>
      <w:r>
        <w:t xml:space="preserve"> </w:t>
      </w:r>
      <w:r>
        <w:rPr>
          <w:i/>
        </w:rPr>
        <w:t xml:space="preserve">Risk Governance: Coping with Uncertainty in a Complex World</w:t>
      </w:r>
      <w:r>
        <w:t xml:space="preserve">. London ; Sterling, VA: Routledge.</w:t>
      </w:r>
    </w:p>
    <w:p>
      <w:pPr>
        <w:pStyle w:val="Bibliography"/>
      </w:pPr>
      <w:r>
        <w:t xml:space="preserve">Renn, Ortwin, Andreas Klinke, and Marjolein van Asselt. 2011. “Coping with Complexity, Uncertainty and Ambiguity in Risk Governance: A Synthesis.”</w:t>
      </w:r>
      <w:r>
        <w:t xml:space="preserve"> </w:t>
      </w:r>
      <w:r>
        <w:rPr>
          <w:i/>
        </w:rPr>
        <w:t xml:space="preserve">AMBIO</w:t>
      </w:r>
      <w:r>
        <w:t xml:space="preserve"> </w:t>
      </w:r>
      <w:r>
        <w:t xml:space="preserve">40 (2): 231–46. doi:</w:t>
      </w:r>
      <w:hyperlink r:id="rId184">
        <w:r>
          <w:rPr>
            <w:rStyle w:val="Link"/>
          </w:rPr>
          <w:t xml:space="preserve">10.1007/s13280-010-0134-0</w:t>
        </w:r>
      </w:hyperlink>
      <w:r>
        <w:t xml:space="preserve">.</w:t>
      </w:r>
    </w:p>
    <w:p>
      <w:pPr>
        <w:pStyle w:val="Bibliography"/>
      </w:pPr>
      <w:r>
        <w:t xml:space="preserve">Renn, Ortwin, Katherine D. Walker, and Christopher Bunting, eds. 2008.</w:t>
      </w:r>
      <w:r>
        <w:t xml:space="preserve"> </w:t>
      </w:r>
      <w:r>
        <w:rPr>
          <w:i/>
        </w:rPr>
        <w:t xml:space="preserve">Global Risk Governance</w:t>
      </w:r>
      <w:r>
        <w:t xml:space="preserve">. Vol. 1. International Risk Governance Council Bookseries. Dordrecht: Springer Netherlands.</w:t>
      </w:r>
      <w:r>
        <w:t xml:space="preserve"> </w:t>
      </w:r>
      <w:hyperlink r:id="rId185">
        <w:r>
          <w:rPr>
            <w:rStyle w:val="Link"/>
          </w:rPr>
          <w:t xml:space="preserve">http://link.springer.com/10.1007/978-1-4020-6799-0</w:t>
        </w:r>
      </w:hyperlink>
      <w:r>
        <w:t xml:space="preserve">.</w:t>
      </w:r>
    </w:p>
    <w:p>
      <w:pPr>
        <w:pStyle w:val="Bibliography"/>
      </w:pPr>
      <w:r>
        <w:t xml:space="preserve">Rook, Paul. 1986. “Controlling Software Projects.”</w:t>
      </w:r>
      <w:r>
        <w:t xml:space="preserve"> </w:t>
      </w:r>
      <w:r>
        <w:rPr>
          <w:i/>
        </w:rPr>
        <w:t xml:space="preserve">Softw. Eng. J.</w:t>
      </w:r>
      <w:r>
        <w:t xml:space="preserve"> </w:t>
      </w:r>
      <w:r>
        <w:t xml:space="preserve">1 (1): 7–16. doi:</w:t>
      </w:r>
      <w:hyperlink r:id="rId186">
        <w:r>
          <w:rPr>
            <w:rStyle w:val="Link"/>
          </w:rPr>
          <w:t xml:space="preserve">10.1049/sej.1986.0003</w:t>
        </w:r>
      </w:hyperlink>
      <w:r>
        <w:t xml:space="preserve">.</w:t>
      </w:r>
    </w:p>
    <w:p>
      <w:pPr>
        <w:pStyle w:val="Bibliography"/>
      </w:pPr>
      <w:r>
        <w:t xml:space="preserve">Ryan, Jennifer, Rodrigues, Katrina, and De Hayr, Rob. 2011. “Water Quality Metadata Guidelines.” Report A. State of Queensland: Environment; Resource Sciences Department of Environment; Resource Management.</w:t>
      </w:r>
      <w:r>
        <w:t xml:space="preserve"> </w:t>
      </w:r>
      <w:hyperlink r:id="rId187">
        <w:r>
          <w:rPr>
            <w:rStyle w:val="Link"/>
          </w:rPr>
          <w:t xml:space="preserve">http://www.bom.gov.au/water/standards/projects/documents/wq_metadata_guidelines.pdf</w:t>
        </w:r>
      </w:hyperlink>
      <w:r>
        <w:t xml:space="preserve">.</w:t>
      </w:r>
    </w:p>
    <w:p>
      <w:pPr>
        <w:pStyle w:val="Bibliography"/>
      </w:pPr>
      <w:r>
        <w:t xml:space="preserve">Sandman, Peter M. 1987. “Risk Communication: Facing Public Outrage.”</w:t>
      </w:r>
      <w:r>
        <w:t xml:space="preserve"> </w:t>
      </w:r>
      <w:r>
        <w:rPr>
          <w:i/>
        </w:rPr>
        <w:t xml:space="preserve">EPA Journal</w:t>
      </w:r>
      <w:r>
        <w:t xml:space="preserve"> </w:t>
      </w:r>
      <w:r>
        <w:t xml:space="preserve">13: 21.</w:t>
      </w:r>
      <w:r>
        <w:t xml:space="preserve"> </w:t>
      </w:r>
      <w:hyperlink r:id="rId188">
        <w:r>
          <w:rPr>
            <w:rStyle w:val="Link"/>
          </w:rPr>
          <w:t xml:space="preserve">http://heinonline.org/HOL/Page?handle=hein.journals/epajrnl13&amp;id=314&amp;div=&amp;collection=</w:t>
        </w:r>
      </w:hyperlink>
      <w:r>
        <w:t xml:space="preserve">.</w:t>
      </w:r>
    </w:p>
    <w:p>
      <w:pPr>
        <w:pStyle w:val="Bibliography"/>
      </w:pPr>
      <w:r>
        <w:t xml:space="preserve">SCER, Standing Council on Energy</w:t>
      </w:r>
      <w:r>
        <w:t xml:space="preserve"> </w:t>
      </w:r>
      <w:r>
        <w:t xml:space="preserve">and</w:t>
      </w:r>
      <w:r>
        <w:t xml:space="preserve"> </w:t>
      </w:r>
      <w:r>
        <w:t xml:space="preserve">Resources. 2013. “The National Harmonised Regulatory Framework for Natural Gas from Coal Seams.” Australian Government.</w:t>
      </w:r>
      <w:r>
        <w:t xml:space="preserve"> </w:t>
      </w:r>
      <w:hyperlink r:id="rId189">
        <w:r>
          <w:rPr>
            <w:rStyle w:val="Link"/>
          </w:rPr>
          <w:t xml:space="preserve">http://www.scer.gov.au/files/2013/09/National-Harmonised-Regulatory-Framework-for-Natural-Gas-from-Coal-Seams.pdf</w:t>
        </w:r>
      </w:hyperlink>
      <w:r>
        <w:t xml:space="preserve">.</w:t>
      </w:r>
    </w:p>
    <w:p>
      <w:pPr>
        <w:pStyle w:val="Bibliography"/>
      </w:pPr>
      <w:r>
        <w:t xml:space="preserve">Schlager, Kenneth J. 1956. “Systems Engineering-Key to Modern Development.”</w:t>
      </w:r>
      <w:r>
        <w:t xml:space="preserve"> </w:t>
      </w:r>
      <w:r>
        <w:rPr>
          <w:i/>
        </w:rPr>
        <w:t xml:space="preserve">IRE Transactions on Engineering Management</w:t>
      </w:r>
      <w:r>
        <w:t xml:space="preserve"> </w:t>
      </w:r>
      <w:r>
        <w:t xml:space="preserve">EM-3 (3): 64–66. doi:</w:t>
      </w:r>
      <w:hyperlink r:id="rId190">
        <w:r>
          <w:rPr>
            <w:rStyle w:val="Link"/>
          </w:rPr>
          <w:t xml:space="preserve">10.1109/IRET-EM.1956.5007383</w:t>
        </w:r>
      </w:hyperlink>
      <w:r>
        <w:t xml:space="preserve">.</w:t>
      </w:r>
    </w:p>
    <w:p>
      <w:pPr>
        <w:pStyle w:val="Bibliography"/>
      </w:pPr>
      <w:r>
        <w:t xml:space="preserve">Shin, Dong-Hee, and Yong-Moon Kim. 2015. “The Utilization of Big Data’s Disaster Management in Korea.”</w:t>
      </w:r>
      <w:r>
        <w:t xml:space="preserve"> </w:t>
      </w:r>
      <w:r>
        <w:rPr>
          <w:i/>
        </w:rPr>
        <w:t xml:space="preserve">The Journal of the Korea Contents Association</w:t>
      </w:r>
      <w:r>
        <w:t xml:space="preserve"> </w:t>
      </w:r>
      <w:r>
        <w:t xml:space="preserve">15 (2): 377–92. doi:</w:t>
      </w:r>
      <w:hyperlink r:id="rId191">
        <w:r>
          <w:rPr>
            <w:rStyle w:val="Link"/>
          </w:rPr>
          <w:t xml:space="preserve">10.5392/JKCA.2015.15.02.377</w:t>
        </w:r>
      </w:hyperlink>
      <w:r>
        <w:t xml:space="preserve">.</w:t>
      </w:r>
    </w:p>
    <w:p>
      <w:pPr>
        <w:pStyle w:val="Bibliography"/>
      </w:pPr>
      <w:r>
        <w:t xml:space="preserve">Siegrist, Michael, Melanie Connor, and Carmen Keller. 2012. “Trust, Confidence, Procedural Fairness, Outcome Fairness, Moral Conviction, and the Acceptance of GM Field Experiments.”</w:t>
      </w:r>
      <w:r>
        <w:t xml:space="preserve"> </w:t>
      </w:r>
      <w:r>
        <w:rPr>
          <w:i/>
        </w:rPr>
        <w:t xml:space="preserve">Risk Analysis</w:t>
      </w:r>
      <w:r>
        <w:t xml:space="preserve"> </w:t>
      </w:r>
      <w:r>
        <w:t xml:space="preserve">32 (8): 1394–1403.</w:t>
      </w:r>
      <w:r>
        <w:t xml:space="preserve"> </w:t>
      </w:r>
      <w:hyperlink r:id="rId192">
        <w:r>
          <w:rPr>
            <w:rStyle w:val="Link"/>
          </w:rPr>
          <w:t xml:space="preserve">http://onlinelibrary.wiley.com/doi/10.1111/j.1539-6924.2011.01739.x/full</w:t>
        </w:r>
      </w:hyperlink>
      <w:r>
        <w:t xml:space="preserve">.</w:t>
      </w:r>
    </w:p>
    <w:p>
      <w:pPr>
        <w:pStyle w:val="Bibliography"/>
      </w:pPr>
      <w:r>
        <w:t xml:space="preserve">Slovic, Paul. 1987. “Perception of Risk.”</w:t>
      </w:r>
      <w:r>
        <w:t xml:space="preserve"> </w:t>
      </w:r>
      <w:r>
        <w:rPr>
          <w:i/>
        </w:rPr>
        <w:t xml:space="preserve">Science</w:t>
      </w:r>
      <w:r>
        <w:t xml:space="preserve">, New Series, 236 (4799): 280–85.</w:t>
      </w:r>
      <w:r>
        <w:t xml:space="preserve"> </w:t>
      </w:r>
      <w:hyperlink r:id="rId193">
        <w:r>
          <w:rPr>
            <w:rStyle w:val="Link"/>
          </w:rPr>
          <w:t xml:space="preserve">http://www.jstor.org/stable/1698637</w:t>
        </w:r>
      </w:hyperlink>
      <w:r>
        <w:t xml:space="preserve">.</w:t>
      </w:r>
    </w:p>
    <w:p>
      <w:pPr>
        <w:pStyle w:val="Bibliography"/>
      </w:pPr>
      <w:r>
        <w:t xml:space="preserve">Smith, Charles Forster, and others. 1962.</w:t>
      </w:r>
      <w:r>
        <w:t xml:space="preserve"> </w:t>
      </w:r>
      <w:r>
        <w:rPr>
          <w:i/>
        </w:rPr>
        <w:t xml:space="preserve">Thucydides: Books I and II</w:t>
      </w:r>
      <w:r>
        <w:t xml:space="preserve">. Vol. 108. W. Heinemann.</w:t>
      </w:r>
      <w:r>
        <w:t xml:space="preserve"> </w:t>
      </w:r>
      <w:hyperlink r:id="rId194">
        <w:r>
          <w:rPr>
            <w:rStyle w:val="Link"/>
          </w:rPr>
          <w:t xml:space="preserve">https://archive.org/stream/thucydideswithen01thucuoft/thucydideswithen01thucuoft_djvu.txt</w:t>
        </w:r>
      </w:hyperlink>
      <w:r>
        <w:t xml:space="preserve">.</w:t>
      </w:r>
    </w:p>
    <w:p>
      <w:pPr>
        <w:pStyle w:val="Bibliography"/>
      </w:pPr>
      <w:r>
        <w:t xml:space="preserve">Solomons, the National Reporting Team’s Mark, and Mark Willacy. 2015. “Secret Report Reveals Toxic Legacy of Coal Gasification Trials Near SE Queensland Town.” Text.</w:t>
      </w:r>
      <w:r>
        <w:t xml:space="preserve"> </w:t>
      </w:r>
      <w:r>
        <w:rPr>
          <w:i/>
        </w:rPr>
        <w:t xml:space="preserve">ABC News</w:t>
      </w:r>
      <w:r>
        <w:t xml:space="preserve">.</w:t>
      </w:r>
      <w:r>
        <w:t xml:space="preserve"> </w:t>
      </w:r>
      <w:hyperlink r:id="rId195">
        <w:r>
          <w:rPr>
            <w:rStyle w:val="Link"/>
          </w:rPr>
          <w:t xml:space="preserve">http://www.abc.net.au/news/2015-08-10/linc-energy-secret-report-reveals-toxic-chemical-risk/6681740</w:t>
        </w:r>
      </w:hyperlink>
      <w:r>
        <w:t xml:space="preserve">.</w:t>
      </w:r>
    </w:p>
    <w:p>
      <w:pPr>
        <w:pStyle w:val="Bibliography"/>
      </w:pPr>
      <w:r>
        <w:t xml:space="preserve">Stamatelatos, Michael, and José Caraballo. 2002.</w:t>
      </w:r>
      <w:r>
        <w:t xml:space="preserve"> </w:t>
      </w:r>
      <w:r>
        <w:rPr>
          <w:i/>
        </w:rPr>
        <w:t xml:space="preserve">Fault Tree Handbook with Aerospace Applications</w:t>
      </w:r>
      <w:r>
        <w:t xml:space="preserve">. Office of safety; mission assurance NASA headquarters.</w:t>
      </w:r>
    </w:p>
    <w:p>
      <w:pPr>
        <w:pStyle w:val="Bibliography"/>
      </w:pPr>
      <w:r>
        <w:t xml:space="preserve">Stamatelatos, Michael, Homayoon Dezfuli, George Apostolakis, Chester Everline, Sergio Guarro, Donovan Mathias, Ali Mosleh, et al. 2011. “Probabilistic Risk Assessment Procedures Guide for NASA Managers and Practitioners (Second Edition).”</w:t>
      </w:r>
      <w:r>
        <w:t xml:space="preserve"> </w:t>
      </w:r>
      <w:hyperlink r:id="rId196">
        <w:r>
          <w:rPr>
            <w:rStyle w:val="Link"/>
          </w:rPr>
          <w:t xml:space="preserve">http://ntrs.nasa.gov/search.jsp?R=20120001369</w:t>
        </w:r>
      </w:hyperlink>
      <w:r>
        <w:t xml:space="preserve">.</w:t>
      </w:r>
    </w:p>
    <w:p>
      <w:pPr>
        <w:pStyle w:val="Bibliography"/>
      </w:pPr>
      <w:r>
        <w:t xml:space="preserve">Stonebraker, Michael. 2010. “SQL Databases V. NoSQL Databases.”</w:t>
      </w:r>
      <w:r>
        <w:t xml:space="preserve"> </w:t>
      </w:r>
      <w:r>
        <w:rPr>
          <w:i/>
        </w:rPr>
        <w:t xml:space="preserve">Communications of the ACM</w:t>
      </w:r>
      <w:r>
        <w:t xml:space="preserve"> </w:t>
      </w:r>
      <w:r>
        <w:t xml:space="preserve">53 (4): 10. doi:</w:t>
      </w:r>
      <w:hyperlink r:id="rId197">
        <w:r>
          <w:rPr>
            <w:rStyle w:val="Link"/>
          </w:rPr>
          <w:t xml:space="preserve">10.1145/1721654.1721659</w:t>
        </w:r>
      </w:hyperlink>
      <w:r>
        <w:t xml:space="preserve">.</w:t>
      </w:r>
    </w:p>
    <w:p>
      <w:pPr>
        <w:pStyle w:val="Bibliography"/>
      </w:pPr>
      <w:r>
        <w:t xml:space="preserve">Swayne, Nicola. 2012. “Regulating Coal Seam Gas in Queensland : Lessons in an Adaptive Environmental Management Approach?”</w:t>
      </w:r>
      <w:r>
        <w:t xml:space="preserve"> </w:t>
      </w:r>
      <w:r>
        <w:rPr>
          <w:i/>
        </w:rPr>
        <w:t xml:space="preserve">Environmental and Planning Law Journal</w:t>
      </w:r>
      <w:r>
        <w:t xml:space="preserve"> </w:t>
      </w:r>
      <w:r>
        <w:t xml:space="preserve">29 (2): 163–85.</w:t>
      </w:r>
      <w:r>
        <w:t xml:space="preserve"> </w:t>
      </w:r>
      <w:hyperlink r:id="rId198">
        <w:r>
          <w:rPr>
            <w:rStyle w:val="Link"/>
          </w:rPr>
          <w:t xml:space="preserve">http://eprints.qut.edu.au/49293/</w:t>
        </w:r>
      </w:hyperlink>
      <w:r>
        <w:t xml:space="preserve">.</w:t>
      </w:r>
    </w:p>
    <w:p>
      <w:pPr>
        <w:pStyle w:val="Bibliography"/>
      </w:pPr>
      <w:r>
        <w:t xml:space="preserve">Tartakovsky, Daniel M. 2007. “Probabilistic Risk Analysis in Subsurface Hydrology.”</w:t>
      </w:r>
      <w:r>
        <w:t xml:space="preserve"> </w:t>
      </w:r>
      <w:r>
        <w:rPr>
          <w:i/>
        </w:rPr>
        <w:t xml:space="preserve">Geophysical Research Letters</w:t>
      </w:r>
      <w:r>
        <w:t xml:space="preserve"> </w:t>
      </w:r>
      <w:r>
        <w:t xml:space="preserve">34 (5). doi:</w:t>
      </w:r>
      <w:hyperlink r:id="rId199">
        <w:r>
          <w:rPr>
            <w:rStyle w:val="Link"/>
          </w:rPr>
          <w:t xml:space="preserve">10.1029/2007GL029245</w:t>
        </w:r>
      </w:hyperlink>
      <w:r>
        <w:t xml:space="preserve">.</w:t>
      </w:r>
    </w:p>
    <w:p>
      <w:pPr>
        <w:pStyle w:val="Bibliography"/>
      </w:pPr>
      <w:r>
        <w:t xml:space="preserve">———. 2013. “Assessment and Management of Risk in Subsurface Hydrology: A Review and Perspective.”</w:t>
      </w:r>
      <w:r>
        <w:t xml:space="preserve"> </w:t>
      </w:r>
      <w:r>
        <w:rPr>
          <w:i/>
        </w:rPr>
        <w:t xml:space="preserve">Advances in Water Resources</w:t>
      </w:r>
      <w:r>
        <w:t xml:space="preserve">, 35th Year Anniversary Issue, 51 (January): 247–60. doi:</w:t>
      </w:r>
      <w:hyperlink r:id="rId200">
        <w:r>
          <w:rPr>
            <w:rStyle w:val="Link"/>
          </w:rPr>
          <w:t xml:space="preserve">10.1016/j.advwatres.2012.04.007</w:t>
        </w:r>
      </w:hyperlink>
      <w:r>
        <w:t xml:space="preserve">.</w:t>
      </w:r>
    </w:p>
    <w:p>
      <w:pPr>
        <w:pStyle w:val="Bibliography"/>
      </w:pPr>
      <w:r>
        <w:t xml:space="preserve">Taylor, Nathan. 2012. “Australia’s Unconventional Energy Options.” Committee for Economic Development of Australia.</w:t>
      </w:r>
      <w:r>
        <w:t xml:space="preserve"> </w:t>
      </w:r>
      <w:hyperlink r:id="rId201">
        <w:r>
          <w:rPr>
            <w:rStyle w:val="Link"/>
          </w:rPr>
          <w:t xml:space="preserve">http://adminpanel.ceda.com.au/FOLDERS/Service/Files/Documents/15347~cedaunconventionalenergyfinal.pdf</w:t>
        </w:r>
      </w:hyperlink>
      <w:r>
        <w:t xml:space="preserve">.</w:t>
      </w:r>
    </w:p>
    <w:p>
      <w:pPr>
        <w:pStyle w:val="Bibliography"/>
      </w:pPr>
      <w:r>
        <w:t xml:space="preserve">Thelwall, Mike. 2014. “Sentiment Analysis and Time Series with Twitter.”</w:t>
      </w:r>
      <w:r>
        <w:t xml:space="preserve"> </w:t>
      </w:r>
      <w:r>
        <w:rPr>
          <w:i/>
        </w:rPr>
        <w:t xml:space="preserve">Twitter and Society. Peter Lang Publishing</w:t>
      </w:r>
      <w:r>
        <w:t xml:space="preserve">, 83–96.</w:t>
      </w:r>
      <w:r>
        <w:t xml:space="preserve"> </w:t>
      </w:r>
      <w:hyperlink r:id="rId202">
        <w:r>
          <w:rPr>
            <w:rStyle w:val="Link"/>
          </w:rPr>
          <w:t xml:space="preserve">http://eprints.qut.edu.au/66321/1/Twitter_and_Society_(2014).pdf#page=122</w:t>
        </w:r>
      </w:hyperlink>
      <w:r>
        <w:t xml:space="preserve">.</w:t>
      </w:r>
    </w:p>
    <w:p>
      <w:pPr>
        <w:pStyle w:val="Bibliography"/>
      </w:pPr>
      <w:r>
        <w:t xml:space="preserve">Tilkov, Stefan, and Steve Vinoski. 2010. “Node.js: Using JavaScript to Build High-Performance Network Programs.”</w:t>
      </w:r>
      <w:r>
        <w:t xml:space="preserve"> </w:t>
      </w:r>
      <w:r>
        <w:rPr>
          <w:i/>
        </w:rPr>
        <w:t xml:space="preserve">IEEE Internet Computing</w:t>
      </w:r>
      <w:r>
        <w:t xml:space="preserve"> </w:t>
      </w:r>
      <w:r>
        <w:t xml:space="preserve">14 (6): 80–83.</w:t>
      </w:r>
    </w:p>
    <w:p>
      <w:pPr>
        <w:pStyle w:val="Bibliography"/>
      </w:pPr>
      <w:r>
        <w:t xml:space="preserve">Turner, John C. 1991.</w:t>
      </w:r>
      <w:r>
        <w:t xml:space="preserve"> </w:t>
      </w:r>
      <w:r>
        <w:rPr>
          <w:i/>
        </w:rPr>
        <w:t xml:space="preserve">Social Influence.</w:t>
      </w:r>
      <w:r>
        <w:t xml:space="preserve"> </w:t>
      </w:r>
      <w:r>
        <w:t xml:space="preserve">Thomson Brooks/Cole Publishing Co.</w:t>
      </w:r>
      <w:r>
        <w:t xml:space="preserve"> </w:t>
      </w:r>
      <w:hyperlink r:id="rId203">
        <w:r>
          <w:rPr>
            <w:rStyle w:val="Link"/>
          </w:rPr>
          <w:t xml:space="preserve">http://doi.apa.org/psycinfo/1992-97487-000</w:t>
        </w:r>
      </w:hyperlink>
      <w:r>
        <w:t xml:space="preserve">.</w:t>
      </w:r>
    </w:p>
    <w:p>
      <w:pPr>
        <w:pStyle w:val="Bibliography"/>
      </w:pPr>
      <w:r>
        <w:t xml:space="preserve">VFF, Victorian Farmers Federation. 2013. “Public Consultation – The Draft National Harmonised Regulatory Framework for Coal Seam Gas.” Victorian Farmers Federation.</w:t>
      </w:r>
      <w:r>
        <w:t xml:space="preserve"> </w:t>
      </w:r>
      <w:hyperlink r:id="rId204">
        <w:r>
          <w:rPr>
            <w:rStyle w:val="Link"/>
          </w:rPr>
          <w:t xml:space="preserve">http://www.scer.gov.au/files/2013/03/VictorianFarmersFederationStadbrokeBranch.pdf</w:t>
        </w:r>
      </w:hyperlink>
      <w:r>
        <w:t xml:space="preserve">.</w:t>
      </w:r>
    </w:p>
    <w:p>
      <w:pPr>
        <w:pStyle w:val="Bibliography"/>
      </w:pPr>
      <w:r>
        <w:t xml:space="preserve">Vitech. 2015. “CORE.” Vitech.</w:t>
      </w:r>
      <w:r>
        <w:t xml:space="preserve"> </w:t>
      </w:r>
      <w:hyperlink r:id="rId205">
        <w:r>
          <w:rPr>
            <w:rStyle w:val="Link"/>
          </w:rPr>
          <w:t xml:space="preserve">http://www.vitechcorp.com/products/core.shtml</w:t>
        </w:r>
      </w:hyperlink>
      <w:r>
        <w:t xml:space="preserve">.</w:t>
      </w:r>
    </w:p>
    <w:p>
      <w:pPr>
        <w:pStyle w:val="Bibliography"/>
      </w:pPr>
      <w:r>
        <w:t xml:space="preserve">Willacy, Mark. 2015. “Queensland Government Widens Legal Action Against Linc Energy over Alleged Underground Coal Gasification Contamination.”</w:t>
      </w:r>
      <w:r>
        <w:t xml:space="preserve"> </w:t>
      </w:r>
      <w:hyperlink r:id="rId206">
        <w:r>
          <w:rPr>
            <w:rStyle w:val="Link"/>
          </w:rPr>
          <w:t xml:space="preserve">http://mobile.abc.net.au/news/2015-06-10/linc-energy-legal-action-widened-alleged-ugc-contamination/6535098</w:t>
        </w:r>
      </w:hyperlink>
      <w:r>
        <w:t xml:space="preserve">.</w:t>
      </w:r>
    </w:p>
    <w:p>
      <w:pPr>
        <w:pStyle w:val="Bibliography"/>
      </w:pPr>
      <w:r>
        <w:t xml:space="preserve">Williams, R., and A. Walton. 2013.</w:t>
      </w:r>
      <w:r>
        <w:t xml:space="preserve"> </w:t>
      </w:r>
      <w:r>
        <w:rPr>
          <w:i/>
        </w:rPr>
        <w:t xml:space="preserve">The Social Licence to Operate and Coal Seam Gas Development. A Literature Review Report to the Gas Industry Social and Environmental Research Alliance (GISERA). March 2013</w:t>
      </w:r>
      <w:r>
        <w:t xml:space="preserve">. CSIRO, Canberra.</w:t>
      </w:r>
      <w:r>
        <w:t xml:space="preserve"> </w:t>
      </w:r>
      <w:hyperlink r:id="rId207">
        <w:r>
          <w:rPr>
            <w:rStyle w:val="Link"/>
          </w:rPr>
          <w:t xml:space="preserve">http://www.gisera.org.au/publications/tech_reports_papers/socioeco-proj-5-lit-review.pdf</w:t>
        </w:r>
      </w:hyperlink>
      <w:r>
        <w:t xml:space="preserve">.</w:t>
      </w:r>
    </w:p>
    <w:p>
      <w:pPr>
        <w:pStyle w:val="Bibliography"/>
      </w:pPr>
      <w:r>
        <w:t xml:space="preserve">Williamson, Wayne, and Kristian Ruming. 2015. “Assessing the Effectiveness of Online Community Opposition to Precinct Planning.”</w:t>
      </w:r>
      <w:r>
        <w:t xml:space="preserve"> </w:t>
      </w:r>
      <w:r>
        <w:rPr>
          <w:i/>
        </w:rPr>
        <w:t xml:space="preserve">Australian Planner</w:t>
      </w:r>
      <w:r>
        <w:t xml:space="preserve"> </w:t>
      </w:r>
      <w:r>
        <w:t xml:space="preserve">52 (1): 51–59. doi:</w:t>
      </w:r>
      <w:hyperlink r:id="rId208">
        <w:r>
          <w:rPr>
            <w:rStyle w:val="Link"/>
          </w:rPr>
          <w:t xml:space="preserve">10.1080/07293682.2015.1019755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Level 1 requirements are top-level feature requirements. An example might be,</w:t>
      </w:r>
      <w:r>
        <w:t xml:space="preserve"> </w:t>
      </w:r>
      <w:r>
        <w:t xml:space="preserve">“</w:t>
      </w:r>
      <w:r>
        <w:t xml:space="preserve">user interface must accept user inputs</w:t>
      </w:r>
      <w:r>
        <w:t xml:space="preserve">”</w:t>
      </w:r>
      <w:r>
        <w:t xml:space="preserve">. Level 3 requirements are at the schema level defining which schema a field or column might occur in. Level 4 &amp; 5 requirements decompose into the attributes and properties of a field (date, string, etc). Levels 4 &amp; 5 are not deemed necessary for the purposes of a literature review. The term</w:t>
      </w:r>
      <w:r>
        <w:t xml:space="preserve"> </w:t>
      </w:r>
      <w:r>
        <w:t xml:space="preserve">‘</w:t>
      </w:r>
      <w:r>
        <w:t xml:space="preserve">ability to store and track</w:t>
      </w:r>
      <w:r>
        <w:t xml:space="preserve">’</w:t>
      </w:r>
      <w:r>
        <w:t xml:space="preserve"> </w:t>
      </w:r>
      <w:r>
        <w:t xml:space="preserve">is used in the requirements to mean a) that there needs to be a column or field in the database which will be able to store a value, b) that the value may change with time and the database needs to accommodate such.</w:t>
      </w:r>
    </w:p>
  </w:footnote>
  <w:footnote w:id="28">
    <w:p>
      <w:pPr>
        <w:pStyle w:val="FootnoteText"/>
      </w:pPr>
      <w:r>
        <w:rPr>
          <w:rStyle w:val="FootnoteRef"/>
        </w:rPr>
        <w:footnoteRef/>
      </w:r>
      <w:r>
        <w:t xml:space="preserve">a similar conflation has been observed in the humanities</w:t>
      </w:r>
      <w:r>
        <w:t xml:space="preserve"> </w:t>
      </w:r>
      <w:r>
        <w:t xml:space="preserve">Castaños and Lomnitz (2009)</w:t>
      </w:r>
    </w:p>
  </w:footnote>
  <w:footnote w:id="36">
    <w:p>
      <w:pPr>
        <w:pStyle w:val="FootnoteText"/>
      </w:pPr>
      <w:r>
        <w:rPr>
          <w:rStyle w:val="FootnoteRef"/>
        </w:rPr>
        <w:footnoteRef/>
      </w:r>
      <w:r>
        <w:t xml:space="preserve">Citing Hollander</w:t>
      </w:r>
      <w:r>
        <w:t xml:space="preserve"> </w:t>
      </w:r>
      <w:r>
        <w:t xml:space="preserve">(2009)</w:t>
      </w:r>
      <w:r>
        <w:t xml:space="preserve">, and Leebron</w:t>
      </w:r>
      <w:r>
        <w:t xml:space="preserve"> </w:t>
      </w:r>
      <w:r>
        <w:t xml:space="preserve">(1996)</w:t>
      </w:r>
      <w:r>
        <w:t xml:space="preserve">,</w:t>
      </w:r>
      <w:r>
        <w:t xml:space="preserve"> </w:t>
      </w:r>
      <w:r>
        <w:t xml:space="preserve">Brockett (2014a)</w:t>
      </w:r>
      <w:r>
        <w:t xml:space="preserve"> </w:t>
      </w:r>
      <w:r>
        <w:t xml:space="preserve">defines harmonization as process of making regulatory requirements, from different jurisdictions, identical or similar through joint problem-solving mechanisms</w:t>
      </w:r>
    </w:p>
  </w:footnote>
  <w:footnote w:id="41">
    <w:p>
      <w:pPr>
        <w:pStyle w:val="FootnoteText"/>
      </w:pPr>
      <w:r>
        <w:rPr>
          <w:rStyle w:val="FootnoteRef"/>
        </w:rPr>
        <w:footnoteRef/>
      </w:r>
      <w:r>
        <w:t xml:space="preserve">AS/NZS 4360:2004 has since been superseded by</w:t>
      </w:r>
      <w:r>
        <w:t xml:space="preserve"> </w:t>
      </w:r>
      <w:r>
        <w:t xml:space="preserve">Australia (2009)</w:t>
      </w:r>
    </w:p>
  </w:footnote>
  <w:footnote w:id="42">
    <w:p>
      <w:pPr>
        <w:pStyle w:val="FootnoteText"/>
      </w:pPr>
      <w:r>
        <w:rPr>
          <w:rStyle w:val="FootnoteRef"/>
        </w:rPr>
        <w:footnoteRef/>
      </w:r>
      <w:r>
        <w:t xml:space="preserve">Leitch’s critique was of the improved AS/NZS ISO 31000, and argued that the standard was unclear, lead to illogical decisions, was impossible to comply with, and was not mathematically based.</w:t>
      </w:r>
    </w:p>
  </w:footnote>
  <w:footnote w:id="44">
    <w:p>
      <w:pPr>
        <w:pStyle w:val="FootnoteText"/>
      </w:pPr>
      <w:r>
        <w:rPr>
          <w:rStyle w:val="FootnoteRef"/>
        </w:rPr>
        <w:footnoteRef/>
      </w:r>
      <w:r>
        <w:t xml:space="preserve">Harrison note that confusion can arise due to different uses of terms. For example, the terms,</w:t>
      </w:r>
      <w:r>
        <w:t xml:space="preserve"> </w:t>
      </w:r>
      <w:r>
        <w:t xml:space="preserve">‘</w:t>
      </w:r>
      <w:r>
        <w:t xml:space="preserve">vulnerability</w:t>
      </w:r>
      <w:r>
        <w:t xml:space="preserve">’</w:t>
      </w:r>
      <w:r>
        <w:t xml:space="preserve"> </w:t>
      </w:r>
      <w:r>
        <w:t xml:space="preserve">and</w:t>
      </w:r>
      <w:r>
        <w:t xml:space="preserve"> </w:t>
      </w:r>
      <w:r>
        <w:t xml:space="preserve">‘</w:t>
      </w:r>
      <w:r>
        <w:t xml:space="preserve">exposure</w:t>
      </w:r>
      <w:r>
        <w:t xml:space="preserve">’</w:t>
      </w:r>
      <w:r>
        <w:t xml:space="preserve"> </w:t>
      </w:r>
      <w:r>
        <w:t xml:space="preserve">are sometimes interchanged.</w:t>
      </w:r>
    </w:p>
  </w:footnote>
  <w:footnote w:id="49">
    <w:p>
      <w:pPr>
        <w:pStyle w:val="FootnoteText"/>
      </w:pPr>
      <w:r>
        <w:rPr>
          <w:rStyle w:val="FootnoteRef"/>
        </w:rPr>
        <w:footnoteRef/>
      </w:r>
      <w:r>
        <w:t xml:space="preserve">see also ;</w:t>
      </w:r>
      <w:r>
        <w:t xml:space="preserve"> </w:t>
      </w:r>
      <w:r>
        <w:t xml:space="preserve">Gregory B Baecher and Desmond N D Hartford (2004)</w:t>
      </w:r>
      <w:r>
        <w:t xml:space="preserve">; see also</w:t>
      </w:r>
      <w:r>
        <w:t xml:space="preserve"> </w:t>
      </w:r>
      <w:r>
        <w:t xml:space="preserve">NASA (2007)</w:t>
      </w:r>
      <w:r>
        <w:t xml:space="preserve">;</w:t>
      </w:r>
      <w:r>
        <w:t xml:space="preserve"> </w:t>
      </w:r>
      <w:r>
        <w:t xml:space="preserve">Stamatelatos and Caraballo (2002)</w:t>
      </w:r>
      <w:r>
        <w:t xml:space="preserve">;</w:t>
      </w:r>
      <w:r>
        <w:t xml:space="preserve"> </w:t>
      </w:r>
      <w:r>
        <w:t xml:space="preserve">Tartakovsky (2007)</w:t>
      </w:r>
      <w:r>
        <w:t xml:space="preserve">;</w:t>
      </w:r>
      <w:r>
        <w:t xml:space="preserve"> </w:t>
      </w:r>
      <w:r>
        <w:t xml:space="preserve">Lester, Green, and Linkov (2007)</w:t>
      </w:r>
      <w:r>
        <w:t xml:space="preserve">;</w:t>
      </w:r>
      <w:r>
        <w:t xml:space="preserve"> </w:t>
      </w:r>
      <w:r>
        <w:t xml:space="preserve">Gregory B Baecher and Desmond N D Hartford (2004)</w:t>
      </w:r>
      <w:r>
        <w:t xml:space="preserve">;</w:t>
      </w:r>
      <w:r>
        <w:t xml:space="preserve"> </w:t>
      </w:r>
      <w:r>
        <w:t xml:space="preserve">Stamatelatos et al. (2011)</w:t>
      </w:r>
      <w:r>
        <w:t xml:space="preserve">;</w:t>
      </w:r>
      <w:r>
        <w:t xml:space="preserve"> </w:t>
      </w:r>
      <w:r>
        <w:t xml:space="preserve">Goodarzi, Ziaei, and Teang Shui (2013)</w:t>
      </w:r>
      <w:r>
        <w:t xml:space="preserve">;</w:t>
      </w:r>
      <w:r>
        <w:t xml:space="preserve"> </w:t>
      </w:r>
      <w:r>
        <w:t xml:space="preserve">Mays (2010)</w:t>
      </w:r>
    </w:p>
  </w:footnote>
  <w:footnote w:id="54">
    <w:p>
      <w:pPr>
        <w:pStyle w:val="FootnoteText"/>
      </w:pPr>
      <w:r>
        <w:rPr>
          <w:rStyle w:val="FootnoteRef"/>
        </w:rPr>
        <w:footnoteRef/>
      </w:r>
      <w:r>
        <w:t xml:space="preserve">They hypothesized that trust is a critical pathway for the acceptance of an operation. In this hypothesis is contained a further corollary that procedures perceived as fair and contact that contains a forum in which concerns can be voiced, will enhance trust, thereby reducing the risk of a SLO withdrawal</w:t>
      </w:r>
      <w:r>
        <w:t xml:space="preserve"> </w:t>
      </w:r>
      <w:r>
        <w:t xml:space="preserve">(Moffat and Zhang 2014)</w:t>
      </w:r>
    </w:p>
  </w:footnote>
  <w:footnote w:id="60">
    <w:p>
      <w:pPr>
        <w:pStyle w:val="FootnoteText"/>
      </w:pPr>
      <w:r>
        <w:rPr>
          <w:rStyle w:val="FootnoteRef"/>
        </w:rPr>
        <w:footnoteRef/>
      </w:r>
      <w:r>
        <w:t xml:space="preserve">Distance between the spring and recharge was used as a measure of spring ecology resilience</w:t>
      </w:r>
    </w:p>
  </w:footnote>
  <w:footnote w:id="65">
    <w:p>
      <w:pPr>
        <w:pStyle w:val="FootnoteText"/>
      </w:pPr>
      <w:r>
        <w:rPr>
          <w:rStyle w:val="FootnoteRef"/>
        </w:rPr>
        <w:footnoteRef/>
      </w:r>
      <w:r>
        <w:t xml:space="preserve">Holdgate also uses the</w:t>
      </w:r>
      <w:r>
        <w:t xml:space="preserve"> </w:t>
      </w:r>
      <w:r>
        <w:t xml:space="preserve">“</w:t>
      </w:r>
      <w:r>
        <w:t xml:space="preserve">source-pathway-sink</w:t>
      </w:r>
      <w:r>
        <w:t xml:space="preserve">”</w:t>
      </w:r>
      <w:r>
        <w:t xml:space="preserve">, or</w:t>
      </w:r>
      <w:r>
        <w:t xml:space="preserve"> </w:t>
      </w:r>
      <w:r>
        <w:t xml:space="preserve">“</w:t>
      </w:r>
      <w:r>
        <w:t xml:space="preserve">source-pathway-target</w:t>
      </w:r>
      <w:r>
        <w:t xml:space="preserve">”</w:t>
      </w:r>
      <w:r>
        <w:t xml:space="preserve"> </w:t>
      </w:r>
      <w:r>
        <w:t xml:space="preserve">terminology.</w:t>
      </w:r>
      <w:r>
        <w:t xml:space="preserve"> </w:t>
      </w:r>
      <w:r>
        <w:t xml:space="preserve">Beckers, Cook, and Butcher (2013)</w:t>
      </w:r>
      <w:r>
        <w:t xml:space="preserve"> </w:t>
      </w:r>
      <w:r>
        <w:t xml:space="preserve">argue that these methods have an equivalent outcome [p.28]</w:t>
      </w:r>
    </w:p>
  </w:footnote>
  <w:footnote w:id="72">
    <w:p>
      <w:pPr>
        <w:pStyle w:val="FootnoteText"/>
      </w:pPr>
      <w:r>
        <w:rPr>
          <w:rStyle w:val="FootnoteRef"/>
        </w:rPr>
        <w:footnoteRef/>
      </w:r>
      <w:r>
        <w:t xml:space="preserve">Gosselink et al are specifically concerned with flowing-water exporting systems</w:t>
      </w:r>
    </w:p>
  </w:footnote>
  <w:footnote w:id="73">
    <w:p>
      <w:pPr>
        <w:pStyle w:val="FootnoteText"/>
      </w:pPr>
      <w:r>
        <w:rPr>
          <w:rStyle w:val="FootnoteRef"/>
        </w:rPr>
        <w:footnoteRef/>
      </w:r>
      <w:r>
        <w:t xml:space="preserve">However it is worth noting that the energetic basis proposed by Odum and Odum</w:t>
      </w:r>
      <w:r>
        <w:t xml:space="preserve"> </w:t>
      </w:r>
      <w:r>
        <w:t xml:space="preserve">(Odum and Odum 2000; Campbell and Tilley 2014)</w:t>
      </w:r>
      <w:r>
        <w:t xml:space="preserve"> </w:t>
      </w:r>
      <w:r>
        <w:t xml:space="preserve">has not received universal support</w:t>
      </w:r>
    </w:p>
  </w:footnote>
  <w:footnote w:id="78">
    <w:p>
      <w:pPr>
        <w:pStyle w:val="FootnoteText"/>
      </w:pPr>
      <w:r>
        <w:rPr>
          <w:rStyle w:val="FootnoteRef"/>
        </w:rPr>
        <w:footnoteRef/>
      </w:r>
      <w:r>
        <w:t xml:space="preserve">Price Waterhouse Coopers identifies 14 different levels of enterprise risk</w:t>
      </w:r>
      <w:r>
        <w:t xml:space="preserve"> </w:t>
      </w:r>
      <w:r>
        <w:t xml:space="preserve">(PWC 2008, 9–11)</w:t>
      </w:r>
      <w:r>
        <w:t xml:space="preserve">. Compliance risk is one and has already been addressed above.</w:t>
      </w:r>
    </w:p>
  </w:footnote>
  <w:footnote w:id="85">
    <w:p>
      <w:pPr>
        <w:pStyle w:val="FootnoteText"/>
      </w:pPr>
      <w:r>
        <w:rPr>
          <w:rStyle w:val="FootnoteRef"/>
        </w:rPr>
        <w:footnoteRef/>
      </w:r>
      <w:r>
        <w:t xml:space="preserve">In the professional experience of the author, standard industry practice is for WBS &amp; Requirements Gathering to be outsourced to a business consultant</w:t>
      </w:r>
    </w:p>
  </w:footnote>
  <w:footnote w:id="86">
    <w:p>
      <w:pPr>
        <w:pStyle w:val="FootnoteText"/>
      </w:pPr>
      <w:r>
        <w:rPr>
          <w:rStyle w:val="FootnoteRef"/>
        </w:rPr>
        <w:footnoteRef/>
      </w:r>
      <w:r>
        <w:t xml:space="preserve">The author has had the privilege to have work with Melbourne Water during the development and implementation of the ETL system for transferring hydrological data to the Bureau of Meteorology’s AWRIS system.</w:t>
      </w:r>
    </w:p>
  </w:footnote>
  <w:footnote w:id="88">
    <w:p>
      <w:pPr>
        <w:pStyle w:val="FootnoteText"/>
      </w:pPr>
      <w:r>
        <w:rPr>
          <w:rStyle w:val="FootnoteRef"/>
        </w:rPr>
        <w:footnoteRef/>
      </w:r>
      <w:r>
        <w:t xml:space="preserve">This included various data sets on rainfall, and the water levels of streams, dams and aquifers from State and Local government and non-government entities</w:t>
      </w:r>
    </w:p>
  </w:footnote>
  <w:footnote w:id="90">
    <w:p>
      <w:pPr>
        <w:pStyle w:val="FootnoteText"/>
      </w:pPr>
      <w:r>
        <w:rPr>
          <w:rStyle w:val="FootnoteRef"/>
        </w:rPr>
        <w:footnoteRef/>
      </w:r>
      <w:r>
        <w:t xml:space="preserve">In the model-driven approach concepts and their relations are captured before implementation. It typically uses Unified Modelling Language (UML) or similar information modelling tools</w:t>
      </w:r>
      <w:r>
        <w:t xml:space="preserve"> </w:t>
      </w:r>
      <w:r>
        <w:t xml:space="preserve">(Lemon et al. 2012; INSPIRE 2013)</w:t>
      </w:r>
      <w:r>
        <w:t xml:space="preserve">.</w:t>
      </w:r>
    </w:p>
  </w:footnote>
  <w:footnote w:id="91">
    <w:p>
      <w:pPr>
        <w:pStyle w:val="FootnoteText"/>
      </w:pPr>
      <w:r>
        <w:rPr>
          <w:rStyle w:val="FootnoteRef"/>
        </w:rPr>
        <w:footnoteRef/>
      </w:r>
      <w:r>
        <w:t xml:space="preserve">Standard data &amp; metadata exchange formats such as the Water Data Transfer Format (WDTF) &amp; Water Markup Language (WaterML &amp; WaterML2) and National Water Quality Data Set (NWQDS) were developed</w:t>
      </w:r>
      <w:r>
        <w:t xml:space="preserve"> </w:t>
      </w:r>
      <w:r>
        <w:t xml:space="preserve">(Power and Walker 2011; Ryan, Rodrigues, Katrina, and De Hayr, Rob 2011)</w:t>
      </w:r>
      <w:r>
        <w:t xml:space="preserve">.</w:t>
      </w:r>
    </w:p>
  </w:footnote>
  <w:footnote w:id="92">
    <w:p>
      <w:pPr>
        <w:pStyle w:val="FootnoteText"/>
      </w:pPr>
      <w:r>
        <w:rPr>
          <w:rStyle w:val="FootnoteRef"/>
        </w:rPr>
        <w:footnoteRef/>
      </w:r>
      <w:r>
        <w:t xml:space="preserve">The data transformation steps identified are: validation, translation, authorisation, verification and conversion</w:t>
      </w:r>
    </w:p>
  </w:footnote>
  <w:footnote w:id="94">
    <w:p>
      <w:pPr>
        <w:pStyle w:val="FootnoteText"/>
      </w:pPr>
      <w:r>
        <w:rPr>
          <w:rStyle w:val="FootnoteRef"/>
        </w:rPr>
        <w:footnoteRef/>
      </w:r>
      <w:r>
        <w:t xml:space="preserve">By 2013, the Bureau had expended $38.5 million on a system which had not achieved required functionality</w:t>
      </w:r>
    </w:p>
  </w:footnote>
  <w:footnote w:id="95">
    <w:p>
      <w:pPr>
        <w:pStyle w:val="FootnoteText"/>
      </w:pPr>
      <w:r>
        <w:rPr>
          <w:rStyle w:val="FootnoteRef"/>
        </w:rPr>
        <w:footnoteRef/>
      </w:r>
      <w:r>
        <w:t xml:space="preserve">The author has had the privilege to have work with one of the Queensland CSG companies where he acted as a technical database expert. From those experiences the following technical observations are made.</w:t>
      </w:r>
    </w:p>
  </w:footnote>
  <w:footnote w:id="100">
    <w:p>
      <w:pPr>
        <w:pStyle w:val="FootnoteText"/>
      </w:pPr>
      <w:r>
        <w:rPr>
          <w:rStyle w:val="FootnoteRef"/>
        </w:rPr>
        <w:footnoteRef/>
      </w:r>
      <w:r>
        <w:t xml:space="preserve">These ranged from the actual data transfer technology to the regulator (Dropbox/DVD/etc.) to issues with novel water quality parameter names and data standards.</w:t>
      </w:r>
    </w:p>
  </w:footnote>
  <w:footnote w:id="101">
    <w:p>
      <w:pPr>
        <w:pStyle w:val="FootnoteText"/>
      </w:pPr>
      <w:r>
        <w:rPr>
          <w:rStyle w:val="FootnoteRef"/>
        </w:rPr>
        <w:footnoteRef/>
      </w:r>
      <w:r>
        <w:t xml:space="preserve">Not including installation or administration staff salaries which can be in the order of $100-200k annually. Figures estimated from the Author’s professional experience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ee68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c172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01" Target="http://adminpanel.ceda.com.au/FOLDERS/Service/Files/Documents/15347~cedaunconventionalenergyfinal.pdf" TargetMode="External" /><Relationship Type="http://schemas.openxmlformats.org/officeDocument/2006/relationships/hyperlink" Id="rId166" Target="http://adsabs.harvard.edu/abs/2015EGUGA..1714909M" TargetMode="External" /><Relationship Type="http://schemas.openxmlformats.org/officeDocument/2006/relationships/hyperlink" Id="rId182" Target="http://agforceqld.org.au/file.php?id=1016&amp;open=yes" TargetMode="External" /><Relationship Type="http://schemas.openxmlformats.org/officeDocument/2006/relationships/hyperlink" Id="rId113" Target="http://airccse.org/journal/ijdms/papers/6314ijdms01.pdf" TargetMode="External" /><Relationship Type="http://schemas.openxmlformats.org/officeDocument/2006/relationships/hyperlink" Id="rId124" Target="http://aje.oxfordjournals.org/content/157/9/855.2.short" TargetMode="External" /><Relationship Type="http://schemas.openxmlformats.org/officeDocument/2006/relationships/hyperlink" Id="rId173" Target="http://archive.nwc.gov.au/__data/assets/pdf_file/0003/9723/Coal_Seam_Gas.pdf" TargetMode="External" /><Relationship Type="http://schemas.openxmlformats.org/officeDocument/2006/relationships/hyperlink" Id="rId134" Target="http://dash.harvard.edu/handle/1/12872183" TargetMode="External" /><Relationship Type="http://schemas.openxmlformats.org/officeDocument/2006/relationships/hyperlink" Id="rId142" Target="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 TargetMode="External" /><Relationship Type="http://schemas.openxmlformats.org/officeDocument/2006/relationships/hyperlink" Id="rId203" Target="http://doi.apa.org/psycinfo/1992-97487-000" TargetMode="External" /><Relationship Type="http://schemas.openxmlformats.org/officeDocument/2006/relationships/hyperlink" Id="rId170" Target="http://dx.doi.org/10.1002/j.2334-5837.1997.tb02221.x" TargetMode="External" /><Relationship Type="http://schemas.openxmlformats.org/officeDocument/2006/relationships/hyperlink" Id="rId169" Target="http://dx.doi.org/10.1002/j.2334-5837.2001.tb02348.x" TargetMode="External" /><Relationship Type="http://schemas.openxmlformats.org/officeDocument/2006/relationships/hyperlink" Id="rId175" Target="http://dx.doi.org/10.1007/s100210000005" TargetMode="External" /><Relationship Type="http://schemas.openxmlformats.org/officeDocument/2006/relationships/hyperlink" Id="rId128" Target="http://dx.doi.org/10.1007/s11069-008-9286-7" TargetMode="External" /><Relationship Type="http://schemas.openxmlformats.org/officeDocument/2006/relationships/hyperlink" Id="rId184" Target="http://dx.doi.org/10.1007/s13280-010-0134-0" TargetMode="External" /><Relationship Type="http://schemas.openxmlformats.org/officeDocument/2006/relationships/hyperlink" Id="rId200" Target="http://dx.doi.org/10.1016/j.advwatres.2012.04.007" TargetMode="External" /><Relationship Type="http://schemas.openxmlformats.org/officeDocument/2006/relationships/hyperlink" Id="rId130" Target="http://dx.doi.org/10.1016/j.envsoft.2015.03.015" TargetMode="External" /><Relationship Type="http://schemas.openxmlformats.org/officeDocument/2006/relationships/hyperlink" Id="rId168" Target="http://dx.doi.org/10.1016/j.resourpol.2013.11.003" TargetMode="External" /><Relationship Type="http://schemas.openxmlformats.org/officeDocument/2006/relationships/hyperlink" Id="rId135" Target="http://dx.doi.org/10.1016/j.scitotenv.2014.10.034" TargetMode="External" /><Relationship Type="http://schemas.openxmlformats.org/officeDocument/2006/relationships/hyperlink" Id="rId199" Target="http://dx.doi.org/10.1029/2007GL029245" TargetMode="External" /><Relationship Type="http://schemas.openxmlformats.org/officeDocument/2006/relationships/hyperlink" Id="rId186" Target="http://dx.doi.org/10.1049/sej.1986.0003" TargetMode="External" /><Relationship Type="http://schemas.openxmlformats.org/officeDocument/2006/relationships/hyperlink" Id="rId208" Target="http://dx.doi.org/10.1080/07293682.2015.1019755" TargetMode="External" /><Relationship Type="http://schemas.openxmlformats.org/officeDocument/2006/relationships/hyperlink" Id="rId174" Target="http://dx.doi.org/10.1080/08920757909361809" TargetMode="External" /><Relationship Type="http://schemas.openxmlformats.org/officeDocument/2006/relationships/hyperlink" Id="rId145" Target="http://dx.doi.org/10.1080/13669877.2012.761277" TargetMode="External" /><Relationship Type="http://schemas.openxmlformats.org/officeDocument/2006/relationships/hyperlink" Id="rId156" Target="http://dx.doi.org/10.1080/17538947.2014.1002866" TargetMode="External" /><Relationship Type="http://schemas.openxmlformats.org/officeDocument/2006/relationships/hyperlink" Id="rId179" Target="http://dx.doi.org/10.1108/10878571011088069" TargetMode="External" /><Relationship Type="http://schemas.openxmlformats.org/officeDocument/2006/relationships/hyperlink" Id="rId190" Target="http://dx.doi.org/10.1109/IRET-EM.1956.5007383" TargetMode="External" /><Relationship Type="http://schemas.openxmlformats.org/officeDocument/2006/relationships/hyperlink" Id="rId121" Target="http://dx.doi.org/10.1109/TVCG.2011.185" TargetMode="External" /><Relationship Type="http://schemas.openxmlformats.org/officeDocument/2006/relationships/hyperlink" Id="rId132" Target="http://dx.doi.org/10.1111/j.1539-6924.1985.tb00159.x" TargetMode="External" /><Relationship Type="http://schemas.openxmlformats.org/officeDocument/2006/relationships/hyperlink" Id="rId164" Target="http://dx.doi.org/10.1111/j.1539-6924.2007.00890.x" TargetMode="External" /><Relationship Type="http://schemas.openxmlformats.org/officeDocument/2006/relationships/hyperlink" Id="rId163" Target="http://dx.doi.org/10.1111/j.1539-6924.2010.01397.x" TargetMode="External" /><Relationship Type="http://schemas.openxmlformats.org/officeDocument/2006/relationships/hyperlink" Id="rId197" Target="http://dx.doi.org/10.1145/1721654.1721659" TargetMode="External" /><Relationship Type="http://schemas.openxmlformats.org/officeDocument/2006/relationships/hyperlink" Id="rId153" Target="http://dx.doi.org/10.1145/2642918.2647411" TargetMode="External" /><Relationship Type="http://schemas.openxmlformats.org/officeDocument/2006/relationships/hyperlink" Id="rId127" Target="http://dx.doi.org/10.2118/166146-PA" TargetMode="External" /><Relationship Type="http://schemas.openxmlformats.org/officeDocument/2006/relationships/hyperlink" Id="rId119" Target="http://dx.doi.org/10.2118/46844-MS" TargetMode="External" /><Relationship Type="http://schemas.openxmlformats.org/officeDocument/2006/relationships/hyperlink" Id="rId118" Target="http://dx.doi.org/10.2307/3010665" TargetMode="External" /><Relationship Type="http://schemas.openxmlformats.org/officeDocument/2006/relationships/hyperlink" Id="rId191" Target="http://dx.doi.org/10.5392/JKCA.2015.15.02.377" TargetMode="External" /><Relationship Type="http://schemas.openxmlformats.org/officeDocument/2006/relationships/hyperlink" Id="rId198" Target="http://eprints.qut.edu.au/49293/" TargetMode="External" /><Relationship Type="http://schemas.openxmlformats.org/officeDocument/2006/relationships/hyperlink" Id="rId202" Target="http://eprints.qut.edu.au/66321/1/Twitter_and_Society_(2014).pdf#page=122" TargetMode="External" /><Relationship Type="http://schemas.openxmlformats.org/officeDocument/2006/relationships/hyperlink" Id="rId147" Target="http://ezproxy.library.uq.edu.au/login?url=http://dx.doi.org/10.1007/978-94-007-5851-3" TargetMode="External" /><Relationship Type="http://schemas.openxmlformats.org/officeDocument/2006/relationships/hyperlink" Id="rId117" Target="http://ezproxy.library.uq.edu.au/login?url=http://www.springerlink.com/openurl.asp?genre=book&amp;isbn=978-3-642-13925-3" TargetMode="External" /><Relationship Type="http://schemas.openxmlformats.org/officeDocument/2006/relationships/hyperlink" Id="rId144" Target="http://forskningsbasen.deff.dk/Share.external?sp=Sa3474da0-7e9c-11dd-a5a8-000ea68e967b&amp;sp=Sau" TargetMode="External" /><Relationship Type="http://schemas.openxmlformats.org/officeDocument/2006/relationships/hyperlink" Id="rId188" Target="http://heinonline.org/HOL/Page?handle=hein.journals/epajrnl13&amp;id=314&amp;div=&amp;collection=" TargetMode="External" /><Relationship Type="http://schemas.openxmlformats.org/officeDocument/2006/relationships/hyperlink" Id="rId162" Target="http://heinonlinebackup.com/hol-cgi-bin/get_pdf.cgi?handle=hein.journals/canadbus27&amp;section=9" TargetMode="External" /><Relationship Type="http://schemas.openxmlformats.org/officeDocument/2006/relationships/hyperlink" Id="rId158" Target="http://inspire.ec.europa.eu/documents/Data_Specifications/D2.5_v3.4rc3.pdf" TargetMode="External" /><Relationship Type="http://schemas.openxmlformats.org/officeDocument/2006/relationships/hyperlink" Id="rId154" Target="http://inspire.ec.europa.eu/documents/Data_Specifications/INSPIRE_DataSpecification_NZ_v3.0.pdf" TargetMode="External" /><Relationship Type="http://schemas.openxmlformats.org/officeDocument/2006/relationships/hyperlink" Id="rId185" Target="http://link.springer.com/10.1007/978-1-4020-6799-0" TargetMode="External" /><Relationship Type="http://schemas.openxmlformats.org/officeDocument/2006/relationships/hyperlink" Id="rId206" Target="http://mobile.abc.net.au/news/2015-06-10/linc-energy-legal-action-widened-alleged-ugc-contamination/6535098" TargetMode="External" /><Relationship Type="http://schemas.openxmlformats.org/officeDocument/2006/relationships/hyperlink" Id="rId196" Target="http://ntrs.nasa.gov/search.jsp?R=20120001369" TargetMode="External" /><Relationship Type="http://schemas.openxmlformats.org/officeDocument/2006/relationships/hyperlink" Id="rId192" Target="http://onlinelibrary.wiley.com/doi/10.1111/j.1539-6924.2011.01739.x/full" TargetMode="External" /><Relationship Type="http://schemas.openxmlformats.org/officeDocument/2006/relationships/hyperlink" Id="rId161" Target="http://papers.ssrn.com/abstract=2319992" TargetMode="External" /><Relationship Type="http://schemas.openxmlformats.org/officeDocument/2006/relationships/hyperlink" Id="rId155" Target="http://publius.oxfordjournals.org/content/early/2009/10/21/publius.pjp028.short" TargetMode="External" /><Relationship Type="http://schemas.openxmlformats.org/officeDocument/2006/relationships/hyperlink" Id="rId165" Target="http://search.informit.com.au/documentSummary;dn=794922375366543;res=IELBus" TargetMode="External" /><Relationship Type="http://schemas.openxmlformats.org/officeDocument/2006/relationships/hyperlink" Id="rId123" Target="http://socialicense.com/publications/Modelling%20and%20Measuring%20the%20SLO.pdf" TargetMode="External" /><Relationship Type="http://schemas.openxmlformats.org/officeDocument/2006/relationships/hyperlink" Id="rId176" Target="http://www.aaai.org/ocs/index.php/ICWSM/ICWSM10/paper/viewFile/1536/1842/" TargetMode="External" /><Relationship Type="http://schemas.openxmlformats.org/officeDocument/2006/relationships/hyperlink" Id="rId167" Target="http://www.abc.net.au/news/2015-03-21/soil-samples-from-the-pilliga-reveal-27toxic27-levels-of-chem/6336166" TargetMode="External" /><Relationship Type="http://schemas.openxmlformats.org/officeDocument/2006/relationships/hyperlink" Id="rId112" Target="http://www.abc.net.au/news/2015-08-10/linc-energy-key-findings/6681938" TargetMode="External" /><Relationship Type="http://schemas.openxmlformats.org/officeDocument/2006/relationships/hyperlink" Id="rId195" Target="http://www.abc.net.au/news/2015-08-10/linc-energy-secret-report-reveals-toxic-chemical-risk/6681740" TargetMode="External" /><Relationship Type="http://schemas.openxmlformats.org/officeDocument/2006/relationships/hyperlink" Id="rId138" Target="http://www.anao.gov.au/Publications/Audit-Reports/2013-2014/Administration-of-the-Improving-Water-Information-Program" TargetMode="External" /><Relationship Type="http://schemas.openxmlformats.org/officeDocument/2006/relationships/hyperlink" Id="rId187" Target="http://www.bom.gov.au/water/standards/projects/documents/wq_metadata_guidelines.pdf" TargetMode="External" /><Relationship Type="http://schemas.openxmlformats.org/officeDocument/2006/relationships/hyperlink" Id="rId177" Target="http://www.chiefscientist.nsw.gov.au/__data/assets/pdf_file/0005/56912/140930-CSG-Final-Report.pdf" TargetMode="External" /><Relationship Type="http://schemas.openxmlformats.org/officeDocument/2006/relationships/hyperlink" Id="rId207" Target="http://www.gisera.org.au/publications/tech_reports_papers/socioeco-proj-5-lit-review.pdf" TargetMode="External" /><Relationship Type="http://schemas.openxmlformats.org/officeDocument/2006/relationships/hyperlink" Id="rId150" Target="http://www.icevirtuallibrary.com/content/book/100871" TargetMode="External" /><Relationship Type="http://schemas.openxmlformats.org/officeDocument/2006/relationships/hyperlink" Id="rId129" Target="http://www.incose.org/hra/past_events/IEEE2009_SoSEandFoSE_JOC_090223.pdf" TargetMode="External" /><Relationship Type="http://schemas.openxmlformats.org/officeDocument/2006/relationships/hyperlink" Id="rId148" Target="http://www.industry.gov.au/resource/Documents/LPSDP/LPSDP-RiskHandbook.pdf" TargetMode="External" /><Relationship Type="http://schemas.openxmlformats.org/officeDocument/2006/relationships/hyperlink" Id="rId149" Target="http://www.industry.gov.au/resource/Documents/LPSDP/LPSDP-WaterHandbook.pdf" TargetMode="External" /><Relationship Type="http://schemas.openxmlformats.org/officeDocument/2006/relationships/hyperlink" Id="rId159" Target="http://www.investopedia.com/articles/economics/08/economic-capital.asp" TargetMode="External" /><Relationship Type="http://schemas.openxmlformats.org/officeDocument/2006/relationships/hyperlink" Id="rId160" Target="http://www.irgc.org/wp-content/uploads/2015/04/An_introduction_to_the_IRGC_Risk_Governance_Framework_final_v2012.pdf" TargetMode="External" /><Relationship Type="http://schemas.openxmlformats.org/officeDocument/2006/relationships/hyperlink" Id="rId193" Target="http://www.jstor.org/stable/1698637" TargetMode="External" /><Relationship Type="http://schemas.openxmlformats.org/officeDocument/2006/relationships/hyperlink" Id="rId151" Target="http://www.jstor.org/stable/4092687" TargetMode="External" /><Relationship Type="http://schemas.openxmlformats.org/officeDocument/2006/relationships/hyperlink" Id="rId131" Target="http://www.macs.hw.ac.uk/~andrewc/erm2/reading/ERM%20-%20COSO%20Application%20Techniques.pdf" TargetMode="External" /><Relationship Type="http://schemas.openxmlformats.org/officeDocument/2006/relationships/hyperlink" Id="rId180" Target="http://www.mssanz.org.au/modsim2011/H4/power.pdf" TargetMode="External" /><Relationship Type="http://schemas.openxmlformats.org/officeDocument/2006/relationships/hyperlink" Id="rId181" Target="http://www.pwc.com/en_us/us/issues/enterprise-risk-management/assets/risk_assessment_guide.pdf" TargetMode="External" /><Relationship Type="http://schemas.openxmlformats.org/officeDocument/2006/relationships/hyperlink" Id="rId157" Target="http://www.scer.gov.au/files/2012/03/University-of-Queensland.pdf" TargetMode="External" /><Relationship Type="http://schemas.openxmlformats.org/officeDocument/2006/relationships/hyperlink" Id="rId115" Target="http://www.scer.gov.au/files/2013/03/ANEnviromentalDefendersOffice.pdf" TargetMode="External" /><Relationship Type="http://schemas.openxmlformats.org/officeDocument/2006/relationships/hyperlink" Id="rId122" Target="http://www.scer.gov.au/files/2013/03/LocktheGateAlliance-Lismore.pdf" TargetMode="External" /><Relationship Type="http://schemas.openxmlformats.org/officeDocument/2006/relationships/hyperlink" Id="rId204" Target="http://www.scer.gov.au/files/2013/03/VictorianFarmersFederationStadbrokeBranch.pdf" TargetMode="External" /><Relationship Type="http://schemas.openxmlformats.org/officeDocument/2006/relationships/hyperlink" Id="rId189" Target="http://www.scer.gov.au/files/2013/09/National-Harmonised-Regulatory-Framework-for-Natural-Gas-from-Coal-Seams.pdf" TargetMode="External" /><Relationship Type="http://schemas.openxmlformats.org/officeDocument/2006/relationships/hyperlink" Id="rId126" Target="http://www.sciencedirect.com/science/article/pii/S2212041613000995" TargetMode="External" /><Relationship Type="http://schemas.openxmlformats.org/officeDocument/2006/relationships/hyperlink" Id="rId152" Target="http://www.scribd.com/doc/54822245/Habermas-The-Philosophical-Discourse-of-Modernity#scribd" TargetMode="External" /><Relationship Type="http://schemas.openxmlformats.org/officeDocument/2006/relationships/hyperlink" Id="rId205" Target="http://www.vitechcorp.com/products/core.shtml" TargetMode="External" /><Relationship Type="http://schemas.openxmlformats.org/officeDocument/2006/relationships/hyperlink" Id="rId116" Target="http://www.water.gov.au/publications/AWRIS_ImplementationPlan_Dec06.pdf" TargetMode="External" /><Relationship Type="http://schemas.openxmlformats.org/officeDocument/2006/relationships/hyperlink" Id="rId194" Target="https://archive.org/stream/thucydideswithen01thucuoft/thucydideswithen01thucuoft_djvu.txt" TargetMode="External" /><Relationship Type="http://schemas.openxmlformats.org/officeDocument/2006/relationships/hyperlink" Id="rId114" Target="https://books.google.com.au/books?hl=en&amp;lr=&amp;id=6crECQAAQBAJ&amp;oi=fnd&amp;pg=PA49&amp;dq=Getting+Serious+with+JavaScript.+Matthew+Amato+and+Kevin+Ring&amp;ots=Jq8hbWMdUB&amp;sig=UM6JlanN7f_OT9DZM5zJ5ZwZCAI" TargetMode="External" /><Relationship Type="http://schemas.openxmlformats.org/officeDocument/2006/relationships/hyperlink" Id="rId133" Target="https://books.google.com.au/books?hl=en&amp;lr=&amp;id=6crECQAAQBAJ&amp;oi=fnd&amp;pg=PA49&amp;dq=australia+%2B+%22national+map%22+%2B+%22nicta%22&amp;ots=Jq8hbVN6PB&amp;sig=rNX8yZZIq-dii1soo15fGcBlZ1A#v=onepage&amp;q=australia%20%2B%20%22national%20map%22%20%2B%20%22nicta%22&amp;f=false" TargetMode="External" /><Relationship Type="http://schemas.openxmlformats.org/officeDocument/2006/relationships/hyperlink" Id="rId143" Target="https://facebook.github.io/react/index.html" TargetMode="External" /><Relationship Type="http://schemas.openxmlformats.org/officeDocument/2006/relationships/hyperlink" Id="rId172" Target="https://github.com/KoryNunn/fastn" TargetMode="External" /><Relationship Type="http://schemas.openxmlformats.org/officeDocument/2006/relationships/hyperlink" Id="rId171" Target="https://korynunn.github.io/fastn/" TargetMode="External" /><Relationship Type="http://schemas.openxmlformats.org/officeDocument/2006/relationships/hyperlink" Id="rId178" Target="https://www.daf.qld.gov.au/__data/assets/pdf_file/0006/77127/Soil-health-vegetable-production-Part_1.pdf" TargetMode="External" /><Relationship Type="http://schemas.openxmlformats.org/officeDocument/2006/relationships/hyperlink" Id="rId120" Target="https://www.dnrm.qld.gov.au/__data/assets/pdf_file/0013/106015/act-5-groundwater-risks-report-text.pdf" TargetMode="External" /><Relationship Type="http://schemas.openxmlformats.org/officeDocument/2006/relationships/hyperlink" Id="rId183" Target="https://www.dnrm.qld.gov.au/__data/assets/pdf_file/0016/31327/underground-water-impact-report.pdf" TargetMode="External" /><Relationship Type="http://schemas.openxmlformats.org/officeDocument/2006/relationships/hyperlink" Id="rId137" Target="https://www.dnrm.qld.gov.au/ogia/storing-baseline-assessment-information" TargetMode="External" /><Relationship Type="http://schemas.openxmlformats.org/officeDocument/2006/relationships/hyperlink" Id="rId136" Target="https://www.dnrm.qld.gov.au/water/catchments-planning/healthy-headwaters/coal-seam-gas-water-feasibility-study/activity-5" TargetMode="External" /><Relationship Type="http://schemas.openxmlformats.org/officeDocument/2006/relationships/hyperlink" Id="rId140" Target="https://www.ehp.qld.gov.au/management/non-mining/documents/baseline-assessment-guideline.pdf" TargetMode="External" /><Relationship Type="http://schemas.openxmlformats.org/officeDocument/2006/relationships/hyperlink" Id="rId139" Target="https://www.ehp.qld.gov.au/management/non-mining/documents/uwir-guideline.pdf" TargetMode="External" /><Relationship Type="http://schemas.openxmlformats.org/officeDocument/2006/relationships/hyperlink" Id="rId141" Target="https://www.ehp.qld.gov.au/management/non-mining/groundwater.html" TargetMode="External" /><Relationship Type="http://schemas.openxmlformats.org/officeDocument/2006/relationships/hyperlink" Id="rId146" Target="https://www.onepetro.org/conference-paper/ISRM-ICHF-2013-015" TargetMode="External" /><Relationship Type="http://schemas.openxmlformats.org/officeDocument/2006/relationships/hyperlink" Id="rId125" Target="https://www.transnational-dispute-management.com/article.asp?key=3480" TargetMode="External" /></Relationships>
</file>

<file path=word/_rels/footnotes.xml.rels><?xml version="1.0" encoding="UTF-8"?>
<Relationships xmlns="http://schemas.openxmlformats.org/package/2006/relationships"><Relationship Type="http://schemas.openxmlformats.org/officeDocument/2006/relationships/hyperlink" Id="rId201" Target="http://adminpanel.ceda.com.au/FOLDERS/Service/Files/Documents/15347~cedaunconventionalenergyfinal.pdf" TargetMode="External" /><Relationship Type="http://schemas.openxmlformats.org/officeDocument/2006/relationships/hyperlink" Id="rId166" Target="http://adsabs.harvard.edu/abs/2015EGUGA..1714909M" TargetMode="External" /><Relationship Type="http://schemas.openxmlformats.org/officeDocument/2006/relationships/hyperlink" Id="rId182" Target="http://agforceqld.org.au/file.php?id=1016&amp;open=yes" TargetMode="External" /><Relationship Type="http://schemas.openxmlformats.org/officeDocument/2006/relationships/hyperlink" Id="rId113" Target="http://airccse.org/journal/ijdms/papers/6314ijdms01.pdf" TargetMode="External" /><Relationship Type="http://schemas.openxmlformats.org/officeDocument/2006/relationships/hyperlink" Id="rId124" Target="http://aje.oxfordjournals.org/content/157/9/855.2.short" TargetMode="External" /><Relationship Type="http://schemas.openxmlformats.org/officeDocument/2006/relationships/hyperlink" Id="rId173" Target="http://archive.nwc.gov.au/__data/assets/pdf_file/0003/9723/Coal_Seam_Gas.pdf" TargetMode="External" /><Relationship Type="http://schemas.openxmlformats.org/officeDocument/2006/relationships/hyperlink" Id="rId134" Target="http://dash.harvard.edu/handle/1/12872183" TargetMode="External" /><Relationship Type="http://schemas.openxmlformats.org/officeDocument/2006/relationships/hyperlink" Id="rId142" Target="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 TargetMode="External" /><Relationship Type="http://schemas.openxmlformats.org/officeDocument/2006/relationships/hyperlink" Id="rId203" Target="http://doi.apa.org/psycinfo/1992-97487-000" TargetMode="External" /><Relationship Type="http://schemas.openxmlformats.org/officeDocument/2006/relationships/hyperlink" Id="rId170" Target="http://dx.doi.org/10.1002/j.2334-5837.1997.tb02221.x" TargetMode="External" /><Relationship Type="http://schemas.openxmlformats.org/officeDocument/2006/relationships/hyperlink" Id="rId169" Target="http://dx.doi.org/10.1002/j.2334-5837.2001.tb02348.x" TargetMode="External" /><Relationship Type="http://schemas.openxmlformats.org/officeDocument/2006/relationships/hyperlink" Id="rId175" Target="http://dx.doi.org/10.1007/s100210000005" TargetMode="External" /><Relationship Type="http://schemas.openxmlformats.org/officeDocument/2006/relationships/hyperlink" Id="rId128" Target="http://dx.doi.org/10.1007/s11069-008-9286-7" TargetMode="External" /><Relationship Type="http://schemas.openxmlformats.org/officeDocument/2006/relationships/hyperlink" Id="rId184" Target="http://dx.doi.org/10.1007/s13280-010-0134-0" TargetMode="External" /><Relationship Type="http://schemas.openxmlformats.org/officeDocument/2006/relationships/hyperlink" Id="rId200" Target="http://dx.doi.org/10.1016/j.advwatres.2012.04.007" TargetMode="External" /><Relationship Type="http://schemas.openxmlformats.org/officeDocument/2006/relationships/hyperlink" Id="rId130" Target="http://dx.doi.org/10.1016/j.envsoft.2015.03.015" TargetMode="External" /><Relationship Type="http://schemas.openxmlformats.org/officeDocument/2006/relationships/hyperlink" Id="rId168" Target="http://dx.doi.org/10.1016/j.resourpol.2013.11.003" TargetMode="External" /><Relationship Type="http://schemas.openxmlformats.org/officeDocument/2006/relationships/hyperlink" Id="rId135" Target="http://dx.doi.org/10.1016/j.scitotenv.2014.10.034" TargetMode="External" /><Relationship Type="http://schemas.openxmlformats.org/officeDocument/2006/relationships/hyperlink" Id="rId199" Target="http://dx.doi.org/10.1029/2007GL029245" TargetMode="External" /><Relationship Type="http://schemas.openxmlformats.org/officeDocument/2006/relationships/hyperlink" Id="rId186" Target="http://dx.doi.org/10.1049/sej.1986.0003" TargetMode="External" /><Relationship Type="http://schemas.openxmlformats.org/officeDocument/2006/relationships/hyperlink" Id="rId208" Target="http://dx.doi.org/10.1080/07293682.2015.1019755" TargetMode="External" /><Relationship Type="http://schemas.openxmlformats.org/officeDocument/2006/relationships/hyperlink" Id="rId174" Target="http://dx.doi.org/10.1080/08920757909361809" TargetMode="External" /><Relationship Type="http://schemas.openxmlformats.org/officeDocument/2006/relationships/hyperlink" Id="rId145" Target="http://dx.doi.org/10.1080/13669877.2012.761277" TargetMode="External" /><Relationship Type="http://schemas.openxmlformats.org/officeDocument/2006/relationships/hyperlink" Id="rId156" Target="http://dx.doi.org/10.1080/17538947.2014.1002866" TargetMode="External" /><Relationship Type="http://schemas.openxmlformats.org/officeDocument/2006/relationships/hyperlink" Id="rId179" Target="http://dx.doi.org/10.1108/10878571011088069" TargetMode="External" /><Relationship Type="http://schemas.openxmlformats.org/officeDocument/2006/relationships/hyperlink" Id="rId190" Target="http://dx.doi.org/10.1109/IRET-EM.1956.5007383" TargetMode="External" /><Relationship Type="http://schemas.openxmlformats.org/officeDocument/2006/relationships/hyperlink" Id="rId121" Target="http://dx.doi.org/10.1109/TVCG.2011.185" TargetMode="External" /><Relationship Type="http://schemas.openxmlformats.org/officeDocument/2006/relationships/hyperlink" Id="rId132" Target="http://dx.doi.org/10.1111/j.1539-6924.1985.tb00159.x" TargetMode="External" /><Relationship Type="http://schemas.openxmlformats.org/officeDocument/2006/relationships/hyperlink" Id="rId164" Target="http://dx.doi.org/10.1111/j.1539-6924.2007.00890.x" TargetMode="External" /><Relationship Type="http://schemas.openxmlformats.org/officeDocument/2006/relationships/hyperlink" Id="rId163" Target="http://dx.doi.org/10.1111/j.1539-6924.2010.01397.x" TargetMode="External" /><Relationship Type="http://schemas.openxmlformats.org/officeDocument/2006/relationships/hyperlink" Id="rId197" Target="http://dx.doi.org/10.1145/1721654.1721659" TargetMode="External" /><Relationship Type="http://schemas.openxmlformats.org/officeDocument/2006/relationships/hyperlink" Id="rId153" Target="http://dx.doi.org/10.1145/2642918.2647411" TargetMode="External" /><Relationship Type="http://schemas.openxmlformats.org/officeDocument/2006/relationships/hyperlink" Id="rId127" Target="http://dx.doi.org/10.2118/166146-PA" TargetMode="External" /><Relationship Type="http://schemas.openxmlformats.org/officeDocument/2006/relationships/hyperlink" Id="rId119" Target="http://dx.doi.org/10.2118/46844-MS" TargetMode="External" /><Relationship Type="http://schemas.openxmlformats.org/officeDocument/2006/relationships/hyperlink" Id="rId118" Target="http://dx.doi.org/10.2307/3010665" TargetMode="External" /><Relationship Type="http://schemas.openxmlformats.org/officeDocument/2006/relationships/hyperlink" Id="rId191" Target="http://dx.doi.org/10.5392/JKCA.2015.15.02.377" TargetMode="External" /><Relationship Type="http://schemas.openxmlformats.org/officeDocument/2006/relationships/hyperlink" Id="rId198" Target="http://eprints.qut.edu.au/49293/" TargetMode="External" /><Relationship Type="http://schemas.openxmlformats.org/officeDocument/2006/relationships/hyperlink" Id="rId202" Target="http://eprints.qut.edu.au/66321/1/Twitter_and_Society_(2014).pdf#page=122" TargetMode="External" /><Relationship Type="http://schemas.openxmlformats.org/officeDocument/2006/relationships/hyperlink" Id="rId147" Target="http://ezproxy.library.uq.edu.au/login?url=http://dx.doi.org/10.1007/978-94-007-5851-3" TargetMode="External" /><Relationship Type="http://schemas.openxmlformats.org/officeDocument/2006/relationships/hyperlink" Id="rId117" Target="http://ezproxy.library.uq.edu.au/login?url=http://www.springerlink.com/openurl.asp?genre=book&amp;isbn=978-3-642-13925-3" TargetMode="External" /><Relationship Type="http://schemas.openxmlformats.org/officeDocument/2006/relationships/hyperlink" Id="rId144" Target="http://forskningsbasen.deff.dk/Share.external?sp=Sa3474da0-7e9c-11dd-a5a8-000ea68e967b&amp;sp=Sau" TargetMode="External" /><Relationship Type="http://schemas.openxmlformats.org/officeDocument/2006/relationships/hyperlink" Id="rId188" Target="http://heinonline.org/HOL/Page?handle=hein.journals/epajrnl13&amp;id=314&amp;div=&amp;collection=" TargetMode="External" /><Relationship Type="http://schemas.openxmlformats.org/officeDocument/2006/relationships/hyperlink" Id="rId162" Target="http://heinonlinebackup.com/hol-cgi-bin/get_pdf.cgi?handle=hein.journals/canadbus27&amp;section=9" TargetMode="External" /><Relationship Type="http://schemas.openxmlformats.org/officeDocument/2006/relationships/hyperlink" Id="rId158" Target="http://inspire.ec.europa.eu/documents/Data_Specifications/D2.5_v3.4rc3.pdf" TargetMode="External" /><Relationship Type="http://schemas.openxmlformats.org/officeDocument/2006/relationships/hyperlink" Id="rId154" Target="http://inspire.ec.europa.eu/documents/Data_Specifications/INSPIRE_DataSpecification_NZ_v3.0.pdf" TargetMode="External" /><Relationship Type="http://schemas.openxmlformats.org/officeDocument/2006/relationships/hyperlink" Id="rId185" Target="http://link.springer.com/10.1007/978-1-4020-6799-0" TargetMode="External" /><Relationship Type="http://schemas.openxmlformats.org/officeDocument/2006/relationships/hyperlink" Id="rId206" Target="http://mobile.abc.net.au/news/2015-06-10/linc-energy-legal-action-widened-alleged-ugc-contamination/6535098" TargetMode="External" /><Relationship Type="http://schemas.openxmlformats.org/officeDocument/2006/relationships/hyperlink" Id="rId196" Target="http://ntrs.nasa.gov/search.jsp?R=20120001369" TargetMode="External" /><Relationship Type="http://schemas.openxmlformats.org/officeDocument/2006/relationships/hyperlink" Id="rId192" Target="http://onlinelibrary.wiley.com/doi/10.1111/j.1539-6924.2011.01739.x/full" TargetMode="External" /><Relationship Type="http://schemas.openxmlformats.org/officeDocument/2006/relationships/hyperlink" Id="rId161" Target="http://papers.ssrn.com/abstract=2319992" TargetMode="External" /><Relationship Type="http://schemas.openxmlformats.org/officeDocument/2006/relationships/hyperlink" Id="rId155" Target="http://publius.oxfordjournals.org/content/early/2009/10/21/publius.pjp028.short" TargetMode="External" /><Relationship Type="http://schemas.openxmlformats.org/officeDocument/2006/relationships/hyperlink" Id="rId165" Target="http://search.informit.com.au/documentSummary;dn=794922375366543;res=IELBus" TargetMode="External" /><Relationship Type="http://schemas.openxmlformats.org/officeDocument/2006/relationships/hyperlink" Id="rId123" Target="http://socialicense.com/publications/Modelling%20and%20Measuring%20the%20SLO.pdf" TargetMode="External" /><Relationship Type="http://schemas.openxmlformats.org/officeDocument/2006/relationships/hyperlink" Id="rId176" Target="http://www.aaai.org/ocs/index.php/ICWSM/ICWSM10/paper/viewFile/1536/1842/" TargetMode="External" /><Relationship Type="http://schemas.openxmlformats.org/officeDocument/2006/relationships/hyperlink" Id="rId167" Target="http://www.abc.net.au/news/2015-03-21/soil-samples-from-the-pilliga-reveal-27toxic27-levels-of-chem/6336166" TargetMode="External" /><Relationship Type="http://schemas.openxmlformats.org/officeDocument/2006/relationships/hyperlink" Id="rId112" Target="http://www.abc.net.au/news/2015-08-10/linc-energy-key-findings/6681938" TargetMode="External" /><Relationship Type="http://schemas.openxmlformats.org/officeDocument/2006/relationships/hyperlink" Id="rId195" Target="http://www.abc.net.au/news/2015-08-10/linc-energy-secret-report-reveals-toxic-chemical-risk/6681740" TargetMode="External" /><Relationship Type="http://schemas.openxmlformats.org/officeDocument/2006/relationships/hyperlink" Id="rId138" Target="http://www.anao.gov.au/Publications/Audit-Reports/2013-2014/Administration-of-the-Improving-Water-Information-Program" TargetMode="External" /><Relationship Type="http://schemas.openxmlformats.org/officeDocument/2006/relationships/hyperlink" Id="rId187" Target="http://www.bom.gov.au/water/standards/projects/documents/wq_metadata_guidelines.pdf" TargetMode="External" /><Relationship Type="http://schemas.openxmlformats.org/officeDocument/2006/relationships/hyperlink" Id="rId177" Target="http://www.chiefscientist.nsw.gov.au/__data/assets/pdf_file/0005/56912/140930-CSG-Final-Report.pdf" TargetMode="External" /><Relationship Type="http://schemas.openxmlformats.org/officeDocument/2006/relationships/hyperlink" Id="rId207" Target="http://www.gisera.org.au/publications/tech_reports_papers/socioeco-proj-5-lit-review.pdf" TargetMode="External" /><Relationship Type="http://schemas.openxmlformats.org/officeDocument/2006/relationships/hyperlink" Id="rId150" Target="http://www.icevirtuallibrary.com/content/book/100871" TargetMode="External" /><Relationship Type="http://schemas.openxmlformats.org/officeDocument/2006/relationships/hyperlink" Id="rId129" Target="http://www.incose.org/hra/past_events/IEEE2009_SoSEandFoSE_JOC_090223.pdf" TargetMode="External" /><Relationship Type="http://schemas.openxmlformats.org/officeDocument/2006/relationships/hyperlink" Id="rId148" Target="http://www.industry.gov.au/resource/Documents/LPSDP/LPSDP-RiskHandbook.pdf" TargetMode="External" /><Relationship Type="http://schemas.openxmlformats.org/officeDocument/2006/relationships/hyperlink" Id="rId149" Target="http://www.industry.gov.au/resource/Documents/LPSDP/LPSDP-WaterHandbook.pdf" TargetMode="External" /><Relationship Type="http://schemas.openxmlformats.org/officeDocument/2006/relationships/hyperlink" Id="rId159" Target="http://www.investopedia.com/articles/economics/08/economic-capital.asp" TargetMode="External" /><Relationship Type="http://schemas.openxmlformats.org/officeDocument/2006/relationships/hyperlink" Id="rId160" Target="http://www.irgc.org/wp-content/uploads/2015/04/An_introduction_to_the_IRGC_Risk_Governance_Framework_final_v2012.pdf" TargetMode="External" /><Relationship Type="http://schemas.openxmlformats.org/officeDocument/2006/relationships/hyperlink" Id="rId193" Target="http://www.jstor.org/stable/1698637" TargetMode="External" /><Relationship Type="http://schemas.openxmlformats.org/officeDocument/2006/relationships/hyperlink" Id="rId151" Target="http://www.jstor.org/stable/4092687" TargetMode="External" /><Relationship Type="http://schemas.openxmlformats.org/officeDocument/2006/relationships/hyperlink" Id="rId131" Target="http://www.macs.hw.ac.uk/~andrewc/erm2/reading/ERM%20-%20COSO%20Application%20Techniques.pdf" TargetMode="External" /><Relationship Type="http://schemas.openxmlformats.org/officeDocument/2006/relationships/hyperlink" Id="rId180" Target="http://www.mssanz.org.au/modsim2011/H4/power.pdf" TargetMode="External" /><Relationship Type="http://schemas.openxmlformats.org/officeDocument/2006/relationships/hyperlink" Id="rId181" Target="http://www.pwc.com/en_us/us/issues/enterprise-risk-management/assets/risk_assessment_guide.pdf" TargetMode="External" /><Relationship Type="http://schemas.openxmlformats.org/officeDocument/2006/relationships/hyperlink" Id="rId157" Target="http://www.scer.gov.au/files/2012/03/University-of-Queensland.pdf" TargetMode="External" /><Relationship Type="http://schemas.openxmlformats.org/officeDocument/2006/relationships/hyperlink" Id="rId115" Target="http://www.scer.gov.au/files/2013/03/ANEnviromentalDefendersOffice.pdf" TargetMode="External" /><Relationship Type="http://schemas.openxmlformats.org/officeDocument/2006/relationships/hyperlink" Id="rId122" Target="http://www.scer.gov.au/files/2013/03/LocktheGateAlliance-Lismore.pdf" TargetMode="External" /><Relationship Type="http://schemas.openxmlformats.org/officeDocument/2006/relationships/hyperlink" Id="rId204" Target="http://www.scer.gov.au/files/2013/03/VictorianFarmersFederationStadbrokeBranch.pdf" TargetMode="External" /><Relationship Type="http://schemas.openxmlformats.org/officeDocument/2006/relationships/hyperlink" Id="rId189" Target="http://www.scer.gov.au/files/2013/09/National-Harmonised-Regulatory-Framework-for-Natural-Gas-from-Coal-Seams.pdf" TargetMode="External" /><Relationship Type="http://schemas.openxmlformats.org/officeDocument/2006/relationships/hyperlink" Id="rId126" Target="http://www.sciencedirect.com/science/article/pii/S2212041613000995" TargetMode="External" /><Relationship Type="http://schemas.openxmlformats.org/officeDocument/2006/relationships/hyperlink" Id="rId152" Target="http://www.scribd.com/doc/54822245/Habermas-The-Philosophical-Discourse-of-Modernity#scribd" TargetMode="External" /><Relationship Type="http://schemas.openxmlformats.org/officeDocument/2006/relationships/hyperlink" Id="rId205" Target="http://www.vitechcorp.com/products/core.shtml" TargetMode="External" /><Relationship Type="http://schemas.openxmlformats.org/officeDocument/2006/relationships/hyperlink" Id="rId116" Target="http://www.water.gov.au/publications/AWRIS_ImplementationPlan_Dec06.pdf" TargetMode="External" /><Relationship Type="http://schemas.openxmlformats.org/officeDocument/2006/relationships/hyperlink" Id="rId194" Target="https://archive.org/stream/thucydideswithen01thucuoft/thucydideswithen01thucuoft_djvu.txt" TargetMode="External" /><Relationship Type="http://schemas.openxmlformats.org/officeDocument/2006/relationships/hyperlink" Id="rId114" Target="https://books.google.com.au/books?hl=en&amp;lr=&amp;id=6crECQAAQBAJ&amp;oi=fnd&amp;pg=PA49&amp;dq=Getting+Serious+with+JavaScript.+Matthew+Amato+and+Kevin+Ring&amp;ots=Jq8hbWMdUB&amp;sig=UM6JlanN7f_OT9DZM5zJ5ZwZCAI" TargetMode="External" /><Relationship Type="http://schemas.openxmlformats.org/officeDocument/2006/relationships/hyperlink" Id="rId133" Target="https://books.google.com.au/books?hl=en&amp;lr=&amp;id=6crECQAAQBAJ&amp;oi=fnd&amp;pg=PA49&amp;dq=australia+%2B+%22national+map%22+%2B+%22nicta%22&amp;ots=Jq8hbVN6PB&amp;sig=rNX8yZZIq-dii1soo15fGcBlZ1A#v=onepage&amp;q=australia%20%2B%20%22national%20map%22%20%2B%20%22nicta%22&amp;f=false" TargetMode="External" /><Relationship Type="http://schemas.openxmlformats.org/officeDocument/2006/relationships/hyperlink" Id="rId143" Target="https://facebook.github.io/react/index.html" TargetMode="External" /><Relationship Type="http://schemas.openxmlformats.org/officeDocument/2006/relationships/hyperlink" Id="rId172" Target="https://github.com/KoryNunn/fastn" TargetMode="External" /><Relationship Type="http://schemas.openxmlformats.org/officeDocument/2006/relationships/hyperlink" Id="rId171" Target="https://korynunn.github.io/fastn/" TargetMode="External" /><Relationship Type="http://schemas.openxmlformats.org/officeDocument/2006/relationships/hyperlink" Id="rId178" Target="https://www.daf.qld.gov.au/__data/assets/pdf_file/0006/77127/Soil-health-vegetable-production-Part_1.pdf" TargetMode="External" /><Relationship Type="http://schemas.openxmlformats.org/officeDocument/2006/relationships/hyperlink" Id="rId120" Target="https://www.dnrm.qld.gov.au/__data/assets/pdf_file/0013/106015/act-5-groundwater-risks-report-text.pdf" TargetMode="External" /><Relationship Type="http://schemas.openxmlformats.org/officeDocument/2006/relationships/hyperlink" Id="rId183" Target="https://www.dnrm.qld.gov.au/__data/assets/pdf_file/0016/31327/underground-water-impact-report.pdf" TargetMode="External" /><Relationship Type="http://schemas.openxmlformats.org/officeDocument/2006/relationships/hyperlink" Id="rId137" Target="https://www.dnrm.qld.gov.au/ogia/storing-baseline-assessment-information" TargetMode="External" /><Relationship Type="http://schemas.openxmlformats.org/officeDocument/2006/relationships/hyperlink" Id="rId136" Target="https://www.dnrm.qld.gov.au/water/catchments-planning/healthy-headwaters/coal-seam-gas-water-feasibility-study/activity-5" TargetMode="External" /><Relationship Type="http://schemas.openxmlformats.org/officeDocument/2006/relationships/hyperlink" Id="rId140" Target="https://www.ehp.qld.gov.au/management/non-mining/documents/baseline-assessment-guideline.pdf" TargetMode="External" /><Relationship Type="http://schemas.openxmlformats.org/officeDocument/2006/relationships/hyperlink" Id="rId139" Target="https://www.ehp.qld.gov.au/management/non-mining/documents/uwir-guideline.pdf" TargetMode="External" /><Relationship Type="http://schemas.openxmlformats.org/officeDocument/2006/relationships/hyperlink" Id="rId141" Target="https://www.ehp.qld.gov.au/management/non-mining/groundwater.html" TargetMode="External" /><Relationship Type="http://schemas.openxmlformats.org/officeDocument/2006/relationships/hyperlink" Id="rId146" Target="https://www.onepetro.org/conference-paper/ISRM-ICHF-2013-015" TargetMode="External" /><Relationship Type="http://schemas.openxmlformats.org/officeDocument/2006/relationships/hyperlink" Id="rId125" Target="https://www.transnational-dispute-management.com/article.asp?key=34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